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3F01F2B">
      <w:pPr>
        <w:pStyle w:val="2"/>
        <w:outlineLvl w:val="9"/>
        <w:rPr>
          <w:rFonts w:hint="default" w:ascii="Times New Roman" w:hAnsi="Times New Roman" w:eastAsia="宋体" w:cs="Times New Roman"/>
          <w:color w:val="auto"/>
          <w:sz w:val="36"/>
          <w:szCs w:val="36"/>
        </w:rPr>
      </w:pPr>
    </w:p>
    <w:p w14:paraId="6058F4CD">
      <w:pPr>
        <w:rPr>
          <w:rFonts w:hint="default" w:ascii="Times New Roman" w:hAnsi="Times New Roman" w:eastAsia="宋体" w:cs="Times New Roman"/>
          <w:color w:val="auto"/>
        </w:rPr>
      </w:pPr>
    </w:p>
    <w:p w14:paraId="22CCE9C8">
      <w:pPr>
        <w:rPr>
          <w:rFonts w:hint="default" w:ascii="Times New Roman" w:hAnsi="Times New Roman" w:eastAsia="宋体" w:cs="Times New Roman"/>
          <w:color w:val="auto"/>
          <w:sz w:val="36"/>
          <w:szCs w:val="36"/>
        </w:rPr>
      </w:pPr>
    </w:p>
    <w:p w14:paraId="5EF94438">
      <w:pPr>
        <w:rPr>
          <w:rFonts w:hint="default" w:ascii="Times New Roman" w:hAnsi="Times New Roman" w:eastAsia="宋体" w:cs="Times New Roman"/>
          <w:color w:val="auto"/>
          <w:sz w:val="36"/>
          <w:szCs w:val="36"/>
        </w:rPr>
      </w:pPr>
    </w:p>
    <w:p w14:paraId="46B8EAD8">
      <w:pPr>
        <w:rPr>
          <w:rFonts w:hint="default" w:ascii="Times New Roman" w:hAnsi="Times New Roman" w:eastAsia="宋体" w:cs="Times New Roman"/>
          <w:color w:val="auto"/>
          <w:sz w:val="36"/>
          <w:szCs w:val="36"/>
        </w:rPr>
      </w:pPr>
    </w:p>
    <w:p w14:paraId="73DC2A5A">
      <w:pPr>
        <w:rPr>
          <w:rFonts w:hint="default" w:ascii="Times New Roman" w:hAnsi="Times New Roman" w:eastAsia="宋体" w:cs="Times New Roman"/>
          <w:color w:val="auto"/>
          <w:sz w:val="36"/>
          <w:szCs w:val="36"/>
        </w:rPr>
      </w:pPr>
    </w:p>
    <w:p w14:paraId="0A67B1F6">
      <w:pPr>
        <w:adjustRightInd w:val="0"/>
        <w:snapToGrid w:val="0"/>
        <w:jc w:val="center"/>
        <w:outlineLvl w:val="9"/>
        <w:rPr>
          <w:rFonts w:hint="default" w:ascii="Times New Roman" w:hAnsi="Times New Roman" w:eastAsia="宋体" w:cs="Times New Roman"/>
          <w:b/>
          <w:bCs w:val="0"/>
          <w:color w:val="auto"/>
          <w:sz w:val="72"/>
          <w:szCs w:val="72"/>
        </w:rPr>
      </w:pPr>
      <w:r>
        <w:rPr>
          <w:rFonts w:hint="default" w:ascii="Times New Roman" w:hAnsi="Times New Roman" w:eastAsia="宋体" w:cs="Times New Roman"/>
          <w:b/>
          <w:bCs w:val="0"/>
          <w:color w:val="auto"/>
          <w:sz w:val="72"/>
          <w:szCs w:val="72"/>
        </w:rPr>
        <w:t>建设项目环境影响报告表</w:t>
      </w:r>
    </w:p>
    <w:p w14:paraId="2D252F59">
      <w:pPr>
        <w:adjustRightInd w:val="0"/>
        <w:snapToGrid w:val="0"/>
        <w:spacing w:before="192" w:beforeLines="80"/>
        <w:jc w:val="center"/>
        <w:rPr>
          <w:rFonts w:hint="default" w:ascii="Times New Roman" w:hAnsi="Times New Roman" w:eastAsia="宋体" w:cs="Times New Roman"/>
          <w:bCs/>
          <w:color w:val="auto"/>
          <w:sz w:val="48"/>
          <w:szCs w:val="48"/>
        </w:rPr>
      </w:pPr>
      <w:r>
        <w:rPr>
          <w:rFonts w:hint="default" w:ascii="Times New Roman" w:hAnsi="Times New Roman" w:eastAsia="宋体" w:cs="Times New Roman"/>
          <w:bCs/>
          <w:color w:val="auto"/>
          <w:sz w:val="48"/>
          <w:szCs w:val="48"/>
        </w:rPr>
        <w:t>（污染影响类）</w:t>
      </w:r>
    </w:p>
    <w:p w14:paraId="5511C138">
      <w:pPr>
        <w:adjustRightInd w:val="0"/>
        <w:snapToGrid w:val="0"/>
        <w:spacing w:line="288" w:lineRule="auto"/>
        <w:jc w:val="center"/>
        <w:outlineLvl w:val="9"/>
        <w:rPr>
          <w:rFonts w:hint="default" w:ascii="Times New Roman" w:hAnsi="Times New Roman" w:eastAsia="宋体" w:cs="Times New Roman"/>
          <w:color w:val="auto"/>
          <w:kern w:val="44"/>
          <w:sz w:val="44"/>
          <w:szCs w:val="44"/>
        </w:rPr>
      </w:pPr>
    </w:p>
    <w:p w14:paraId="6B7AFACF">
      <w:pPr>
        <w:jc w:val="center"/>
        <w:rPr>
          <w:rFonts w:hint="default" w:ascii="Times New Roman" w:hAnsi="Times New Roman" w:eastAsia="宋体" w:cs="Times New Roman"/>
          <w:color w:val="auto"/>
          <w:sz w:val="52"/>
          <w:szCs w:val="52"/>
        </w:rPr>
      </w:pPr>
    </w:p>
    <w:p w14:paraId="288EC827">
      <w:pPr>
        <w:ind w:firstLine="1040"/>
        <w:rPr>
          <w:rFonts w:hint="default" w:ascii="Times New Roman" w:hAnsi="Times New Roman" w:eastAsia="宋体" w:cs="Times New Roman"/>
          <w:color w:val="auto"/>
          <w:sz w:val="44"/>
          <w:szCs w:val="44"/>
        </w:rPr>
      </w:pPr>
    </w:p>
    <w:p w14:paraId="43729779">
      <w:pPr>
        <w:ind w:firstLine="1040"/>
        <w:rPr>
          <w:rFonts w:hint="default" w:ascii="Times New Roman" w:hAnsi="Times New Roman" w:eastAsia="宋体" w:cs="Times New Roman"/>
          <w:color w:val="auto"/>
          <w:sz w:val="44"/>
          <w:szCs w:val="44"/>
        </w:rPr>
      </w:pPr>
    </w:p>
    <w:p w14:paraId="2A462A56">
      <w:pPr>
        <w:ind w:firstLine="1040"/>
        <w:rPr>
          <w:rFonts w:hint="default" w:ascii="Times New Roman" w:hAnsi="Times New Roman" w:eastAsia="宋体" w:cs="Times New Roman"/>
          <w:color w:val="auto"/>
          <w:sz w:val="44"/>
          <w:szCs w:val="44"/>
        </w:rPr>
      </w:pPr>
    </w:p>
    <w:p w14:paraId="43617A68">
      <w:pPr>
        <w:ind w:firstLine="1040"/>
        <w:rPr>
          <w:rFonts w:hint="default" w:ascii="Times New Roman" w:hAnsi="Times New Roman" w:eastAsia="宋体" w:cs="Times New Roman"/>
          <w:color w:val="auto"/>
          <w:sz w:val="44"/>
          <w:szCs w:val="44"/>
        </w:rPr>
      </w:pPr>
    </w:p>
    <w:p w14:paraId="4ED08F34">
      <w:pPr>
        <w:adjustRightInd w:val="0"/>
        <w:snapToGrid w:val="0"/>
        <w:spacing w:line="288" w:lineRule="auto"/>
        <w:ind w:firstLine="1040"/>
        <w:rPr>
          <w:rFonts w:hint="default" w:ascii="Times New Roman" w:hAnsi="Times New Roman" w:eastAsia="宋体" w:cs="Times New Roman"/>
          <w:color w:val="auto"/>
          <w:sz w:val="30"/>
          <w:szCs w:val="30"/>
          <w:u w:val="single"/>
        </w:rPr>
      </w:pPr>
      <w:r>
        <w:rPr>
          <w:rFonts w:hint="default" w:ascii="Times New Roman" w:hAnsi="Times New Roman" w:eastAsia="宋体" w:cs="Times New Roman"/>
          <w:color w:val="auto"/>
          <w:sz w:val="30"/>
          <w:szCs w:val="30"/>
        </w:rPr>
        <w:t>项目名称：</w:t>
      </w:r>
      <w:r>
        <w:rPr>
          <w:rFonts w:hint="default" w:ascii="Times New Roman" w:hAnsi="Times New Roman" w:eastAsia="宋体" w:cs="Times New Roman"/>
          <w:color w:val="auto"/>
          <w:sz w:val="30"/>
          <w:szCs w:val="30"/>
          <w:u w:val="single"/>
        </w:rPr>
        <w:t xml:space="preserve"> 衡阳铂科电子器件制造生产项目 </w:t>
      </w:r>
    </w:p>
    <w:p w14:paraId="19826379">
      <w:pPr>
        <w:adjustRightInd w:val="0"/>
        <w:snapToGrid w:val="0"/>
        <w:spacing w:line="288" w:lineRule="auto"/>
        <w:ind w:firstLine="1040"/>
        <w:rPr>
          <w:rFonts w:hint="default" w:ascii="Times New Roman" w:hAnsi="Times New Roman" w:eastAsia="宋体" w:cs="Times New Roman"/>
          <w:color w:val="auto"/>
          <w:sz w:val="30"/>
          <w:szCs w:val="30"/>
          <w:u w:val="single"/>
        </w:rPr>
      </w:pPr>
      <w:r>
        <w:rPr>
          <w:rFonts w:hint="default" w:ascii="Times New Roman" w:hAnsi="Times New Roman" w:eastAsia="宋体" w:cs="Times New Roman"/>
          <w:color w:val="auto"/>
          <w:sz w:val="30"/>
          <w:szCs w:val="30"/>
        </w:rPr>
        <w:t>建设单位（盖章）：</w:t>
      </w:r>
      <w:r>
        <w:rPr>
          <w:rFonts w:hint="default" w:ascii="Times New Roman" w:hAnsi="Times New Roman" w:eastAsia="宋体" w:cs="Times New Roman"/>
          <w:color w:val="auto"/>
          <w:sz w:val="30"/>
          <w:szCs w:val="30"/>
          <w:u w:val="single"/>
        </w:rPr>
        <w:t xml:space="preserve"> </w:t>
      </w:r>
      <w:r>
        <w:rPr>
          <w:rFonts w:hint="default" w:ascii="Times New Roman" w:hAnsi="Times New Roman" w:eastAsia="宋体" w:cs="Times New Roman"/>
          <w:color w:val="auto"/>
          <w:sz w:val="30"/>
          <w:szCs w:val="30"/>
          <w:u w:val="single"/>
          <w:lang w:val="en-US" w:eastAsia="zh-CN"/>
        </w:rPr>
        <w:t xml:space="preserve">   </w:t>
      </w:r>
      <w:r>
        <w:rPr>
          <w:rFonts w:hint="default" w:ascii="Times New Roman" w:hAnsi="Times New Roman" w:eastAsia="宋体" w:cs="Times New Roman"/>
          <w:color w:val="auto"/>
          <w:sz w:val="30"/>
          <w:szCs w:val="30"/>
          <w:u w:val="single"/>
        </w:rPr>
        <w:t>衡阳铂科电子</w:t>
      </w:r>
      <w:r>
        <w:rPr>
          <w:rFonts w:hint="default" w:ascii="Times New Roman" w:hAnsi="Times New Roman" w:eastAsia="宋体" w:cs="Times New Roman"/>
          <w:color w:val="auto"/>
          <w:sz w:val="30"/>
          <w:szCs w:val="30"/>
          <w:u w:val="single"/>
          <w:lang w:val="en-US" w:eastAsia="zh-CN"/>
        </w:rPr>
        <w:t xml:space="preserve">有限公司  </w:t>
      </w:r>
      <w:r>
        <w:rPr>
          <w:rFonts w:hint="default" w:ascii="Times New Roman" w:hAnsi="Times New Roman" w:eastAsia="宋体" w:cs="Times New Roman"/>
          <w:color w:val="auto"/>
          <w:sz w:val="30"/>
          <w:szCs w:val="30"/>
          <w:u w:val="single"/>
        </w:rPr>
        <w:t xml:space="preserve"> </w:t>
      </w:r>
    </w:p>
    <w:p w14:paraId="0F250470">
      <w:pPr>
        <w:adjustRightInd w:val="0"/>
        <w:snapToGrid w:val="0"/>
        <w:spacing w:line="288" w:lineRule="auto"/>
        <w:ind w:firstLine="1040"/>
        <w:rPr>
          <w:rFonts w:hint="default" w:ascii="Times New Roman" w:hAnsi="Times New Roman" w:eastAsia="宋体" w:cs="Times New Roman"/>
          <w:color w:val="auto"/>
          <w:sz w:val="30"/>
          <w:szCs w:val="30"/>
          <w:u w:val="single"/>
        </w:rPr>
      </w:pPr>
      <w:r>
        <w:rPr>
          <w:rFonts w:hint="default" w:ascii="Times New Roman" w:hAnsi="Times New Roman" w:eastAsia="宋体" w:cs="Times New Roman"/>
          <w:color w:val="auto"/>
          <w:sz w:val="30"/>
          <w:szCs w:val="30"/>
        </w:rPr>
        <w:t>编制日期：</w:t>
      </w:r>
      <w:r>
        <w:rPr>
          <w:rFonts w:hint="default" w:ascii="Times New Roman" w:hAnsi="Times New Roman" w:eastAsia="宋体" w:cs="Times New Roman"/>
          <w:color w:val="auto"/>
          <w:sz w:val="30"/>
          <w:szCs w:val="30"/>
          <w:u w:val="single"/>
        </w:rPr>
        <w:t xml:space="preserve">    </w:t>
      </w:r>
      <w:r>
        <w:rPr>
          <w:rFonts w:hint="default" w:ascii="Times New Roman" w:hAnsi="Times New Roman" w:eastAsia="宋体" w:cs="Times New Roman"/>
          <w:color w:val="auto"/>
          <w:sz w:val="30"/>
          <w:szCs w:val="30"/>
          <w:u w:val="single"/>
          <w:lang w:val="en-US" w:eastAsia="zh-CN"/>
        </w:rPr>
        <w:t xml:space="preserve">     </w:t>
      </w:r>
      <w:r>
        <w:rPr>
          <w:rFonts w:hint="default" w:ascii="Times New Roman" w:hAnsi="Times New Roman" w:eastAsia="宋体" w:cs="Times New Roman"/>
          <w:color w:val="auto"/>
          <w:sz w:val="30"/>
          <w:szCs w:val="30"/>
          <w:u w:val="single"/>
        </w:rPr>
        <w:t xml:space="preserve"> </w:t>
      </w:r>
      <w:r>
        <w:rPr>
          <w:rFonts w:hint="default" w:ascii="Times New Roman" w:hAnsi="Times New Roman" w:eastAsia="宋体" w:cs="Times New Roman"/>
          <w:color w:val="auto"/>
          <w:sz w:val="30"/>
          <w:szCs w:val="30"/>
          <w:u w:val="single"/>
          <w:lang w:val="en-US" w:eastAsia="zh-CN"/>
        </w:rPr>
        <w:t>2025年</w:t>
      </w:r>
      <w:r>
        <w:rPr>
          <w:rFonts w:hint="eastAsia" w:ascii="Times New Roman" w:hAnsi="Times New Roman" w:eastAsia="宋体" w:cs="Times New Roman"/>
          <w:color w:val="auto"/>
          <w:sz w:val="30"/>
          <w:szCs w:val="30"/>
          <w:u w:val="single"/>
          <w:lang w:val="en-US" w:eastAsia="zh-CN"/>
        </w:rPr>
        <w:t>5</w:t>
      </w:r>
      <w:r>
        <w:rPr>
          <w:rFonts w:hint="default" w:ascii="Times New Roman" w:hAnsi="Times New Roman" w:eastAsia="宋体" w:cs="Times New Roman"/>
          <w:color w:val="auto"/>
          <w:sz w:val="30"/>
          <w:szCs w:val="30"/>
          <w:u w:val="single"/>
          <w:lang w:val="en-US" w:eastAsia="zh-CN"/>
        </w:rPr>
        <w:t>月</w:t>
      </w:r>
      <w:r>
        <w:rPr>
          <w:rFonts w:hint="default" w:ascii="Times New Roman" w:hAnsi="Times New Roman" w:eastAsia="宋体" w:cs="Times New Roman"/>
          <w:color w:val="auto"/>
          <w:sz w:val="30"/>
          <w:szCs w:val="30"/>
          <w:u w:val="single"/>
        </w:rPr>
        <w:t xml:space="preserve">    </w:t>
      </w:r>
      <w:r>
        <w:rPr>
          <w:rFonts w:hint="default" w:ascii="Times New Roman" w:hAnsi="Times New Roman" w:eastAsia="宋体" w:cs="Times New Roman"/>
          <w:color w:val="auto"/>
          <w:sz w:val="30"/>
          <w:szCs w:val="30"/>
          <w:u w:val="single"/>
          <w:lang w:val="en-US" w:eastAsia="zh-CN"/>
        </w:rPr>
        <w:t xml:space="preserve">     </w:t>
      </w:r>
      <w:r>
        <w:rPr>
          <w:rFonts w:hint="default" w:ascii="Times New Roman" w:hAnsi="Times New Roman" w:eastAsia="宋体" w:cs="Times New Roman"/>
          <w:color w:val="auto"/>
          <w:sz w:val="30"/>
          <w:szCs w:val="30"/>
          <w:u w:val="single"/>
        </w:rPr>
        <w:t xml:space="preserve"> </w:t>
      </w:r>
    </w:p>
    <w:p w14:paraId="56FB658A">
      <w:pPr>
        <w:adjustRightInd w:val="0"/>
        <w:snapToGrid w:val="0"/>
        <w:spacing w:line="288" w:lineRule="auto"/>
        <w:ind w:firstLine="1040"/>
        <w:rPr>
          <w:rFonts w:hint="default" w:ascii="Times New Roman" w:hAnsi="Times New Roman" w:eastAsia="宋体" w:cs="Times New Roman"/>
          <w:color w:val="auto"/>
          <w:sz w:val="36"/>
          <w:szCs w:val="36"/>
          <w:u w:val="single"/>
        </w:rPr>
      </w:pPr>
      <w:bookmarkStart w:id="0" w:name="_Hlk57884087"/>
    </w:p>
    <w:p w14:paraId="71462FE4">
      <w:pPr>
        <w:adjustRightInd w:val="0"/>
        <w:snapToGrid w:val="0"/>
        <w:spacing w:line="288" w:lineRule="auto"/>
        <w:ind w:firstLine="1040"/>
        <w:rPr>
          <w:rFonts w:hint="default" w:ascii="Times New Roman" w:hAnsi="Times New Roman" w:eastAsia="宋体" w:cs="Times New Roman"/>
          <w:color w:val="auto"/>
          <w:sz w:val="36"/>
          <w:szCs w:val="36"/>
        </w:rPr>
      </w:pPr>
    </w:p>
    <w:p w14:paraId="22A973A5">
      <w:pPr>
        <w:adjustRightInd w:val="0"/>
        <w:snapToGrid w:val="0"/>
        <w:spacing w:line="288" w:lineRule="auto"/>
        <w:ind w:firstLine="1040"/>
        <w:rPr>
          <w:rFonts w:hint="default" w:ascii="Times New Roman" w:hAnsi="Times New Roman" w:eastAsia="宋体" w:cs="Times New Roman"/>
          <w:color w:val="auto"/>
          <w:sz w:val="36"/>
          <w:szCs w:val="36"/>
        </w:rPr>
      </w:pPr>
    </w:p>
    <w:bookmarkEnd w:id="0"/>
    <w:p w14:paraId="64B3D208">
      <w:pPr>
        <w:adjustRightInd w:val="0"/>
        <w:snapToGrid w:val="0"/>
        <w:spacing w:line="288" w:lineRule="auto"/>
        <w:jc w:val="center"/>
        <w:outlineLvl w:val="9"/>
        <w:rPr>
          <w:rFonts w:hint="default" w:ascii="Times New Roman" w:hAnsi="Times New Roman" w:eastAsia="宋体" w:cs="Times New Roman"/>
          <w:color w:val="auto"/>
          <w:sz w:val="36"/>
          <w:szCs w:val="36"/>
        </w:rPr>
      </w:pPr>
      <w:r>
        <w:rPr>
          <w:rFonts w:hint="default" w:ascii="Times New Roman" w:hAnsi="Times New Roman" w:eastAsia="宋体" w:cs="Times New Roman"/>
          <w:color w:val="auto"/>
          <w:sz w:val="36"/>
          <w:szCs w:val="36"/>
        </w:rPr>
        <w:t>中华人民共和国生态环境部制</w:t>
      </w:r>
    </w:p>
    <w:p w14:paraId="36B26F15">
      <w:pPr>
        <w:adjustRightInd w:val="0"/>
        <w:snapToGrid w:val="0"/>
        <w:spacing w:line="288" w:lineRule="auto"/>
        <w:ind w:firstLine="1040"/>
        <w:rPr>
          <w:rFonts w:hint="default" w:ascii="Times New Roman" w:hAnsi="Times New Roman" w:eastAsia="宋体" w:cs="Times New Roman"/>
          <w:color w:val="auto"/>
          <w:sz w:val="36"/>
          <w:szCs w:val="36"/>
        </w:rPr>
        <w:sectPr>
          <w:footerReference r:id="rId3" w:type="default"/>
          <w:footerReference r:id="rId4" w:type="even"/>
          <w:pgSz w:w="11906" w:h="16838"/>
          <w:pgMar w:top="1701" w:right="1531" w:bottom="1701" w:left="1531" w:header="851" w:footer="1077" w:gutter="0"/>
          <w:pgNumType w:fmt="decimal" w:start="3"/>
          <w:cols w:space="720" w:num="1"/>
          <w:docGrid w:linePitch="312" w:charSpace="0"/>
        </w:sectPr>
      </w:pPr>
    </w:p>
    <w:p w14:paraId="787E4F96">
      <w:pPr>
        <w:pStyle w:val="15"/>
        <w:jc w:val="center"/>
        <w:outlineLvl w:val="9"/>
        <w:rPr>
          <w:rFonts w:hint="default" w:ascii="Times New Roman" w:hAnsi="Times New Roman" w:eastAsia="宋体" w:cs="Times New Roman"/>
          <w:color w:val="auto"/>
        </w:rPr>
        <w:sectPr>
          <w:headerReference r:id="rId5" w:type="default"/>
          <w:footerReference r:id="rId6" w:type="default"/>
          <w:pgSz w:w="11906" w:h="16838"/>
          <w:pgMar w:top="1701" w:right="1531" w:bottom="1701" w:left="1531" w:header="851" w:footer="1077" w:gutter="0"/>
          <w:pgNumType w:fmt="decimal" w:start="1"/>
          <w:cols w:space="720" w:num="1"/>
          <w:docGrid w:linePitch="312" w:charSpace="0"/>
        </w:sectPr>
      </w:pPr>
      <w:r>
        <w:drawing>
          <wp:inline distT="0" distB="0" distL="0" distR="0">
            <wp:extent cx="5778500" cy="8133080"/>
            <wp:effectExtent l="0" t="0" r="12700" b="1270"/>
            <wp:docPr id="1026" name="图片 3"/>
            <wp:cNvGraphicFramePr/>
            <a:graphic xmlns:a="http://schemas.openxmlformats.org/drawingml/2006/main">
              <a:graphicData uri="http://schemas.openxmlformats.org/drawingml/2006/picture">
                <pic:pic xmlns:pic="http://schemas.openxmlformats.org/drawingml/2006/picture">
                  <pic:nvPicPr>
                    <pic:cNvPr id="1026" name="图片 3"/>
                    <pic:cNvPicPr/>
                  </pic:nvPicPr>
                  <pic:blipFill>
                    <a:blip r:embed="rId12" cstate="print"/>
                    <a:srcRect/>
                    <a:stretch>
                      <a:fillRect/>
                    </a:stretch>
                  </pic:blipFill>
                  <pic:spPr>
                    <a:xfrm>
                      <a:off x="0" y="0"/>
                      <a:ext cx="5778500" cy="8133080"/>
                    </a:xfrm>
                    <a:prstGeom prst="rect">
                      <a:avLst/>
                    </a:prstGeom>
                    <a:ln>
                      <a:noFill/>
                    </a:ln>
                  </pic:spPr>
                </pic:pic>
              </a:graphicData>
            </a:graphic>
          </wp:inline>
        </w:drawing>
      </w:r>
    </w:p>
    <w:p w14:paraId="0074CA51">
      <w:pPr>
        <w:ind w:left="0" w:leftChars="0" w:firstLine="0" w:firstLineChars="0"/>
        <w:jc w:val="center"/>
        <w:rPr>
          <w:rFonts w:hint="default" w:ascii="Times New Roman" w:hAnsi="Times New Roman" w:eastAsia="宋体" w:cs="Times New Roman"/>
          <w:b/>
          <w:bCs/>
          <w:color w:val="auto"/>
          <w:sz w:val="28"/>
          <w:szCs w:val="36"/>
          <w:lang w:val="en-US" w:eastAsia="zh-CN"/>
        </w:rPr>
      </w:pPr>
      <w:r>
        <w:rPr>
          <w:rFonts w:hint="default" w:ascii="Times New Roman" w:hAnsi="Times New Roman" w:eastAsia="宋体" w:cs="Times New Roman"/>
          <w:b/>
          <w:bCs/>
          <w:color w:val="auto"/>
          <w:sz w:val="28"/>
          <w:szCs w:val="36"/>
          <w:lang w:val="en-US" w:eastAsia="zh-CN"/>
        </w:rPr>
        <w:t>专家修改意见说明</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56"/>
        <w:gridCol w:w="4622"/>
      </w:tblGrid>
      <w:tr w14:paraId="3421D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156" w:type="dxa"/>
            <w:vAlign w:val="center"/>
          </w:tcPr>
          <w:p w14:paraId="60A7BDF4">
            <w:pPr>
              <w:pStyle w:val="2"/>
              <w:keepNext w:val="0"/>
              <w:keepLines w:val="0"/>
              <w:pageBreakBefore w:val="0"/>
              <w:widowControl w:val="0"/>
              <w:kinsoku/>
              <w:wordWrap/>
              <w:overflowPunct/>
              <w:topLinePunct w:val="0"/>
              <w:autoSpaceDE/>
              <w:autoSpaceDN/>
              <w:bidi w:val="0"/>
              <w:spacing w:before="32" w:beforeLines="10" w:after="32" w:afterLines="10" w:line="240" w:lineRule="auto"/>
              <w:ind w:left="21" w:leftChars="10" w:right="21" w:rightChars="10"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修改意见</w:t>
            </w:r>
          </w:p>
        </w:tc>
        <w:tc>
          <w:tcPr>
            <w:tcW w:w="4622" w:type="dxa"/>
            <w:vAlign w:val="center"/>
          </w:tcPr>
          <w:p w14:paraId="04CE0EDA">
            <w:pPr>
              <w:pStyle w:val="2"/>
              <w:keepNext w:val="0"/>
              <w:keepLines w:val="0"/>
              <w:pageBreakBefore w:val="0"/>
              <w:widowControl w:val="0"/>
              <w:kinsoku/>
              <w:wordWrap/>
              <w:overflowPunct/>
              <w:topLinePunct w:val="0"/>
              <w:autoSpaceDE/>
              <w:autoSpaceDN/>
              <w:bidi w:val="0"/>
              <w:spacing w:before="32" w:beforeLines="10" w:after="32" w:afterLines="10" w:line="240" w:lineRule="auto"/>
              <w:ind w:left="21" w:leftChars="10" w:right="21" w:rightChars="10"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修改说明</w:t>
            </w:r>
          </w:p>
        </w:tc>
      </w:tr>
      <w:tr w14:paraId="135A4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6" w:type="dxa"/>
            <w:vAlign w:val="center"/>
          </w:tcPr>
          <w:p w14:paraId="7F729815">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rPr>
              <w:t>补充与《湖南省大气污染防治“守护蓝天”攻坚行动计划（2023-2025年）》符合性分析；</w:t>
            </w:r>
            <w:r>
              <w:rPr>
                <w:rFonts w:hint="default" w:ascii="Times New Roman" w:hAnsi="Times New Roman" w:eastAsia="宋体" w:cs="Times New Roman"/>
                <w:color w:val="auto"/>
                <w:sz w:val="24"/>
                <w:szCs w:val="24"/>
                <w:lang w:val="en-US" w:eastAsia="zh-CN"/>
              </w:rPr>
              <w:t>补充新污染物二氯甲烷与相关政策要求（环环评[2025]28号）的相符性分析。</w:t>
            </w:r>
          </w:p>
        </w:tc>
        <w:tc>
          <w:tcPr>
            <w:tcW w:w="4622" w:type="dxa"/>
            <w:vAlign w:val="center"/>
          </w:tcPr>
          <w:p w14:paraId="6182A762">
            <w:pPr>
              <w:pStyle w:val="2"/>
              <w:keepNext w:val="0"/>
              <w:keepLines w:val="0"/>
              <w:pageBreakBefore w:val="0"/>
              <w:widowControl w:val="0"/>
              <w:kinsoku/>
              <w:wordWrap/>
              <w:overflowPunct/>
              <w:topLinePunct w:val="0"/>
              <w:autoSpaceDE/>
              <w:autoSpaceDN/>
              <w:bidi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val="0"/>
                <w:bCs w:val="0"/>
                <w:color w:val="auto"/>
                <w:sz w:val="24"/>
                <w:szCs w:val="24"/>
                <w:vertAlign w:val="baseline"/>
                <w:lang w:val="en-US" w:eastAsia="zh-CN"/>
              </w:rPr>
              <w:t>已补充本项目与《湖南省大气污染防治“守护蓝天”攻坚行动计划（2023-2025年）》的符合性分析，详见P11；本项目不属于《关于加强重点行业涉新污染物建设项目环境影响评价工作的意见》（环环评[2025]28号）中石化、涂料、纺织印染、橡胶、农药、医药六大行的建设项目。</w:t>
            </w:r>
          </w:p>
        </w:tc>
      </w:tr>
      <w:tr w14:paraId="38C89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6" w:type="dxa"/>
            <w:vAlign w:val="center"/>
          </w:tcPr>
          <w:p w14:paraId="40EAC86B">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lang w:val="en-US" w:eastAsia="zh-CN"/>
              </w:rPr>
              <w:t>建议补充特征因子TSP、二氯甲烷等的现状数据；补充有组织废气排放标准、厂区内挥发性有机物无组织排放相关标准值；更新危废暂存标准。</w:t>
            </w:r>
          </w:p>
        </w:tc>
        <w:tc>
          <w:tcPr>
            <w:tcW w:w="4622" w:type="dxa"/>
            <w:vAlign w:val="center"/>
          </w:tcPr>
          <w:p w14:paraId="7D2E102D">
            <w:pPr>
              <w:pStyle w:val="2"/>
              <w:keepNext w:val="0"/>
              <w:keepLines w:val="0"/>
              <w:pageBreakBefore w:val="0"/>
              <w:widowControl w:val="0"/>
              <w:kinsoku/>
              <w:wordWrap/>
              <w:overflowPunct/>
              <w:topLinePunct w:val="0"/>
              <w:autoSpaceDE/>
              <w:autoSpaceDN/>
              <w:bidi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val="0"/>
                <w:bCs w:val="0"/>
                <w:color w:val="auto"/>
                <w:sz w:val="24"/>
                <w:szCs w:val="24"/>
                <w:vertAlign w:val="baseline"/>
                <w:lang w:val="en-US" w:eastAsia="zh-CN"/>
              </w:rPr>
              <w:t>已补充TSP现状数据，详见表3-2，根据《关于加强重点行业涉新污染物建设项目环境影响评价工作的意见》（环环评[2025]28号）要求，属于石化、涂料、纺织印染、橡胶、农药、医药六大行的项目需要重点管控新污染物，本项目不属于六大行，无需补充新污染物二氯甲烷的现状监测；已更新危废暂存标准。</w:t>
            </w:r>
          </w:p>
        </w:tc>
      </w:tr>
      <w:tr w14:paraId="71E26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6" w:type="dxa"/>
            <w:vAlign w:val="center"/>
          </w:tcPr>
          <w:p w14:paraId="7302C170">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b w:val="0"/>
                <w:bCs w:val="0"/>
                <w:snapToGrid/>
                <w:color w:val="auto"/>
                <w:kern w:val="2"/>
                <w:sz w:val="24"/>
                <w:szCs w:val="24"/>
                <w:lang w:val="en-US" w:eastAsia="zh-CN" w:bidi="ar-SA"/>
              </w:rPr>
            </w:pPr>
            <w:r>
              <w:rPr>
                <w:rFonts w:hint="default" w:ascii="Times New Roman" w:hAnsi="Times New Roman" w:eastAsia="宋体" w:cs="Times New Roman"/>
                <w:b w:val="0"/>
                <w:bCs w:val="0"/>
                <w:snapToGrid/>
                <w:color w:val="auto"/>
                <w:kern w:val="2"/>
                <w:sz w:val="24"/>
                <w:szCs w:val="24"/>
                <w:lang w:val="en-US" w:eastAsia="zh-CN" w:bidi="ar-SA"/>
              </w:rPr>
              <w:t>完善项目工程内容一览表、主要生产设备一览表；核实原辅材料种类、用量，完善原辅材料的理化性质说明。</w:t>
            </w:r>
          </w:p>
        </w:tc>
        <w:tc>
          <w:tcPr>
            <w:tcW w:w="4622" w:type="dxa"/>
            <w:vAlign w:val="center"/>
          </w:tcPr>
          <w:p w14:paraId="7B8CE675">
            <w:pPr>
              <w:pStyle w:val="2"/>
              <w:keepNext w:val="0"/>
              <w:keepLines w:val="0"/>
              <w:pageBreakBefore w:val="0"/>
              <w:widowControl w:val="0"/>
              <w:kinsoku/>
              <w:wordWrap/>
              <w:overflowPunct/>
              <w:topLinePunct w:val="0"/>
              <w:autoSpaceDE/>
              <w:autoSpaceDN/>
              <w:bidi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val="0"/>
                <w:bCs w:val="0"/>
                <w:color w:val="auto"/>
                <w:sz w:val="24"/>
                <w:szCs w:val="24"/>
                <w:u w:val="none"/>
                <w:vertAlign w:val="baseline"/>
                <w:lang w:val="en-US" w:eastAsia="zh-CN"/>
              </w:rPr>
              <w:t>已完善项目工程内容和生产设备，详见表2-1；补充了阻燃导热液体灌封胶贺双组份导热凝胶的理化性质说明。</w:t>
            </w:r>
          </w:p>
        </w:tc>
      </w:tr>
      <w:tr w14:paraId="7C016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6" w:type="dxa"/>
            <w:vAlign w:val="center"/>
          </w:tcPr>
          <w:p w14:paraId="120AF768">
            <w:pPr>
              <w:pStyle w:val="2"/>
              <w:keepNext w:val="0"/>
              <w:keepLines w:val="0"/>
              <w:pageBreakBefore w:val="0"/>
              <w:widowControl w:val="0"/>
              <w:kinsoku/>
              <w:wordWrap/>
              <w:overflowPunct/>
              <w:topLinePunct w:val="0"/>
              <w:autoSpaceDE/>
              <w:autoSpaceDN/>
              <w:bidi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b w:val="0"/>
                <w:bCs w:val="0"/>
                <w:snapToGrid/>
                <w:color w:val="auto"/>
                <w:kern w:val="2"/>
                <w:sz w:val="24"/>
                <w:szCs w:val="24"/>
                <w:lang w:val="en-US" w:eastAsia="zh-CN" w:bidi="ar-SA"/>
              </w:rPr>
            </w:pPr>
            <w:r>
              <w:rPr>
                <w:rFonts w:hint="default" w:ascii="Times New Roman" w:hAnsi="Times New Roman" w:eastAsia="宋体" w:cs="Times New Roman"/>
                <w:b w:val="0"/>
                <w:bCs w:val="0"/>
                <w:snapToGrid/>
                <w:color w:val="auto"/>
                <w:kern w:val="2"/>
                <w:sz w:val="24"/>
                <w:szCs w:val="24"/>
                <w:lang w:val="en-US" w:eastAsia="zh-CN" w:bidi="ar-SA"/>
              </w:rPr>
              <w:t>根据企业的实际生产情况，进一步完善项目工艺流程及产排污节点说明（补充钢网清洗相关污染物）。</w:t>
            </w:r>
          </w:p>
        </w:tc>
        <w:tc>
          <w:tcPr>
            <w:tcW w:w="4622" w:type="dxa"/>
            <w:vAlign w:val="center"/>
          </w:tcPr>
          <w:p w14:paraId="2298B6DD">
            <w:pPr>
              <w:pStyle w:val="2"/>
              <w:keepNext w:val="0"/>
              <w:keepLines w:val="0"/>
              <w:pageBreakBefore w:val="0"/>
              <w:widowControl w:val="0"/>
              <w:kinsoku/>
              <w:wordWrap/>
              <w:overflowPunct/>
              <w:topLinePunct w:val="0"/>
              <w:autoSpaceDE/>
              <w:autoSpaceDN/>
              <w:bidi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val="0"/>
                <w:bCs w:val="0"/>
                <w:color w:val="auto"/>
                <w:sz w:val="24"/>
                <w:szCs w:val="24"/>
                <w:vertAlign w:val="baseline"/>
                <w:lang w:val="en-US" w:eastAsia="zh-CN"/>
              </w:rPr>
              <w:t>已完善项目工艺流程，钢网清洗直接使用含氢氧化钠的清洗剂，废水按危险废物处理，已在工艺流程描述小节进行了说明。</w:t>
            </w:r>
          </w:p>
        </w:tc>
      </w:tr>
      <w:tr w14:paraId="1353D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6" w:type="dxa"/>
            <w:vAlign w:val="center"/>
          </w:tcPr>
          <w:p w14:paraId="3AEC5737">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lang w:val="en-US" w:eastAsia="zh-CN"/>
              </w:rPr>
              <w:t>完善废气源强核算及</w:t>
            </w:r>
            <w:r>
              <w:rPr>
                <w:rFonts w:hint="default" w:ascii="Times New Roman" w:hAnsi="Times New Roman" w:eastAsia="宋体" w:cs="Times New Roman"/>
                <w:color w:val="auto"/>
                <w:sz w:val="24"/>
                <w:szCs w:val="24"/>
              </w:rPr>
              <w:t>收集治理措施，</w:t>
            </w:r>
            <w:r>
              <w:rPr>
                <w:rFonts w:hint="default" w:ascii="Times New Roman" w:hAnsi="Times New Roman" w:eastAsia="宋体" w:cs="Times New Roman"/>
                <w:color w:val="auto"/>
                <w:sz w:val="24"/>
                <w:szCs w:val="24"/>
                <w:lang w:val="en-US" w:eastAsia="zh-CN"/>
              </w:rPr>
              <w:t>核实废气的去除效率，明确废气的排放形式；说明使用单级活性炭处理VOCs的可行性。</w:t>
            </w:r>
          </w:p>
        </w:tc>
        <w:tc>
          <w:tcPr>
            <w:tcW w:w="4622" w:type="dxa"/>
            <w:vAlign w:val="center"/>
          </w:tcPr>
          <w:p w14:paraId="1F7EBBE1">
            <w:pPr>
              <w:pStyle w:val="2"/>
              <w:keepNext w:val="0"/>
              <w:keepLines w:val="0"/>
              <w:pageBreakBefore w:val="0"/>
              <w:widowControl w:val="0"/>
              <w:kinsoku/>
              <w:wordWrap/>
              <w:overflowPunct/>
              <w:topLinePunct w:val="0"/>
              <w:autoSpaceDE/>
              <w:autoSpaceDN/>
              <w:bidi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val="0"/>
                <w:bCs w:val="0"/>
                <w:color w:val="auto"/>
                <w:sz w:val="24"/>
                <w:szCs w:val="24"/>
                <w:vertAlign w:val="baseline"/>
                <w:lang w:val="en-US" w:eastAsia="zh-CN"/>
              </w:rPr>
              <w:t>废气治理措施使用两级活性炭，去除效率参考《主要污染物排放总量减排核算技术指南》（2022年修订）计算。</w:t>
            </w:r>
          </w:p>
        </w:tc>
      </w:tr>
      <w:tr w14:paraId="10BEA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6" w:type="dxa"/>
            <w:vAlign w:val="center"/>
          </w:tcPr>
          <w:p w14:paraId="35020BD6">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lang w:val="en-US" w:eastAsia="zh-CN"/>
              </w:rPr>
              <w:t>结合企业的生产特点，核实项目生产废水产排情况</w:t>
            </w:r>
            <w:r>
              <w:rPr>
                <w:rFonts w:hint="default" w:ascii="Times New Roman" w:hAnsi="Times New Roman" w:eastAsia="宋体" w:cs="Times New Roman"/>
                <w:color w:val="auto"/>
                <w:sz w:val="24"/>
                <w:szCs w:val="24"/>
                <w:highlight w:val="none"/>
                <w:lang w:val="en-US" w:eastAsia="zh-CN"/>
              </w:rPr>
              <w:t>（遗漏钢网清洗废水）</w:t>
            </w:r>
            <w:r>
              <w:rPr>
                <w:rFonts w:hint="default" w:ascii="Times New Roman" w:hAnsi="Times New Roman" w:eastAsia="宋体" w:cs="Times New Roman"/>
                <w:color w:val="auto"/>
                <w:sz w:val="24"/>
                <w:szCs w:val="24"/>
                <w:lang w:val="en-US" w:eastAsia="zh-CN"/>
              </w:rPr>
              <w:t>。</w:t>
            </w:r>
          </w:p>
        </w:tc>
        <w:tc>
          <w:tcPr>
            <w:tcW w:w="4622" w:type="dxa"/>
            <w:vAlign w:val="center"/>
          </w:tcPr>
          <w:p w14:paraId="0BFC9A1C">
            <w:pPr>
              <w:pStyle w:val="2"/>
              <w:keepNext w:val="0"/>
              <w:keepLines w:val="0"/>
              <w:pageBreakBefore w:val="0"/>
              <w:widowControl w:val="0"/>
              <w:kinsoku/>
              <w:wordWrap/>
              <w:overflowPunct/>
              <w:topLinePunct w:val="0"/>
              <w:autoSpaceDE/>
              <w:autoSpaceDN/>
              <w:bidi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val="0"/>
                <w:bCs w:val="0"/>
                <w:color w:val="auto"/>
                <w:sz w:val="24"/>
                <w:szCs w:val="24"/>
                <w:highlight w:val="none"/>
                <w:lang w:val="en-US" w:eastAsia="zh-CN"/>
              </w:rPr>
              <w:t>清洗废水属于危废，已在工艺流程描述中补充说明。</w:t>
            </w:r>
          </w:p>
        </w:tc>
      </w:tr>
      <w:tr w14:paraId="7031E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6" w:type="dxa"/>
            <w:vAlign w:val="center"/>
          </w:tcPr>
          <w:p w14:paraId="46D793B0">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rPr>
              <w:t>结合项目特点核实固废种类及产生量；完善各类固废的处理处置措施；</w:t>
            </w:r>
            <w:r>
              <w:rPr>
                <w:rFonts w:hint="default" w:ascii="Times New Roman" w:hAnsi="Times New Roman" w:eastAsia="宋体" w:cs="Times New Roman"/>
                <w:color w:val="auto"/>
                <w:sz w:val="24"/>
                <w:szCs w:val="24"/>
                <w:lang w:val="en-US" w:eastAsia="zh-CN"/>
              </w:rPr>
              <w:t>核实危废代码，细化</w:t>
            </w:r>
            <w:r>
              <w:rPr>
                <w:rFonts w:hint="default" w:ascii="Times New Roman" w:hAnsi="Times New Roman" w:eastAsia="宋体" w:cs="Times New Roman"/>
                <w:color w:val="auto"/>
                <w:sz w:val="24"/>
                <w:szCs w:val="24"/>
              </w:rPr>
              <w:t>危废暂存间</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点</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的建设要求</w:t>
            </w:r>
            <w:r>
              <w:rPr>
                <w:rFonts w:hint="default" w:ascii="Times New Roman" w:hAnsi="Times New Roman" w:eastAsia="宋体" w:cs="Times New Roman"/>
                <w:color w:val="auto"/>
                <w:sz w:val="24"/>
                <w:szCs w:val="24"/>
                <w:lang w:eastAsia="zh-CN"/>
              </w:rPr>
              <w:t>。</w:t>
            </w:r>
          </w:p>
        </w:tc>
        <w:tc>
          <w:tcPr>
            <w:tcW w:w="4622" w:type="dxa"/>
            <w:vAlign w:val="center"/>
          </w:tcPr>
          <w:p w14:paraId="3BFEE56E">
            <w:pPr>
              <w:pStyle w:val="2"/>
              <w:keepNext w:val="0"/>
              <w:keepLines w:val="0"/>
              <w:pageBreakBefore w:val="0"/>
              <w:widowControl w:val="0"/>
              <w:kinsoku/>
              <w:wordWrap/>
              <w:overflowPunct/>
              <w:topLinePunct w:val="0"/>
              <w:autoSpaceDE/>
              <w:autoSpaceDN/>
              <w:bidi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val="0"/>
                <w:bCs w:val="0"/>
                <w:color w:val="auto"/>
                <w:sz w:val="24"/>
                <w:szCs w:val="24"/>
                <w:vertAlign w:val="baseline"/>
                <w:lang w:val="en-US" w:eastAsia="zh-CN"/>
              </w:rPr>
              <w:t>已根据《国家危险废物名录》（2025版）核实危废代码，并根据《危险废物贮存污染控制标准》(GB 18597-2023)细化了</w:t>
            </w:r>
            <w:r>
              <w:rPr>
                <w:rFonts w:hint="default" w:ascii="Times New Roman" w:hAnsi="Times New Roman" w:eastAsia="宋体" w:cs="Times New Roman"/>
                <w:b w:val="0"/>
                <w:bCs w:val="0"/>
                <w:color w:val="auto"/>
                <w:sz w:val="24"/>
                <w:szCs w:val="24"/>
              </w:rPr>
              <w:t>危废暂存间</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点</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的建设要求</w:t>
            </w:r>
            <w:r>
              <w:rPr>
                <w:rFonts w:hint="default" w:ascii="Times New Roman" w:hAnsi="Times New Roman" w:eastAsia="宋体" w:cs="Times New Roman"/>
                <w:b w:val="0"/>
                <w:bCs w:val="0"/>
                <w:color w:val="auto"/>
                <w:sz w:val="24"/>
                <w:szCs w:val="24"/>
                <w:vertAlign w:val="baseline"/>
                <w:lang w:val="en-US" w:eastAsia="zh-CN"/>
              </w:rPr>
              <w:t>。</w:t>
            </w:r>
          </w:p>
        </w:tc>
      </w:tr>
      <w:tr w14:paraId="7899A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6" w:type="dxa"/>
            <w:vAlign w:val="center"/>
          </w:tcPr>
          <w:p w14:paraId="7DCD8BC2">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根据导则要求，分室内外统计噪声源，并</w:t>
            </w:r>
            <w:r>
              <w:rPr>
                <w:rFonts w:hint="default" w:ascii="Times New Roman" w:hAnsi="Times New Roman" w:eastAsia="宋体" w:cs="Times New Roman"/>
                <w:color w:val="auto"/>
                <w:sz w:val="24"/>
                <w:szCs w:val="24"/>
              </w:rPr>
              <w:t>完善噪声影响预测</w:t>
            </w:r>
            <w:r>
              <w:rPr>
                <w:rFonts w:hint="default" w:ascii="Times New Roman" w:hAnsi="Times New Roman" w:eastAsia="宋体" w:cs="Times New Roman"/>
                <w:color w:val="auto"/>
                <w:sz w:val="24"/>
                <w:szCs w:val="24"/>
                <w:lang w:eastAsia="zh-CN"/>
              </w:rPr>
              <w:t>。</w:t>
            </w:r>
          </w:p>
        </w:tc>
        <w:tc>
          <w:tcPr>
            <w:tcW w:w="4622" w:type="dxa"/>
            <w:vAlign w:val="center"/>
          </w:tcPr>
          <w:p w14:paraId="4D183E44">
            <w:pPr>
              <w:pStyle w:val="2"/>
              <w:keepNext w:val="0"/>
              <w:keepLines w:val="0"/>
              <w:pageBreakBefore w:val="0"/>
              <w:widowControl w:val="0"/>
              <w:kinsoku/>
              <w:wordWrap/>
              <w:overflowPunct/>
              <w:topLinePunct w:val="0"/>
              <w:autoSpaceDE/>
              <w:autoSpaceDN/>
              <w:bidi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val="0"/>
                <w:bCs w:val="0"/>
                <w:color w:val="auto"/>
                <w:sz w:val="24"/>
                <w:szCs w:val="24"/>
                <w:vertAlign w:val="baseline"/>
                <w:lang w:val="en-US" w:eastAsia="zh-CN"/>
              </w:rPr>
              <w:t>本项目没有空调外挂机，不涉及室外声源，室内声源已补充空调空压机。</w:t>
            </w:r>
          </w:p>
        </w:tc>
      </w:tr>
      <w:tr w14:paraId="14954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6" w:type="dxa"/>
            <w:vAlign w:val="center"/>
          </w:tcPr>
          <w:p w14:paraId="0B85BBB4">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核实项目的风险物质，完善风险分析相关内容。</w:t>
            </w:r>
          </w:p>
        </w:tc>
        <w:tc>
          <w:tcPr>
            <w:tcW w:w="4622" w:type="dxa"/>
            <w:vAlign w:val="center"/>
          </w:tcPr>
          <w:p w14:paraId="3E9F253C">
            <w:pPr>
              <w:pStyle w:val="2"/>
              <w:keepNext w:val="0"/>
              <w:keepLines w:val="0"/>
              <w:pageBreakBefore w:val="0"/>
              <w:widowControl w:val="0"/>
              <w:kinsoku/>
              <w:wordWrap/>
              <w:overflowPunct/>
              <w:topLinePunct w:val="0"/>
              <w:autoSpaceDE/>
              <w:autoSpaceDN/>
              <w:bidi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val="0"/>
                <w:bCs w:val="0"/>
                <w:color w:val="auto"/>
                <w:sz w:val="24"/>
                <w:szCs w:val="24"/>
                <w:vertAlign w:val="baseline"/>
                <w:lang w:val="en-US" w:eastAsia="zh-CN"/>
              </w:rPr>
              <w:t>已核实风险物质完善风险分析，详见“四、主要环境影响和保护措施-运营期环境影响和保护措施-7风险影响分析”</w:t>
            </w:r>
          </w:p>
        </w:tc>
      </w:tr>
      <w:tr w14:paraId="64707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6" w:type="dxa"/>
            <w:vAlign w:val="center"/>
          </w:tcPr>
          <w:p w14:paraId="16432D7E">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建议根据排污许可证技术规范要求，完善项目与排污许可证制度的衔接</w:t>
            </w:r>
            <w:r>
              <w:rPr>
                <w:rFonts w:hint="default" w:ascii="Times New Roman" w:hAnsi="Times New Roman" w:eastAsia="宋体" w:cs="Times New Roman"/>
                <w:color w:val="auto"/>
                <w:sz w:val="24"/>
                <w:szCs w:val="24"/>
                <w:highlight w:val="none"/>
                <w:lang w:val="en-US" w:eastAsia="zh-CN"/>
              </w:rPr>
              <w:t>（补充有组织的VOCs的监测要求）</w:t>
            </w:r>
            <w:r>
              <w:rPr>
                <w:rFonts w:hint="default" w:ascii="Times New Roman" w:hAnsi="Times New Roman" w:eastAsia="宋体" w:cs="Times New Roman"/>
                <w:color w:val="auto"/>
                <w:sz w:val="24"/>
                <w:szCs w:val="24"/>
              </w:rPr>
              <w:t>；完善环保措施监督检查清单</w:t>
            </w:r>
            <w:r>
              <w:rPr>
                <w:rFonts w:hint="default" w:ascii="Times New Roman" w:hAnsi="Times New Roman" w:eastAsia="宋体" w:cs="Times New Roman"/>
                <w:color w:val="auto"/>
                <w:sz w:val="24"/>
                <w:szCs w:val="24"/>
                <w:lang w:eastAsia="zh-CN"/>
              </w:rPr>
              <w:t>。</w:t>
            </w:r>
          </w:p>
        </w:tc>
        <w:tc>
          <w:tcPr>
            <w:tcW w:w="4622" w:type="dxa"/>
            <w:vAlign w:val="center"/>
          </w:tcPr>
          <w:p w14:paraId="4A5E887A">
            <w:pPr>
              <w:pStyle w:val="2"/>
              <w:keepNext w:val="0"/>
              <w:keepLines w:val="0"/>
              <w:pageBreakBefore w:val="0"/>
              <w:widowControl w:val="0"/>
              <w:kinsoku/>
              <w:wordWrap/>
              <w:overflowPunct/>
              <w:topLinePunct w:val="0"/>
              <w:autoSpaceDE/>
              <w:autoSpaceDN/>
              <w:bidi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val="0"/>
                <w:bCs w:val="0"/>
                <w:color w:val="auto"/>
                <w:sz w:val="24"/>
                <w:szCs w:val="24"/>
                <w:vertAlign w:val="baseline"/>
                <w:lang w:val="en-US" w:eastAsia="zh-CN"/>
              </w:rPr>
              <w:t>已补充有组织VOCs（非甲烷总烃）废气监测，详见表4-3。</w:t>
            </w:r>
          </w:p>
        </w:tc>
      </w:tr>
      <w:tr w14:paraId="49FC6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6" w:type="dxa"/>
            <w:vAlign w:val="center"/>
          </w:tcPr>
          <w:p w14:paraId="511E6A7E">
            <w:pPr>
              <w:keepNext w:val="0"/>
              <w:keepLines w:val="0"/>
              <w:pageBreakBefore w:val="0"/>
              <w:widowControl w:val="0"/>
              <w:kinsoku/>
              <w:wordWrap/>
              <w:overflowPunct/>
              <w:topLinePunct w:val="0"/>
              <w:autoSpaceDE/>
              <w:autoSpaceDN/>
              <w:bidi w:val="0"/>
              <w:adjustRightInd w:val="0"/>
              <w:snapToGrid w:val="0"/>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完善平面布置图</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平面布置的生产线和报告内容不一致</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，图示环保设施的位置</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完善园区纳污管网图、土地利用规划图。</w:t>
            </w:r>
          </w:p>
        </w:tc>
        <w:tc>
          <w:tcPr>
            <w:tcW w:w="4622" w:type="dxa"/>
            <w:vAlign w:val="center"/>
          </w:tcPr>
          <w:p w14:paraId="60115A26">
            <w:pPr>
              <w:pStyle w:val="2"/>
              <w:keepNext w:val="0"/>
              <w:keepLines w:val="0"/>
              <w:pageBreakBefore w:val="0"/>
              <w:widowControl w:val="0"/>
              <w:numPr>
                <w:ilvl w:val="0"/>
                <w:numId w:val="0"/>
              </w:numPr>
              <w:kinsoku/>
              <w:wordWrap/>
              <w:overflowPunct/>
              <w:topLinePunct w:val="0"/>
              <w:autoSpaceDE/>
              <w:autoSpaceDN/>
              <w:bidi w:val="0"/>
              <w:adjustRightInd/>
              <w:snapToGrid/>
              <w:spacing w:before="32" w:beforeLines="10" w:after="32" w:afterLines="10" w:line="240" w:lineRule="auto"/>
              <w:ind w:left="21" w:leftChars="10" w:right="21" w:rightChars="10" w:firstLine="0" w:firstLineChars="0"/>
              <w:jc w:val="left"/>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val="0"/>
                <w:bCs w:val="0"/>
                <w:color w:val="auto"/>
                <w:sz w:val="24"/>
                <w:szCs w:val="24"/>
                <w:vertAlign w:val="baseline"/>
                <w:lang w:val="en-US" w:eastAsia="zh-CN"/>
              </w:rPr>
              <w:t>已根据平面布置图重新进行厂区平面布置描述，详见二、建设项目工程分析-建设内容-7、厂区平面布置；已补充环保设施位置，详见附图2。</w:t>
            </w:r>
          </w:p>
        </w:tc>
      </w:tr>
    </w:tbl>
    <w:p w14:paraId="200D1EA4">
      <w:pPr>
        <w:pStyle w:val="15"/>
        <w:jc w:val="center"/>
        <w:outlineLvl w:val="9"/>
        <w:rPr>
          <w:rFonts w:hint="default" w:ascii="Times New Roman" w:hAnsi="Times New Roman" w:eastAsia="宋体" w:cs="Times New Roman"/>
          <w:color w:val="auto"/>
          <w:lang w:eastAsia="zh-CN"/>
        </w:rPr>
        <w:sectPr>
          <w:pgSz w:w="11906" w:h="16838"/>
          <w:pgMar w:top="1701" w:right="1531" w:bottom="1701" w:left="1531" w:header="851" w:footer="1077" w:gutter="0"/>
          <w:pgNumType w:fmt="decimal" w:start="1"/>
          <w:cols w:space="720" w:num="1"/>
          <w:docGrid w:linePitch="312" w:charSpace="0"/>
        </w:sectPr>
      </w:pPr>
    </w:p>
    <w:p w14:paraId="6B7541CF">
      <w:pPr>
        <w:spacing w:before="0" w:after="0" w:line="240" w:lineRule="auto"/>
        <w:ind w:left="0" w:leftChars="0" w:right="0" w:rightChars="0" w:firstLine="0" w:firstLineChars="0"/>
        <w:jc w:val="center"/>
        <w:rPr>
          <w:rFonts w:hint="default" w:ascii="Times New Roman" w:hAnsi="Times New Roman" w:eastAsia="宋体" w:cs="Times New Roman"/>
          <w:b/>
          <w:bCs/>
          <w:color w:val="auto"/>
          <w:sz w:val="32"/>
          <w:szCs w:val="32"/>
        </w:rPr>
      </w:pPr>
      <w:r>
        <w:rPr>
          <w:rFonts w:hint="default" w:ascii="Times New Roman" w:hAnsi="Times New Roman" w:eastAsia="宋体" w:cs="Times New Roman"/>
          <w:b/>
          <w:bCs/>
          <w:color w:val="auto"/>
          <w:sz w:val="32"/>
          <w:szCs w:val="32"/>
        </w:rPr>
        <w:t>目</w:t>
      </w:r>
      <w:r>
        <w:rPr>
          <w:rFonts w:hint="default" w:ascii="Times New Roman" w:hAnsi="Times New Roman" w:eastAsia="宋体" w:cs="Times New Roman"/>
          <w:b/>
          <w:bCs/>
          <w:color w:val="auto"/>
          <w:sz w:val="32"/>
          <w:szCs w:val="32"/>
          <w:lang w:val="en-US" w:eastAsia="zh-CN"/>
        </w:rPr>
        <w:t xml:space="preserve"> </w:t>
      </w:r>
      <w:r>
        <w:rPr>
          <w:rFonts w:hint="default" w:ascii="Times New Roman" w:hAnsi="Times New Roman" w:eastAsia="宋体" w:cs="Times New Roman"/>
          <w:b/>
          <w:bCs/>
          <w:color w:val="auto"/>
          <w:sz w:val="32"/>
          <w:szCs w:val="32"/>
        </w:rPr>
        <w:t>录</w:t>
      </w:r>
    </w:p>
    <w:p w14:paraId="40B24977">
      <w:pPr>
        <w:pStyle w:val="14"/>
        <w:tabs>
          <w:tab w:val="right" w:leader="dot" w:pos="8844"/>
        </w:tabs>
        <w:spacing w:line="360" w:lineRule="auto"/>
        <w:rPr>
          <w:sz w:val="24"/>
          <w:szCs w:val="32"/>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TOC \o "1-1" \h \u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_Toc19764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snapToGrid w:val="0"/>
          <w:sz w:val="24"/>
          <w:szCs w:val="40"/>
        </w:rPr>
        <w:t>一、建设项目基本情况</w:t>
      </w:r>
      <w:r>
        <w:rPr>
          <w:sz w:val="24"/>
          <w:szCs w:val="32"/>
        </w:rPr>
        <w:tab/>
      </w:r>
      <w:r>
        <w:rPr>
          <w:sz w:val="24"/>
          <w:szCs w:val="32"/>
        </w:rPr>
        <w:fldChar w:fldCharType="begin"/>
      </w:r>
      <w:r>
        <w:rPr>
          <w:sz w:val="24"/>
          <w:szCs w:val="32"/>
        </w:rPr>
        <w:instrText xml:space="preserve"> PAGEREF _Toc19764 \h </w:instrText>
      </w:r>
      <w:r>
        <w:rPr>
          <w:sz w:val="24"/>
          <w:szCs w:val="32"/>
        </w:rPr>
        <w:fldChar w:fldCharType="separate"/>
      </w:r>
      <w:r>
        <w:rPr>
          <w:sz w:val="24"/>
          <w:szCs w:val="32"/>
        </w:rPr>
        <w:t>1</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10CFB628">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_Toc6952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snapToGrid w:val="0"/>
          <w:sz w:val="24"/>
          <w:szCs w:val="36"/>
        </w:rPr>
        <w:t>二、建设项目工程分析</w:t>
      </w:r>
      <w:r>
        <w:rPr>
          <w:sz w:val="24"/>
          <w:szCs w:val="32"/>
        </w:rPr>
        <w:tab/>
      </w:r>
      <w:r>
        <w:rPr>
          <w:sz w:val="24"/>
          <w:szCs w:val="32"/>
        </w:rPr>
        <w:fldChar w:fldCharType="begin"/>
      </w:r>
      <w:r>
        <w:rPr>
          <w:sz w:val="24"/>
          <w:szCs w:val="32"/>
        </w:rPr>
        <w:instrText xml:space="preserve"> PAGEREF _Toc6952 \h </w:instrText>
      </w:r>
      <w:r>
        <w:rPr>
          <w:sz w:val="24"/>
          <w:szCs w:val="32"/>
        </w:rPr>
        <w:fldChar w:fldCharType="separate"/>
      </w:r>
      <w:r>
        <w:rPr>
          <w:sz w:val="24"/>
          <w:szCs w:val="32"/>
        </w:rPr>
        <w:t>14</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1FEB84E7">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_Toc15688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snapToGrid w:val="0"/>
          <w:sz w:val="24"/>
          <w:szCs w:val="36"/>
        </w:rPr>
        <w:t>三、区域环境质量现状、环境保护目标及评价标准</w:t>
      </w:r>
      <w:r>
        <w:rPr>
          <w:sz w:val="24"/>
          <w:szCs w:val="32"/>
        </w:rPr>
        <w:tab/>
      </w:r>
      <w:r>
        <w:rPr>
          <w:sz w:val="24"/>
          <w:szCs w:val="32"/>
        </w:rPr>
        <w:fldChar w:fldCharType="begin"/>
      </w:r>
      <w:r>
        <w:rPr>
          <w:sz w:val="24"/>
          <w:szCs w:val="32"/>
        </w:rPr>
        <w:instrText xml:space="preserve"> PAGEREF _Toc15688 \h </w:instrText>
      </w:r>
      <w:r>
        <w:rPr>
          <w:sz w:val="24"/>
          <w:szCs w:val="32"/>
        </w:rPr>
        <w:fldChar w:fldCharType="separate"/>
      </w:r>
      <w:r>
        <w:rPr>
          <w:sz w:val="24"/>
          <w:szCs w:val="32"/>
        </w:rPr>
        <w:t>24</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2B5F4708">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_Toc15650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snapToGrid w:val="0"/>
          <w:sz w:val="24"/>
          <w:szCs w:val="36"/>
        </w:rPr>
        <w:t>四、主要环境影响和保护措施</w:t>
      </w:r>
      <w:r>
        <w:rPr>
          <w:sz w:val="24"/>
          <w:szCs w:val="32"/>
        </w:rPr>
        <w:tab/>
      </w:r>
      <w:r>
        <w:rPr>
          <w:sz w:val="24"/>
          <w:szCs w:val="32"/>
        </w:rPr>
        <w:fldChar w:fldCharType="begin"/>
      </w:r>
      <w:r>
        <w:rPr>
          <w:sz w:val="24"/>
          <w:szCs w:val="32"/>
        </w:rPr>
        <w:instrText xml:space="preserve"> PAGEREF _Toc15650 \h </w:instrText>
      </w:r>
      <w:r>
        <w:rPr>
          <w:sz w:val="24"/>
          <w:szCs w:val="32"/>
        </w:rPr>
        <w:fldChar w:fldCharType="separate"/>
      </w:r>
      <w:r>
        <w:rPr>
          <w:sz w:val="24"/>
          <w:szCs w:val="32"/>
        </w:rPr>
        <w:t>32</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7400909E">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_Toc11350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snapToGrid w:val="0"/>
          <w:sz w:val="24"/>
          <w:szCs w:val="36"/>
        </w:rPr>
        <w:t>五、环境保护措施监督检查清单</w:t>
      </w:r>
      <w:r>
        <w:rPr>
          <w:sz w:val="24"/>
          <w:szCs w:val="32"/>
        </w:rPr>
        <w:tab/>
      </w:r>
      <w:r>
        <w:rPr>
          <w:sz w:val="24"/>
          <w:szCs w:val="32"/>
        </w:rPr>
        <w:fldChar w:fldCharType="begin"/>
      </w:r>
      <w:r>
        <w:rPr>
          <w:sz w:val="24"/>
          <w:szCs w:val="32"/>
        </w:rPr>
        <w:instrText xml:space="preserve"> PAGEREF _Toc11350 \h </w:instrText>
      </w:r>
      <w:r>
        <w:rPr>
          <w:sz w:val="24"/>
          <w:szCs w:val="32"/>
        </w:rPr>
        <w:fldChar w:fldCharType="separate"/>
      </w:r>
      <w:r>
        <w:rPr>
          <w:sz w:val="24"/>
          <w:szCs w:val="32"/>
        </w:rPr>
        <w:t>55</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3E05EBB4">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_Toc28194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snapToGrid w:val="0"/>
          <w:sz w:val="24"/>
          <w:szCs w:val="36"/>
        </w:rPr>
        <w:t>六、结论</w:t>
      </w:r>
      <w:r>
        <w:rPr>
          <w:sz w:val="24"/>
          <w:szCs w:val="32"/>
        </w:rPr>
        <w:tab/>
      </w:r>
      <w:r>
        <w:rPr>
          <w:sz w:val="24"/>
          <w:szCs w:val="32"/>
        </w:rPr>
        <w:fldChar w:fldCharType="begin"/>
      </w:r>
      <w:r>
        <w:rPr>
          <w:sz w:val="24"/>
          <w:szCs w:val="32"/>
        </w:rPr>
        <w:instrText xml:space="preserve"> PAGEREF _Toc28194 \h </w:instrText>
      </w:r>
      <w:r>
        <w:rPr>
          <w:sz w:val="24"/>
          <w:szCs w:val="32"/>
        </w:rPr>
        <w:fldChar w:fldCharType="separate"/>
      </w:r>
      <w:r>
        <w:rPr>
          <w:sz w:val="24"/>
          <w:szCs w:val="32"/>
        </w:rPr>
        <w:t>58</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2FF6642C">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_Toc10105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snapToGrid w:val="0"/>
          <w:sz w:val="24"/>
          <w:szCs w:val="44"/>
        </w:rPr>
        <w:t>建设项目污染物排放量汇总表</w:t>
      </w:r>
      <w:r>
        <w:rPr>
          <w:sz w:val="24"/>
          <w:szCs w:val="32"/>
        </w:rPr>
        <w:tab/>
      </w:r>
      <w:r>
        <w:rPr>
          <w:sz w:val="24"/>
          <w:szCs w:val="32"/>
        </w:rPr>
        <w:fldChar w:fldCharType="begin"/>
      </w:r>
      <w:r>
        <w:rPr>
          <w:sz w:val="24"/>
          <w:szCs w:val="32"/>
        </w:rPr>
        <w:instrText xml:space="preserve"> PAGEREF _Toc10105 \h </w:instrText>
      </w:r>
      <w:r>
        <w:rPr>
          <w:sz w:val="24"/>
          <w:szCs w:val="32"/>
        </w:rPr>
        <w:fldChar w:fldCharType="separate"/>
      </w:r>
      <w:r>
        <w:rPr>
          <w:sz w:val="24"/>
          <w:szCs w:val="32"/>
        </w:rPr>
        <w:t>59</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73991AC1">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_Toc14447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bCs/>
          <w:sz w:val="24"/>
          <w:szCs w:val="32"/>
          <w:lang w:val="en-US" w:eastAsia="zh-CN"/>
        </w:rPr>
        <w:t>附件1 专家意见</w:t>
      </w:r>
      <w:r>
        <w:rPr>
          <w:rFonts w:hint="eastAsia" w:ascii="Times New Roman" w:hAnsi="Times New Roman" w:eastAsia="宋体" w:cs="Times New Roman"/>
          <w:bCs/>
          <w:sz w:val="24"/>
          <w:szCs w:val="32"/>
          <w:lang w:val="en-US" w:eastAsia="zh-CN"/>
        </w:rPr>
        <w:t>、</w:t>
      </w:r>
      <w:r>
        <w:rPr>
          <w:rFonts w:hint="default" w:ascii="Times New Roman" w:hAnsi="Times New Roman" w:eastAsia="宋体" w:cs="Times New Roman"/>
          <w:bCs/>
          <w:sz w:val="24"/>
          <w:szCs w:val="32"/>
          <w:lang w:val="en-US" w:eastAsia="zh-CN"/>
        </w:rPr>
        <w:t>签到表</w:t>
      </w:r>
      <w:r>
        <w:rPr>
          <w:rFonts w:hint="eastAsia" w:ascii="Times New Roman" w:hAnsi="Times New Roman" w:eastAsia="宋体" w:cs="Times New Roman"/>
          <w:bCs/>
          <w:sz w:val="24"/>
          <w:szCs w:val="32"/>
          <w:lang w:val="en-US" w:eastAsia="zh-CN"/>
        </w:rPr>
        <w:t>及修改说明</w:t>
      </w:r>
      <w:r>
        <w:rPr>
          <w:sz w:val="24"/>
          <w:szCs w:val="32"/>
        </w:rPr>
        <w:tab/>
      </w:r>
      <w:r>
        <w:rPr>
          <w:sz w:val="24"/>
          <w:szCs w:val="32"/>
        </w:rPr>
        <w:fldChar w:fldCharType="begin"/>
      </w:r>
      <w:r>
        <w:rPr>
          <w:sz w:val="24"/>
          <w:szCs w:val="32"/>
        </w:rPr>
        <w:instrText xml:space="preserve"> PAGEREF _Toc14447 \h </w:instrText>
      </w:r>
      <w:r>
        <w:rPr>
          <w:sz w:val="24"/>
          <w:szCs w:val="32"/>
        </w:rPr>
        <w:fldChar w:fldCharType="separate"/>
      </w:r>
      <w:r>
        <w:rPr>
          <w:sz w:val="24"/>
          <w:szCs w:val="32"/>
        </w:rPr>
        <w:t>60</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73EE2188">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_Toc19804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bCs/>
          <w:sz w:val="24"/>
          <w:szCs w:val="32"/>
          <w:lang w:val="en-US" w:eastAsia="zh-CN"/>
        </w:rPr>
        <w:t>附件2 环评委托书</w:t>
      </w:r>
      <w:r>
        <w:rPr>
          <w:sz w:val="24"/>
          <w:szCs w:val="32"/>
        </w:rPr>
        <w:tab/>
      </w:r>
      <w:r>
        <w:rPr>
          <w:sz w:val="24"/>
          <w:szCs w:val="32"/>
        </w:rPr>
        <w:fldChar w:fldCharType="begin"/>
      </w:r>
      <w:r>
        <w:rPr>
          <w:sz w:val="24"/>
          <w:szCs w:val="32"/>
        </w:rPr>
        <w:instrText xml:space="preserve"> PAGEREF _Toc19804 \h </w:instrText>
      </w:r>
      <w:r>
        <w:rPr>
          <w:sz w:val="24"/>
          <w:szCs w:val="32"/>
        </w:rPr>
        <w:fldChar w:fldCharType="separate"/>
      </w:r>
      <w:r>
        <w:rPr>
          <w:sz w:val="24"/>
          <w:szCs w:val="32"/>
        </w:rPr>
        <w:t>64</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25AF1906">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_Toc2011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bCs/>
          <w:sz w:val="24"/>
          <w:szCs w:val="32"/>
          <w:lang w:val="en-US" w:eastAsia="zh-CN"/>
        </w:rPr>
        <w:t>附件3 建设单位营业执照</w:t>
      </w:r>
      <w:r>
        <w:rPr>
          <w:sz w:val="24"/>
          <w:szCs w:val="32"/>
        </w:rPr>
        <w:tab/>
      </w:r>
      <w:r>
        <w:rPr>
          <w:sz w:val="24"/>
          <w:szCs w:val="32"/>
        </w:rPr>
        <w:fldChar w:fldCharType="begin"/>
      </w:r>
      <w:r>
        <w:rPr>
          <w:sz w:val="24"/>
          <w:szCs w:val="32"/>
        </w:rPr>
        <w:instrText xml:space="preserve"> PAGEREF _Toc2011 \h </w:instrText>
      </w:r>
      <w:r>
        <w:rPr>
          <w:sz w:val="24"/>
          <w:szCs w:val="32"/>
        </w:rPr>
        <w:fldChar w:fldCharType="separate"/>
      </w:r>
      <w:r>
        <w:rPr>
          <w:sz w:val="24"/>
          <w:szCs w:val="32"/>
        </w:rPr>
        <w:t>65</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1C957248">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_Toc1109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bCs/>
          <w:sz w:val="24"/>
          <w:szCs w:val="32"/>
          <w:lang w:val="en-US" w:eastAsia="zh-CN"/>
        </w:rPr>
        <w:t>附件4 备案文件</w:t>
      </w:r>
      <w:r>
        <w:rPr>
          <w:sz w:val="24"/>
          <w:szCs w:val="32"/>
        </w:rPr>
        <w:tab/>
      </w:r>
      <w:r>
        <w:rPr>
          <w:sz w:val="24"/>
          <w:szCs w:val="32"/>
        </w:rPr>
        <w:fldChar w:fldCharType="begin"/>
      </w:r>
      <w:r>
        <w:rPr>
          <w:sz w:val="24"/>
          <w:szCs w:val="32"/>
        </w:rPr>
        <w:instrText xml:space="preserve"> PAGEREF _Toc1109 \h </w:instrText>
      </w:r>
      <w:r>
        <w:rPr>
          <w:sz w:val="24"/>
          <w:szCs w:val="32"/>
        </w:rPr>
        <w:fldChar w:fldCharType="separate"/>
      </w:r>
      <w:r>
        <w:rPr>
          <w:sz w:val="24"/>
          <w:szCs w:val="32"/>
        </w:rPr>
        <w:t>66</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3BC393FC">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_Toc626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bCs/>
          <w:sz w:val="24"/>
          <w:szCs w:val="32"/>
          <w:lang w:val="en-US" w:eastAsia="zh-CN"/>
        </w:rPr>
        <w:t>附件5 湖南省生态环境厅关于《衡阳高新技术产业开发区调区扩区规划环境影响报告书》审查意见的函</w:t>
      </w:r>
      <w:r>
        <w:rPr>
          <w:sz w:val="24"/>
          <w:szCs w:val="32"/>
        </w:rPr>
        <w:tab/>
      </w:r>
      <w:r>
        <w:rPr>
          <w:sz w:val="24"/>
          <w:szCs w:val="32"/>
        </w:rPr>
        <w:fldChar w:fldCharType="begin"/>
      </w:r>
      <w:r>
        <w:rPr>
          <w:sz w:val="24"/>
          <w:szCs w:val="32"/>
        </w:rPr>
        <w:instrText xml:space="preserve"> PAGEREF _Toc626 \h </w:instrText>
      </w:r>
      <w:r>
        <w:rPr>
          <w:sz w:val="24"/>
          <w:szCs w:val="32"/>
        </w:rPr>
        <w:fldChar w:fldCharType="separate"/>
      </w:r>
      <w:r>
        <w:rPr>
          <w:sz w:val="24"/>
          <w:szCs w:val="32"/>
        </w:rPr>
        <w:t>70</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309DE680">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_Toc1837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bCs/>
          <w:sz w:val="24"/>
          <w:szCs w:val="32"/>
          <w:lang w:val="en-US" w:eastAsia="zh-CN"/>
        </w:rPr>
        <w:t>附件6 杭州铂科电子科技产业生产基地项目招商引资监管协议</w:t>
      </w:r>
      <w:r>
        <w:rPr>
          <w:sz w:val="24"/>
          <w:szCs w:val="32"/>
        </w:rPr>
        <w:tab/>
      </w:r>
      <w:r>
        <w:rPr>
          <w:sz w:val="24"/>
          <w:szCs w:val="32"/>
        </w:rPr>
        <w:fldChar w:fldCharType="begin"/>
      </w:r>
      <w:r>
        <w:rPr>
          <w:sz w:val="24"/>
          <w:szCs w:val="32"/>
        </w:rPr>
        <w:instrText xml:space="preserve"> PAGEREF _Toc1837 \h </w:instrText>
      </w:r>
      <w:r>
        <w:rPr>
          <w:sz w:val="24"/>
          <w:szCs w:val="32"/>
        </w:rPr>
        <w:fldChar w:fldCharType="separate"/>
      </w:r>
      <w:r>
        <w:rPr>
          <w:sz w:val="24"/>
          <w:szCs w:val="32"/>
        </w:rPr>
        <w:t>76</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0AFAF34D">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_Toc11963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bCs/>
          <w:sz w:val="24"/>
          <w:szCs w:val="32"/>
          <w:lang w:val="en-US" w:eastAsia="zh-CN"/>
        </w:rPr>
        <w:t>附件7 化学品物质安全性数据表</w:t>
      </w:r>
      <w:r>
        <w:rPr>
          <w:sz w:val="24"/>
          <w:szCs w:val="32"/>
        </w:rPr>
        <w:tab/>
      </w:r>
      <w:r>
        <w:rPr>
          <w:sz w:val="24"/>
          <w:szCs w:val="32"/>
        </w:rPr>
        <w:fldChar w:fldCharType="begin"/>
      </w:r>
      <w:r>
        <w:rPr>
          <w:sz w:val="24"/>
          <w:szCs w:val="32"/>
        </w:rPr>
        <w:instrText xml:space="preserve"> PAGEREF _Toc11963 \h </w:instrText>
      </w:r>
      <w:r>
        <w:rPr>
          <w:sz w:val="24"/>
          <w:szCs w:val="32"/>
        </w:rPr>
        <w:fldChar w:fldCharType="separate"/>
      </w:r>
      <w:r>
        <w:rPr>
          <w:sz w:val="24"/>
          <w:szCs w:val="32"/>
        </w:rPr>
        <w:t>86</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1F9B1A19">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_Toc15874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bCs/>
          <w:sz w:val="24"/>
          <w:szCs w:val="32"/>
          <w:lang w:val="en-US" w:eastAsia="zh-CN"/>
        </w:rPr>
        <w:t>附图1 项目地理位置图</w:t>
      </w:r>
      <w:r>
        <w:rPr>
          <w:sz w:val="24"/>
          <w:szCs w:val="32"/>
        </w:rPr>
        <w:tab/>
      </w:r>
      <w:r>
        <w:rPr>
          <w:sz w:val="24"/>
          <w:szCs w:val="32"/>
        </w:rPr>
        <w:fldChar w:fldCharType="begin"/>
      </w:r>
      <w:r>
        <w:rPr>
          <w:sz w:val="24"/>
          <w:szCs w:val="32"/>
        </w:rPr>
        <w:instrText xml:space="preserve"> PAGEREF _Toc15874 \h </w:instrText>
      </w:r>
      <w:r>
        <w:rPr>
          <w:sz w:val="24"/>
          <w:szCs w:val="32"/>
        </w:rPr>
        <w:fldChar w:fldCharType="separate"/>
      </w:r>
      <w:r>
        <w:rPr>
          <w:sz w:val="24"/>
          <w:szCs w:val="32"/>
        </w:rPr>
        <w:t>110</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638D8AA9">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_Toc18637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bCs/>
          <w:sz w:val="24"/>
          <w:szCs w:val="32"/>
          <w:lang w:val="en-US" w:eastAsia="zh-CN"/>
        </w:rPr>
        <w:t>附图2 总平面布置图（1#栋生产厂房）</w:t>
      </w:r>
      <w:r>
        <w:rPr>
          <w:sz w:val="24"/>
          <w:szCs w:val="32"/>
        </w:rPr>
        <w:tab/>
      </w:r>
      <w:r>
        <w:rPr>
          <w:sz w:val="24"/>
          <w:szCs w:val="32"/>
        </w:rPr>
        <w:fldChar w:fldCharType="begin"/>
      </w:r>
      <w:r>
        <w:rPr>
          <w:sz w:val="24"/>
          <w:szCs w:val="32"/>
        </w:rPr>
        <w:instrText xml:space="preserve"> PAGEREF _Toc18637 \h </w:instrText>
      </w:r>
      <w:r>
        <w:rPr>
          <w:sz w:val="24"/>
          <w:szCs w:val="32"/>
        </w:rPr>
        <w:fldChar w:fldCharType="separate"/>
      </w:r>
      <w:r>
        <w:rPr>
          <w:sz w:val="24"/>
          <w:szCs w:val="32"/>
        </w:rPr>
        <w:t>111</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2773222C">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_Toc24377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bCs/>
          <w:sz w:val="24"/>
          <w:szCs w:val="32"/>
          <w:lang w:val="en-US" w:eastAsia="zh-CN"/>
        </w:rPr>
        <w:t>附图3 危险废物暂存间和一般固体废物暂存间位置示意图</w:t>
      </w:r>
      <w:r>
        <w:rPr>
          <w:sz w:val="24"/>
          <w:szCs w:val="32"/>
        </w:rPr>
        <w:tab/>
      </w:r>
      <w:r>
        <w:rPr>
          <w:sz w:val="24"/>
          <w:szCs w:val="32"/>
        </w:rPr>
        <w:fldChar w:fldCharType="begin"/>
      </w:r>
      <w:r>
        <w:rPr>
          <w:sz w:val="24"/>
          <w:szCs w:val="32"/>
        </w:rPr>
        <w:instrText xml:space="preserve"> PAGEREF _Toc24377 \h </w:instrText>
      </w:r>
      <w:r>
        <w:rPr>
          <w:sz w:val="24"/>
          <w:szCs w:val="32"/>
        </w:rPr>
        <w:fldChar w:fldCharType="separate"/>
      </w:r>
      <w:r>
        <w:rPr>
          <w:sz w:val="24"/>
          <w:szCs w:val="32"/>
        </w:rPr>
        <w:t>115</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1F23CFEE">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_Toc5497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bCs/>
          <w:sz w:val="24"/>
          <w:szCs w:val="32"/>
          <w:lang w:val="en-US" w:eastAsia="zh-CN"/>
        </w:rPr>
        <w:t>附图4 项目周边关系图</w:t>
      </w:r>
      <w:r>
        <w:rPr>
          <w:sz w:val="24"/>
          <w:szCs w:val="32"/>
        </w:rPr>
        <w:tab/>
      </w:r>
      <w:r>
        <w:rPr>
          <w:sz w:val="24"/>
          <w:szCs w:val="32"/>
        </w:rPr>
        <w:fldChar w:fldCharType="begin"/>
      </w:r>
      <w:r>
        <w:rPr>
          <w:sz w:val="24"/>
          <w:szCs w:val="32"/>
        </w:rPr>
        <w:instrText xml:space="preserve"> PAGEREF _Toc5497 \h </w:instrText>
      </w:r>
      <w:r>
        <w:rPr>
          <w:sz w:val="24"/>
          <w:szCs w:val="32"/>
        </w:rPr>
        <w:fldChar w:fldCharType="separate"/>
      </w:r>
      <w:r>
        <w:rPr>
          <w:sz w:val="24"/>
          <w:szCs w:val="32"/>
        </w:rPr>
        <w:t>116</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08094EF7">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_Toc27743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bCs/>
          <w:sz w:val="24"/>
          <w:szCs w:val="32"/>
          <w:lang w:val="en-US" w:eastAsia="zh-CN"/>
        </w:rPr>
        <w:t>附图5 衡阳高新技术产业开发区白沙片配套污水管网图--铜桥港污水处理厂、金桥污水处理厂</w:t>
      </w:r>
      <w:r>
        <w:rPr>
          <w:sz w:val="24"/>
          <w:szCs w:val="32"/>
        </w:rPr>
        <w:tab/>
      </w:r>
      <w:r>
        <w:rPr>
          <w:sz w:val="24"/>
          <w:szCs w:val="32"/>
        </w:rPr>
        <w:fldChar w:fldCharType="begin"/>
      </w:r>
      <w:r>
        <w:rPr>
          <w:sz w:val="24"/>
          <w:szCs w:val="32"/>
        </w:rPr>
        <w:instrText xml:space="preserve"> PAGEREF _Toc27743 \h </w:instrText>
      </w:r>
      <w:r>
        <w:rPr>
          <w:sz w:val="24"/>
          <w:szCs w:val="32"/>
        </w:rPr>
        <w:fldChar w:fldCharType="separate"/>
      </w:r>
      <w:r>
        <w:rPr>
          <w:sz w:val="24"/>
          <w:szCs w:val="32"/>
        </w:rPr>
        <w:t>117</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2DD542DD">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_Toc2095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bCs/>
          <w:sz w:val="24"/>
          <w:szCs w:val="32"/>
          <w:lang w:val="en-US" w:eastAsia="zh-CN"/>
        </w:rPr>
        <w:t>附图6 区域水系图</w:t>
      </w:r>
      <w:r>
        <w:rPr>
          <w:sz w:val="24"/>
          <w:szCs w:val="32"/>
        </w:rPr>
        <w:tab/>
      </w:r>
      <w:r>
        <w:rPr>
          <w:sz w:val="24"/>
          <w:szCs w:val="32"/>
        </w:rPr>
        <w:fldChar w:fldCharType="begin"/>
      </w:r>
      <w:r>
        <w:rPr>
          <w:sz w:val="24"/>
          <w:szCs w:val="32"/>
        </w:rPr>
        <w:instrText xml:space="preserve"> PAGEREF _Toc2095 \h </w:instrText>
      </w:r>
      <w:r>
        <w:rPr>
          <w:sz w:val="24"/>
          <w:szCs w:val="32"/>
        </w:rPr>
        <w:fldChar w:fldCharType="separate"/>
      </w:r>
      <w:r>
        <w:rPr>
          <w:sz w:val="24"/>
          <w:szCs w:val="32"/>
        </w:rPr>
        <w:t>118</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1CFDD756">
      <w:pPr>
        <w:pStyle w:val="14"/>
        <w:tabs>
          <w:tab w:val="right" w:leader="dot" w:pos="8844"/>
        </w:tabs>
        <w:spacing w:line="360" w:lineRule="auto"/>
        <w:rPr>
          <w:sz w:val="24"/>
          <w:szCs w:val="32"/>
        </w:rPr>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_Toc27368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bCs/>
          <w:sz w:val="24"/>
          <w:szCs w:val="32"/>
          <w:lang w:val="en-US" w:eastAsia="zh-CN"/>
        </w:rPr>
        <w:t>附图7 衡阳高新技术产业开发区（白沙片）控制性详细规划  土地利用规划图</w:t>
      </w:r>
      <w:r>
        <w:rPr>
          <w:sz w:val="24"/>
          <w:szCs w:val="32"/>
        </w:rPr>
        <w:tab/>
      </w:r>
      <w:r>
        <w:rPr>
          <w:sz w:val="24"/>
          <w:szCs w:val="32"/>
        </w:rPr>
        <w:fldChar w:fldCharType="begin"/>
      </w:r>
      <w:r>
        <w:rPr>
          <w:sz w:val="24"/>
          <w:szCs w:val="32"/>
        </w:rPr>
        <w:instrText xml:space="preserve"> PAGEREF _Toc27368 \h </w:instrText>
      </w:r>
      <w:r>
        <w:rPr>
          <w:sz w:val="24"/>
          <w:szCs w:val="32"/>
        </w:rPr>
        <w:fldChar w:fldCharType="separate"/>
      </w:r>
      <w:r>
        <w:rPr>
          <w:sz w:val="24"/>
          <w:szCs w:val="32"/>
        </w:rPr>
        <w:t>119</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4C1E5E8C">
      <w:pPr>
        <w:pStyle w:val="14"/>
        <w:tabs>
          <w:tab w:val="right" w:leader="dot" w:pos="8844"/>
        </w:tabs>
        <w:spacing w:line="360" w:lineRule="auto"/>
      </w:pPr>
      <w:r>
        <w:rPr>
          <w:rFonts w:hint="default" w:ascii="Times New Roman" w:hAnsi="Times New Roman" w:eastAsia="宋体" w:cs="Times New Roman"/>
          <w:color w:val="auto"/>
          <w:sz w:val="24"/>
          <w:szCs w:val="32"/>
          <w:lang w:eastAsia="zh-CN"/>
        </w:rPr>
        <w:fldChar w:fldCharType="begin"/>
      </w:r>
      <w:r>
        <w:rPr>
          <w:rFonts w:hint="default" w:ascii="Times New Roman" w:hAnsi="Times New Roman" w:eastAsia="宋体" w:cs="Times New Roman"/>
          <w:sz w:val="24"/>
          <w:szCs w:val="32"/>
          <w:lang w:eastAsia="zh-CN"/>
        </w:rPr>
        <w:instrText xml:space="preserve"> HYPERLINK \l _Toc6448 </w:instrText>
      </w:r>
      <w:r>
        <w:rPr>
          <w:rFonts w:hint="default" w:ascii="Times New Roman" w:hAnsi="Times New Roman" w:eastAsia="宋体" w:cs="Times New Roman"/>
          <w:sz w:val="24"/>
          <w:szCs w:val="32"/>
          <w:lang w:eastAsia="zh-CN"/>
        </w:rPr>
        <w:fldChar w:fldCharType="separate"/>
      </w:r>
      <w:r>
        <w:rPr>
          <w:rFonts w:hint="default" w:ascii="Times New Roman" w:hAnsi="Times New Roman" w:eastAsia="宋体" w:cs="Times New Roman"/>
          <w:bCs/>
          <w:sz w:val="24"/>
          <w:szCs w:val="32"/>
          <w:lang w:val="en-US" w:eastAsia="zh-CN"/>
        </w:rPr>
        <w:t>附图8 衡阳市生态保护红线分布图</w:t>
      </w:r>
      <w:r>
        <w:rPr>
          <w:sz w:val="24"/>
          <w:szCs w:val="32"/>
        </w:rPr>
        <w:tab/>
      </w:r>
      <w:r>
        <w:rPr>
          <w:sz w:val="24"/>
          <w:szCs w:val="32"/>
        </w:rPr>
        <w:fldChar w:fldCharType="begin"/>
      </w:r>
      <w:r>
        <w:rPr>
          <w:sz w:val="24"/>
          <w:szCs w:val="32"/>
        </w:rPr>
        <w:instrText xml:space="preserve"> PAGEREF _Toc6448 \h </w:instrText>
      </w:r>
      <w:r>
        <w:rPr>
          <w:sz w:val="24"/>
          <w:szCs w:val="32"/>
        </w:rPr>
        <w:fldChar w:fldCharType="separate"/>
      </w:r>
      <w:r>
        <w:rPr>
          <w:sz w:val="24"/>
          <w:szCs w:val="32"/>
        </w:rPr>
        <w:t>120</w:t>
      </w:r>
      <w:r>
        <w:rPr>
          <w:sz w:val="24"/>
          <w:szCs w:val="32"/>
        </w:rPr>
        <w:fldChar w:fldCharType="end"/>
      </w:r>
      <w:r>
        <w:rPr>
          <w:rFonts w:hint="default" w:ascii="Times New Roman" w:hAnsi="Times New Roman" w:eastAsia="宋体" w:cs="Times New Roman"/>
          <w:color w:val="auto"/>
          <w:sz w:val="24"/>
          <w:szCs w:val="32"/>
          <w:lang w:eastAsia="zh-CN"/>
        </w:rPr>
        <w:fldChar w:fldCharType="end"/>
      </w:r>
    </w:p>
    <w:p w14:paraId="359AF4A1">
      <w:pPr>
        <w:pStyle w:val="15"/>
        <w:jc w:val="both"/>
        <w:outlineLvl w:val="9"/>
        <w:rPr>
          <w:rFonts w:hint="default" w:ascii="Times New Roman" w:hAnsi="Times New Roman" w:eastAsia="宋体" w:cs="Times New Roman"/>
          <w:color w:val="auto"/>
          <w:lang w:eastAsia="zh-CN"/>
        </w:rPr>
        <w:sectPr>
          <w:pgSz w:w="11906" w:h="16838"/>
          <w:pgMar w:top="1701" w:right="1531" w:bottom="1701" w:left="1531" w:header="851" w:footer="1077" w:gutter="0"/>
          <w:pgNumType w:fmt="decimal" w:start="1"/>
          <w:cols w:space="720" w:num="1"/>
          <w:docGrid w:linePitch="312" w:charSpace="0"/>
        </w:sectPr>
      </w:pPr>
      <w:r>
        <w:rPr>
          <w:rFonts w:hint="default" w:ascii="Times New Roman" w:hAnsi="Times New Roman" w:eastAsia="宋体" w:cs="Times New Roman"/>
          <w:color w:val="auto"/>
          <w:lang w:eastAsia="zh-CN"/>
        </w:rPr>
        <w:fldChar w:fldCharType="end"/>
      </w:r>
    </w:p>
    <w:p w14:paraId="23895E7A">
      <w:pPr>
        <w:pStyle w:val="15"/>
        <w:jc w:val="center"/>
        <w:outlineLvl w:val="0"/>
        <w:rPr>
          <w:rFonts w:hint="default" w:ascii="Times New Roman" w:hAnsi="Times New Roman" w:eastAsia="宋体" w:cs="Times New Roman"/>
          <w:snapToGrid w:val="0"/>
          <w:color w:val="auto"/>
          <w:sz w:val="32"/>
          <w:szCs w:val="32"/>
        </w:rPr>
      </w:pPr>
      <w:bookmarkStart w:id="1" w:name="_Toc19764"/>
      <w:r>
        <w:rPr>
          <w:rFonts w:hint="default" w:ascii="Times New Roman" w:hAnsi="Times New Roman" w:eastAsia="宋体" w:cs="Times New Roman"/>
          <w:snapToGrid w:val="0"/>
          <w:color w:val="auto"/>
          <w:sz w:val="32"/>
          <w:szCs w:val="32"/>
        </w:rPr>
        <w:t>一、建设项目基本情况</w:t>
      </w:r>
      <w:bookmarkEnd w:id="1"/>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550"/>
        <w:gridCol w:w="2469"/>
        <w:gridCol w:w="2174"/>
        <w:gridCol w:w="2677"/>
      </w:tblGrid>
      <w:tr w14:paraId="73DC73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50" w:type="dxa"/>
            <w:tcMar>
              <w:top w:w="16" w:type="dxa"/>
              <w:left w:w="16" w:type="dxa"/>
              <w:right w:w="16" w:type="dxa"/>
            </w:tcMar>
            <w:vAlign w:val="center"/>
          </w:tcPr>
          <w:p w14:paraId="61C6BB30">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建设项目名称</w:t>
            </w:r>
          </w:p>
        </w:tc>
        <w:tc>
          <w:tcPr>
            <w:tcW w:w="7320" w:type="dxa"/>
            <w:gridSpan w:val="3"/>
            <w:vAlign w:val="center"/>
          </w:tcPr>
          <w:p w14:paraId="0B1AC454">
            <w:pPr>
              <w:adjustRightInd w:val="0"/>
              <w:snapToGrid w:val="0"/>
              <w:jc w:val="center"/>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sz w:val="24"/>
                <w:szCs w:val="24"/>
                <w:lang w:eastAsia="zh-CN"/>
              </w:rPr>
              <w:t>衡阳铂科电子</w:t>
            </w:r>
            <w:r>
              <w:rPr>
                <w:rFonts w:hint="default" w:ascii="Times New Roman" w:hAnsi="Times New Roman" w:eastAsia="宋体" w:cs="Times New Roman"/>
                <w:color w:val="auto"/>
                <w:sz w:val="24"/>
                <w:szCs w:val="24"/>
                <w:lang w:val="en-US" w:eastAsia="zh-CN"/>
              </w:rPr>
              <w:t>器件制造生产项目</w:t>
            </w:r>
          </w:p>
        </w:tc>
      </w:tr>
      <w:tr w14:paraId="641B15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50" w:type="dxa"/>
            <w:tcMar>
              <w:top w:w="16" w:type="dxa"/>
              <w:left w:w="16" w:type="dxa"/>
              <w:right w:w="16" w:type="dxa"/>
            </w:tcMar>
            <w:vAlign w:val="center"/>
          </w:tcPr>
          <w:p w14:paraId="1205A35D">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项目代码</w:t>
            </w:r>
          </w:p>
        </w:tc>
        <w:tc>
          <w:tcPr>
            <w:tcW w:w="7320" w:type="dxa"/>
            <w:gridSpan w:val="3"/>
            <w:vAlign w:val="center"/>
          </w:tcPr>
          <w:p w14:paraId="68DCDA88">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2503-430472-04-05-745975</w:t>
            </w:r>
          </w:p>
        </w:tc>
      </w:tr>
      <w:tr w14:paraId="14D263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50" w:type="dxa"/>
            <w:tcMar>
              <w:top w:w="16" w:type="dxa"/>
              <w:left w:w="16" w:type="dxa"/>
              <w:right w:w="16" w:type="dxa"/>
            </w:tcMar>
            <w:vAlign w:val="center"/>
          </w:tcPr>
          <w:p w14:paraId="74A32EEC">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建设单位联系人</w:t>
            </w:r>
          </w:p>
        </w:tc>
        <w:tc>
          <w:tcPr>
            <w:tcW w:w="2469" w:type="dxa"/>
            <w:vAlign w:val="center"/>
          </w:tcPr>
          <w:p w14:paraId="07D4E3D8">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邢军</w:t>
            </w:r>
          </w:p>
        </w:tc>
        <w:tc>
          <w:tcPr>
            <w:tcW w:w="2174" w:type="dxa"/>
            <w:vAlign w:val="center"/>
          </w:tcPr>
          <w:p w14:paraId="33D13C63">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联系方式</w:t>
            </w:r>
          </w:p>
        </w:tc>
        <w:tc>
          <w:tcPr>
            <w:tcW w:w="2677" w:type="dxa"/>
            <w:vAlign w:val="center"/>
          </w:tcPr>
          <w:p w14:paraId="3D3B8AE9">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lang w:val="en-US" w:eastAsia="zh-CN"/>
              </w:rPr>
              <w:t>13175069359</w:t>
            </w:r>
          </w:p>
        </w:tc>
      </w:tr>
      <w:tr w14:paraId="522B1B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50" w:type="dxa"/>
            <w:tcMar>
              <w:top w:w="16" w:type="dxa"/>
              <w:left w:w="16" w:type="dxa"/>
              <w:right w:w="16" w:type="dxa"/>
            </w:tcMar>
            <w:vAlign w:val="center"/>
          </w:tcPr>
          <w:p w14:paraId="15508D2A">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建设地点</w:t>
            </w:r>
          </w:p>
        </w:tc>
        <w:tc>
          <w:tcPr>
            <w:tcW w:w="7320" w:type="dxa"/>
            <w:gridSpan w:val="3"/>
            <w:vAlign w:val="center"/>
          </w:tcPr>
          <w:p w14:paraId="26D942EB">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u w:val="single"/>
                <w:lang w:val="en-US" w:eastAsia="zh-CN"/>
              </w:rPr>
              <w:t>湖南</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rPr>
              <w:t>省</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u w:val="single"/>
                <w:lang w:val="en-US" w:eastAsia="zh-CN"/>
              </w:rPr>
              <w:t>衡阳</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rPr>
              <w:t>市</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u w:val="single"/>
                <w:lang w:val="en-US" w:eastAsia="zh-CN"/>
              </w:rPr>
              <w:t>高新技术产业开发白沙片</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rPr>
              <w:t>区</w:t>
            </w:r>
            <w:r>
              <w:rPr>
                <w:rFonts w:hint="default" w:ascii="Times New Roman" w:hAnsi="Times New Roman" w:eastAsia="宋体" w:cs="Times New Roman"/>
                <w:color w:val="auto"/>
                <w:sz w:val="24"/>
                <w:szCs w:val="24"/>
                <w:u w:val="single"/>
              </w:rPr>
              <w:t xml:space="preserve"> 衡山科学城半导体产业园一期1</w:t>
            </w:r>
            <w:r>
              <w:rPr>
                <w:rFonts w:hint="default" w:ascii="Times New Roman" w:hAnsi="Times New Roman" w:eastAsia="宋体" w:cs="Times New Roman"/>
                <w:color w:val="auto"/>
                <w:sz w:val="24"/>
                <w:szCs w:val="24"/>
                <w:u w:val="single"/>
                <w:lang w:val="en-US" w:eastAsia="zh-CN"/>
              </w:rPr>
              <w:t>#厂房</w:t>
            </w:r>
            <w:r>
              <w:rPr>
                <w:rFonts w:hint="default" w:ascii="Times New Roman" w:hAnsi="Times New Roman" w:eastAsia="宋体" w:cs="Times New Roman"/>
                <w:color w:val="auto"/>
                <w:sz w:val="24"/>
                <w:szCs w:val="24"/>
                <w:u w:val="single"/>
              </w:rPr>
              <w:t xml:space="preserve"> </w:t>
            </w:r>
          </w:p>
        </w:tc>
      </w:tr>
      <w:tr w14:paraId="1630B6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50" w:type="dxa"/>
            <w:tcMar>
              <w:top w:w="16" w:type="dxa"/>
              <w:left w:w="16" w:type="dxa"/>
              <w:right w:w="16" w:type="dxa"/>
            </w:tcMar>
            <w:vAlign w:val="center"/>
          </w:tcPr>
          <w:p w14:paraId="2FCDF568">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地理坐标</w:t>
            </w:r>
          </w:p>
        </w:tc>
        <w:tc>
          <w:tcPr>
            <w:tcW w:w="7320" w:type="dxa"/>
            <w:gridSpan w:val="3"/>
            <w:vAlign w:val="center"/>
          </w:tcPr>
          <w:p w14:paraId="68155F9C">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u w:val="single"/>
                <w:lang w:val="en-US" w:eastAsia="zh-CN"/>
              </w:rPr>
              <w:t>112</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rPr>
              <w:t>度</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u w:val="single"/>
                <w:lang w:val="en-US" w:eastAsia="zh-CN"/>
              </w:rPr>
              <w:t>33</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rPr>
              <w:t>分</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u w:val="single"/>
                <w:lang w:val="en-US" w:eastAsia="zh-CN"/>
              </w:rPr>
              <w:t>50.57180</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rPr>
              <w:t>秒，</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u w:val="single"/>
                <w:lang w:val="en-US" w:eastAsia="zh-CN"/>
              </w:rPr>
              <w:t>26</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rPr>
              <w:t>度</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u w:val="single"/>
                <w:lang w:val="en-US" w:eastAsia="zh-CN"/>
              </w:rPr>
              <w:t>49</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rPr>
              <w:t>分</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u w:val="single"/>
                <w:lang w:val="en-US" w:eastAsia="zh-CN"/>
              </w:rPr>
              <w:t>5.29578</w:t>
            </w:r>
            <w:r>
              <w:rPr>
                <w:rFonts w:hint="default" w:ascii="Times New Roman" w:hAnsi="Times New Roman" w:eastAsia="宋体" w:cs="Times New Roman"/>
                <w:color w:val="auto"/>
                <w:sz w:val="24"/>
                <w:szCs w:val="24"/>
                <w:u w:val="single"/>
              </w:rPr>
              <w:t xml:space="preserve"> </w:t>
            </w:r>
            <w:r>
              <w:rPr>
                <w:rFonts w:hint="default" w:ascii="Times New Roman" w:hAnsi="Times New Roman" w:eastAsia="宋体" w:cs="Times New Roman"/>
                <w:color w:val="auto"/>
                <w:sz w:val="24"/>
                <w:szCs w:val="24"/>
              </w:rPr>
              <w:t>秒）</w:t>
            </w:r>
          </w:p>
        </w:tc>
      </w:tr>
      <w:tr w14:paraId="32E5E2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550" w:type="dxa"/>
            <w:tcMar>
              <w:top w:w="16" w:type="dxa"/>
              <w:left w:w="16" w:type="dxa"/>
              <w:right w:w="16" w:type="dxa"/>
            </w:tcMar>
            <w:vAlign w:val="center"/>
          </w:tcPr>
          <w:p w14:paraId="74226C04">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国民经济</w:t>
            </w:r>
          </w:p>
          <w:p w14:paraId="3ECD59F0">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行业类别</w:t>
            </w:r>
          </w:p>
        </w:tc>
        <w:tc>
          <w:tcPr>
            <w:tcW w:w="2469" w:type="dxa"/>
            <w:vAlign w:val="center"/>
          </w:tcPr>
          <w:p w14:paraId="24602CB2">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C38</w:t>
            </w:r>
            <w:r>
              <w:rPr>
                <w:rFonts w:hint="default" w:ascii="Times New Roman" w:hAnsi="Times New Roman" w:eastAsia="宋体" w:cs="Times New Roman"/>
                <w:color w:val="auto"/>
                <w:sz w:val="24"/>
                <w:szCs w:val="24"/>
                <w:lang w:val="en-US" w:eastAsia="zh-CN"/>
              </w:rPr>
              <w:t>24</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电力电子元器件制造</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C3899 其他未列明电气机械及器材制造</w:t>
            </w:r>
          </w:p>
        </w:tc>
        <w:tc>
          <w:tcPr>
            <w:tcW w:w="2174" w:type="dxa"/>
            <w:vAlign w:val="center"/>
          </w:tcPr>
          <w:p w14:paraId="571CBAF4">
            <w:pPr>
              <w:adjustRightInd w:val="0"/>
              <w:snapToGrid w:val="0"/>
              <w:jc w:val="center"/>
              <w:rPr>
                <w:rFonts w:hint="default" w:ascii="Times New Roman" w:hAnsi="Times New Roman" w:eastAsia="宋体" w:cs="Times New Roman"/>
                <w:color w:val="auto"/>
                <w:sz w:val="24"/>
                <w:szCs w:val="24"/>
              </w:rPr>
            </w:pPr>
            <w:bookmarkStart w:id="2" w:name="_Hlk49843745"/>
            <w:r>
              <w:rPr>
                <w:rFonts w:hint="default" w:ascii="Times New Roman" w:hAnsi="Times New Roman" w:eastAsia="宋体" w:cs="Times New Roman"/>
                <w:color w:val="auto"/>
                <w:sz w:val="24"/>
                <w:szCs w:val="24"/>
              </w:rPr>
              <w:t>建设项目</w:t>
            </w:r>
          </w:p>
          <w:p w14:paraId="29E588C2">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行业类别</w:t>
            </w:r>
            <w:bookmarkEnd w:id="2"/>
          </w:p>
        </w:tc>
        <w:tc>
          <w:tcPr>
            <w:tcW w:w="2677" w:type="dxa"/>
            <w:vAlign w:val="center"/>
          </w:tcPr>
          <w:p w14:paraId="27B07F20">
            <w:pPr>
              <w:adjustRightInd w:val="0"/>
              <w:snapToGrid w:val="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三十五、电气机械和器材制造业</w:t>
            </w:r>
            <w:r>
              <w:rPr>
                <w:rFonts w:hint="default" w:ascii="Times New Roman" w:hAnsi="Times New Roman" w:eastAsia="宋体" w:cs="Times New Roman"/>
                <w:color w:val="auto"/>
                <w:sz w:val="24"/>
                <w:highlight w:val="none"/>
              </w:rPr>
              <w:t xml:space="preserve"> 38—77.其他电气机械及器材制造 389</w:t>
            </w:r>
            <w:r>
              <w:rPr>
                <w:rFonts w:hint="default" w:ascii="Times New Roman" w:hAnsi="Times New Roman" w:eastAsia="宋体" w:cs="Times New Roman"/>
                <w:color w:val="auto"/>
                <w:sz w:val="24"/>
                <w:highlight w:val="none"/>
                <w:lang w:val="en-US" w:eastAsia="zh-CN"/>
              </w:rPr>
              <w:t>-其他</w:t>
            </w:r>
          </w:p>
        </w:tc>
      </w:tr>
      <w:tr w14:paraId="11EC4F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550" w:type="dxa"/>
            <w:tcMar>
              <w:top w:w="16" w:type="dxa"/>
              <w:left w:w="16" w:type="dxa"/>
              <w:right w:w="16" w:type="dxa"/>
            </w:tcMar>
            <w:vAlign w:val="center"/>
          </w:tcPr>
          <w:p w14:paraId="04D2F606">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建设性质</w:t>
            </w:r>
          </w:p>
        </w:tc>
        <w:tc>
          <w:tcPr>
            <w:tcW w:w="2469" w:type="dxa"/>
            <w:vAlign w:val="center"/>
          </w:tcPr>
          <w:p w14:paraId="37782D85">
            <w:pPr>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52"/>
            </w:r>
            <w:r>
              <w:rPr>
                <w:rFonts w:hint="default" w:ascii="Times New Roman" w:hAnsi="Times New Roman" w:eastAsia="宋体" w:cs="Times New Roman"/>
                <w:color w:val="auto"/>
                <w:sz w:val="24"/>
                <w:szCs w:val="24"/>
              </w:rPr>
              <w:t>新建（迁建）</w:t>
            </w:r>
          </w:p>
          <w:p w14:paraId="59510E53">
            <w:pPr>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□改建</w:t>
            </w:r>
          </w:p>
          <w:p w14:paraId="69094B35">
            <w:pPr>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□扩建</w:t>
            </w:r>
          </w:p>
          <w:p w14:paraId="452946AF">
            <w:pPr>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□技术改造</w:t>
            </w:r>
          </w:p>
        </w:tc>
        <w:tc>
          <w:tcPr>
            <w:tcW w:w="2174" w:type="dxa"/>
            <w:vAlign w:val="center"/>
          </w:tcPr>
          <w:p w14:paraId="2D08F03C">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w:t>
            </w:r>
          </w:p>
          <w:p w14:paraId="2E850028">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申报情形</w:t>
            </w:r>
          </w:p>
        </w:tc>
        <w:tc>
          <w:tcPr>
            <w:tcW w:w="2677" w:type="dxa"/>
            <w:vAlign w:val="center"/>
          </w:tcPr>
          <w:p w14:paraId="275A2159">
            <w:pPr>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52"/>
            </w:r>
            <w:r>
              <w:rPr>
                <w:rFonts w:hint="default" w:ascii="Times New Roman" w:hAnsi="Times New Roman" w:eastAsia="宋体" w:cs="Times New Roman"/>
                <w:color w:val="auto"/>
                <w:sz w:val="24"/>
                <w:szCs w:val="24"/>
              </w:rPr>
              <w:t xml:space="preserve">首次申报项目             </w:t>
            </w:r>
          </w:p>
          <w:p w14:paraId="2947B314">
            <w:pPr>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□不予批准后再次申报项目</w:t>
            </w:r>
          </w:p>
          <w:p w14:paraId="3F6B931D">
            <w:pPr>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A3"/>
            </w:r>
            <w:r>
              <w:rPr>
                <w:rFonts w:hint="default" w:ascii="Times New Roman" w:hAnsi="Times New Roman" w:eastAsia="宋体" w:cs="Times New Roman"/>
                <w:color w:val="auto"/>
                <w:sz w:val="24"/>
                <w:szCs w:val="24"/>
              </w:rPr>
              <w:t xml:space="preserve">超五年重新审核项目     </w:t>
            </w:r>
          </w:p>
          <w:p w14:paraId="7E68F1C6">
            <w:pPr>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□重大变动重新报批项目</w:t>
            </w:r>
          </w:p>
        </w:tc>
      </w:tr>
      <w:tr w14:paraId="015F21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550" w:type="dxa"/>
            <w:tcMar>
              <w:top w:w="16" w:type="dxa"/>
              <w:left w:w="16" w:type="dxa"/>
              <w:right w:w="16" w:type="dxa"/>
            </w:tcMar>
            <w:vAlign w:val="center"/>
          </w:tcPr>
          <w:p w14:paraId="63ED1D6B">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项目审批（核准/备案）部门（选填）</w:t>
            </w:r>
          </w:p>
        </w:tc>
        <w:tc>
          <w:tcPr>
            <w:tcW w:w="2469" w:type="dxa"/>
            <w:vAlign w:val="center"/>
          </w:tcPr>
          <w:p w14:paraId="281A5AED">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衡阳高新技术产业开发区管理委员会</w:t>
            </w:r>
          </w:p>
        </w:tc>
        <w:tc>
          <w:tcPr>
            <w:tcW w:w="2174" w:type="dxa"/>
            <w:vAlign w:val="center"/>
          </w:tcPr>
          <w:p w14:paraId="197AE4D7">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项目审批（核准/</w:t>
            </w:r>
          </w:p>
          <w:p w14:paraId="2E81F2C8">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备案）文号（选填）</w:t>
            </w:r>
          </w:p>
        </w:tc>
        <w:tc>
          <w:tcPr>
            <w:tcW w:w="2677" w:type="dxa"/>
            <w:vAlign w:val="center"/>
          </w:tcPr>
          <w:p w14:paraId="44AE7A83">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14:paraId="2B9A43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50" w:type="dxa"/>
            <w:tcMar>
              <w:top w:w="16" w:type="dxa"/>
              <w:left w:w="16" w:type="dxa"/>
              <w:right w:w="16" w:type="dxa"/>
            </w:tcMar>
            <w:vAlign w:val="center"/>
          </w:tcPr>
          <w:p w14:paraId="2542CD53">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总投资（万元）</w:t>
            </w:r>
          </w:p>
        </w:tc>
        <w:tc>
          <w:tcPr>
            <w:tcW w:w="2469" w:type="dxa"/>
            <w:vAlign w:val="center"/>
          </w:tcPr>
          <w:p w14:paraId="6AEC84CA">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10000</w:t>
            </w:r>
          </w:p>
        </w:tc>
        <w:tc>
          <w:tcPr>
            <w:tcW w:w="2174" w:type="dxa"/>
            <w:tcMar>
              <w:top w:w="16" w:type="dxa"/>
              <w:left w:w="16" w:type="dxa"/>
              <w:right w:w="16" w:type="dxa"/>
            </w:tcMar>
            <w:vAlign w:val="center"/>
          </w:tcPr>
          <w:p w14:paraId="191E4022">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环保投资（万元）</w:t>
            </w:r>
          </w:p>
        </w:tc>
        <w:tc>
          <w:tcPr>
            <w:tcW w:w="2677" w:type="dxa"/>
            <w:vAlign w:val="center"/>
          </w:tcPr>
          <w:p w14:paraId="13C77308">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100</w:t>
            </w:r>
          </w:p>
        </w:tc>
      </w:tr>
      <w:tr w14:paraId="688B71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50" w:type="dxa"/>
            <w:tcMar>
              <w:top w:w="16" w:type="dxa"/>
              <w:left w:w="16" w:type="dxa"/>
              <w:right w:w="16" w:type="dxa"/>
            </w:tcMar>
            <w:vAlign w:val="center"/>
          </w:tcPr>
          <w:p w14:paraId="45DD40A2">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环保投资占比（%）</w:t>
            </w:r>
          </w:p>
        </w:tc>
        <w:tc>
          <w:tcPr>
            <w:tcW w:w="2469" w:type="dxa"/>
            <w:vAlign w:val="center"/>
          </w:tcPr>
          <w:p w14:paraId="4C97F4EA">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w:t>
            </w:r>
          </w:p>
        </w:tc>
        <w:tc>
          <w:tcPr>
            <w:tcW w:w="2174" w:type="dxa"/>
            <w:tcMar>
              <w:top w:w="16" w:type="dxa"/>
              <w:left w:w="16" w:type="dxa"/>
              <w:right w:w="16" w:type="dxa"/>
            </w:tcMar>
            <w:vAlign w:val="center"/>
          </w:tcPr>
          <w:p w14:paraId="63ECED0B">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施工工期</w:t>
            </w:r>
          </w:p>
        </w:tc>
        <w:tc>
          <w:tcPr>
            <w:tcW w:w="2677" w:type="dxa"/>
            <w:vAlign w:val="center"/>
          </w:tcPr>
          <w:p w14:paraId="3DDE7516">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3个月</w:t>
            </w:r>
          </w:p>
        </w:tc>
      </w:tr>
      <w:tr w14:paraId="48AA6F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50" w:type="dxa"/>
            <w:tcMar>
              <w:top w:w="16" w:type="dxa"/>
              <w:left w:w="16" w:type="dxa"/>
              <w:right w:w="16" w:type="dxa"/>
            </w:tcMar>
            <w:vAlign w:val="center"/>
          </w:tcPr>
          <w:p w14:paraId="4C92FEC6">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是否开工建设</w:t>
            </w:r>
          </w:p>
        </w:tc>
        <w:tc>
          <w:tcPr>
            <w:tcW w:w="2469" w:type="dxa"/>
            <w:vAlign w:val="center"/>
          </w:tcPr>
          <w:p w14:paraId="732972BC">
            <w:pPr>
              <w:adjustRightInd w:val="0"/>
              <w:snapToGrid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52"/>
            </w:r>
            <w:r>
              <w:rPr>
                <w:rFonts w:hint="default" w:ascii="Times New Roman" w:hAnsi="Times New Roman" w:eastAsia="宋体" w:cs="Times New Roman"/>
                <w:color w:val="auto"/>
                <w:sz w:val="24"/>
                <w:szCs w:val="24"/>
              </w:rPr>
              <w:t>否</w:t>
            </w:r>
          </w:p>
          <w:p w14:paraId="03AAC3FF">
            <w:pPr>
              <w:adjustRightInd w:val="0"/>
              <w:snapToGrid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A3"/>
            </w:r>
            <w:r>
              <w:rPr>
                <w:rFonts w:hint="default" w:ascii="Times New Roman" w:hAnsi="Times New Roman" w:eastAsia="宋体" w:cs="Times New Roman"/>
                <w:color w:val="auto"/>
                <w:sz w:val="24"/>
                <w:szCs w:val="24"/>
              </w:rPr>
              <w:t>是：</w:t>
            </w:r>
            <w:r>
              <w:rPr>
                <w:rFonts w:hint="default" w:ascii="Times New Roman" w:hAnsi="Times New Roman" w:eastAsia="宋体" w:cs="Times New Roman"/>
                <w:color w:val="auto"/>
                <w:sz w:val="24"/>
                <w:szCs w:val="24"/>
                <w:u w:val="single"/>
              </w:rPr>
              <w:t xml:space="preserve">             </w:t>
            </w:r>
          </w:p>
        </w:tc>
        <w:tc>
          <w:tcPr>
            <w:tcW w:w="2174" w:type="dxa"/>
            <w:tcMar>
              <w:top w:w="16" w:type="dxa"/>
              <w:left w:w="16" w:type="dxa"/>
              <w:right w:w="16" w:type="dxa"/>
            </w:tcMar>
            <w:vAlign w:val="center"/>
          </w:tcPr>
          <w:p w14:paraId="1EB44235">
            <w:pPr>
              <w:adjustRightInd w:val="0"/>
              <w:snapToGrid w:val="0"/>
              <w:jc w:val="center"/>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rPr>
              <w:t>用地（用海）</w:t>
            </w:r>
          </w:p>
          <w:p w14:paraId="31E836FD">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面积（m</w:t>
            </w:r>
            <w:r>
              <w:rPr>
                <w:rFonts w:hint="default" w:ascii="Times New Roman" w:hAnsi="Times New Roman" w:eastAsia="宋体" w:cs="Times New Roman"/>
                <w:color w:val="auto"/>
                <w:spacing w:val="-6"/>
                <w:sz w:val="24"/>
                <w:szCs w:val="24"/>
                <w:vertAlign w:val="superscript"/>
              </w:rPr>
              <w:t>2</w:t>
            </w:r>
            <w:r>
              <w:rPr>
                <w:rFonts w:hint="default" w:ascii="Times New Roman" w:hAnsi="Times New Roman" w:eastAsia="宋体" w:cs="Times New Roman"/>
                <w:color w:val="auto"/>
                <w:spacing w:val="-6"/>
                <w:sz w:val="24"/>
                <w:szCs w:val="24"/>
              </w:rPr>
              <w:t>）</w:t>
            </w:r>
          </w:p>
        </w:tc>
        <w:tc>
          <w:tcPr>
            <w:tcW w:w="2677" w:type="dxa"/>
            <w:vAlign w:val="center"/>
          </w:tcPr>
          <w:p w14:paraId="663D340A">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19458.95</w:t>
            </w:r>
          </w:p>
        </w:tc>
      </w:tr>
      <w:tr w14:paraId="5BFF4C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8" w:hRule="atLeast"/>
          <w:jc w:val="center"/>
        </w:trPr>
        <w:tc>
          <w:tcPr>
            <w:tcW w:w="1550" w:type="dxa"/>
            <w:vAlign w:val="center"/>
          </w:tcPr>
          <w:p w14:paraId="16AF9D7F">
            <w:pPr>
              <w:autoSpaceDE w:val="0"/>
              <w:autoSpaceDN w:val="0"/>
              <w:adjustRightInd w:val="0"/>
              <w:snapToGrid w:val="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专项评价设置情况</w:t>
            </w:r>
          </w:p>
        </w:tc>
        <w:tc>
          <w:tcPr>
            <w:tcW w:w="7320" w:type="dxa"/>
            <w:gridSpan w:val="3"/>
            <w:vAlign w:val="center"/>
          </w:tcPr>
          <w:p w14:paraId="448EE723">
            <w:pPr>
              <w:autoSpaceDE w:val="0"/>
              <w:autoSpaceDN w:val="0"/>
              <w:adjustRightInd w:val="0"/>
              <w:snapToGrid w:val="0"/>
              <w:jc w:val="center"/>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无</w:t>
            </w:r>
          </w:p>
        </w:tc>
      </w:tr>
      <w:tr w14:paraId="6DEF88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11" w:hRule="atLeast"/>
          <w:jc w:val="center"/>
        </w:trPr>
        <w:tc>
          <w:tcPr>
            <w:tcW w:w="1550" w:type="dxa"/>
            <w:vAlign w:val="center"/>
          </w:tcPr>
          <w:p w14:paraId="778321B3">
            <w:pPr>
              <w:autoSpaceDE w:val="0"/>
              <w:autoSpaceDN w:val="0"/>
              <w:adjustRightInd w:val="0"/>
              <w:snapToGrid w:val="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sz w:val="24"/>
                <w:szCs w:val="24"/>
              </w:rPr>
              <w:t>规划情况</w:t>
            </w:r>
          </w:p>
        </w:tc>
        <w:tc>
          <w:tcPr>
            <w:tcW w:w="7320" w:type="dxa"/>
            <w:gridSpan w:val="3"/>
            <w:vAlign w:val="center"/>
          </w:tcPr>
          <w:p w14:paraId="3B14B892">
            <w:pPr>
              <w:pStyle w:val="39"/>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规划名称：《衡阳高新技术产业开发区控制性详细规划》；</w:t>
            </w:r>
          </w:p>
          <w:p w14:paraId="2B1940C9">
            <w:pPr>
              <w:pStyle w:val="39"/>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审批机关及文号：湖南省人民政府办公厅，湘政办函〔2022〕75号。</w:t>
            </w:r>
          </w:p>
        </w:tc>
      </w:tr>
      <w:tr w14:paraId="525E58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10" w:hRule="atLeast"/>
          <w:jc w:val="center"/>
        </w:trPr>
        <w:tc>
          <w:tcPr>
            <w:tcW w:w="1550" w:type="dxa"/>
            <w:vAlign w:val="center"/>
          </w:tcPr>
          <w:p w14:paraId="7C0A28CF">
            <w:pPr>
              <w:adjustRightInd w:val="0"/>
              <w:snapToGrid w:val="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sz w:val="24"/>
                <w:szCs w:val="24"/>
              </w:rPr>
              <w:t>规划环境影响评价情况</w:t>
            </w:r>
          </w:p>
        </w:tc>
        <w:tc>
          <w:tcPr>
            <w:tcW w:w="7320" w:type="dxa"/>
            <w:gridSpan w:val="3"/>
            <w:vAlign w:val="center"/>
          </w:tcPr>
          <w:p w14:paraId="117B9C16">
            <w:pPr>
              <w:pStyle w:val="39"/>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规划环境影响评价文件： </w:t>
            </w:r>
          </w:p>
          <w:p w14:paraId="4414ADCB">
            <w:pPr>
              <w:pStyle w:val="39"/>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《衡阳高新技术产业开发区调区扩区规划环境影响报告书》； </w:t>
            </w:r>
          </w:p>
          <w:p w14:paraId="10931113">
            <w:pPr>
              <w:pStyle w:val="39"/>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召集审查机关：湖南省生态环境厅；</w:t>
            </w:r>
          </w:p>
          <w:p w14:paraId="4FD748AA">
            <w:pPr>
              <w:pStyle w:val="39"/>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审批文件名称及文号：湖南省生态环境厅关于《衡阳高新技术产业开发区调区扩区规划环境影响报告书》审查意见的函（湘环评函</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2024</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34 号）。</w:t>
            </w:r>
          </w:p>
        </w:tc>
      </w:tr>
      <w:tr w14:paraId="6BF287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3" w:hRule="atLeast"/>
          <w:jc w:val="center"/>
        </w:trPr>
        <w:tc>
          <w:tcPr>
            <w:tcW w:w="1550" w:type="dxa"/>
            <w:vAlign w:val="center"/>
          </w:tcPr>
          <w:p w14:paraId="03E67A03">
            <w:pPr>
              <w:autoSpaceDE w:val="0"/>
              <w:autoSpaceDN w:val="0"/>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 w:val="24"/>
                <w:szCs w:val="24"/>
              </w:rPr>
              <w:t>规划及规划环境影响评价符合性分析</w:t>
            </w:r>
          </w:p>
        </w:tc>
        <w:tc>
          <w:tcPr>
            <w:tcW w:w="7320" w:type="dxa"/>
            <w:gridSpan w:val="3"/>
            <w:vAlign w:val="center"/>
          </w:tcPr>
          <w:p w14:paraId="2EF1B1A0">
            <w:pPr>
              <w:keepNext w:val="0"/>
              <w:keepLines w:val="0"/>
              <w:pageBreakBefore w:val="0"/>
              <w:widowControl w:val="0"/>
              <w:numPr>
                <w:ilvl w:val="0"/>
                <w:numId w:val="1"/>
              </w:numPr>
              <w:tabs>
                <w:tab w:val="left" w:pos="855"/>
              </w:tabs>
              <w:kinsoku/>
              <w:wordWrap/>
              <w:overflowPunct/>
              <w:topLinePunct w:val="0"/>
              <w:autoSpaceDE/>
              <w:autoSpaceDN/>
              <w:bidi w:val="0"/>
              <w:adjustRightInd/>
              <w:snapToGrid/>
              <w:spacing w:line="400" w:lineRule="exact"/>
              <w:ind w:left="0" w:leftChars="0" w:firstLine="0" w:firstLineChars="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产业定位及规划布局符合性分析</w:t>
            </w:r>
          </w:p>
          <w:p w14:paraId="50F22625">
            <w:pPr>
              <w:pStyle w:val="39"/>
              <w:keepNext w:val="0"/>
              <w:keepLines w:val="0"/>
              <w:pageBreakBefore w:val="0"/>
              <w:widowControl w:val="0"/>
              <w:kinsoku/>
              <w:wordWrap/>
              <w:overflowPunct/>
              <w:topLinePunct w:val="0"/>
              <w:autoSpaceDE/>
              <w:autoSpaceDN/>
              <w:bidi w:val="0"/>
              <w:adjustRightInd/>
              <w:snapToGrid/>
              <w:spacing w:line="400" w:lineRule="exact"/>
              <w:ind w:firstLine="48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衡阳高新技术产业开发区控制性详细规划总用地面积</w:t>
            </w:r>
            <w:r>
              <w:rPr>
                <w:rFonts w:hint="default" w:ascii="Times New Roman" w:hAnsi="Times New Roman" w:eastAsia="宋体" w:cs="Times New Roman"/>
                <w:color w:val="auto"/>
                <w:sz w:val="24"/>
                <w:szCs w:val="24"/>
                <w:lang w:val="en-US" w:eastAsia="zh-CN"/>
              </w:rPr>
              <w:t>21.14</w:t>
            </w:r>
            <w:r>
              <w:rPr>
                <w:rFonts w:hint="default" w:ascii="Times New Roman" w:hAnsi="Times New Roman" w:eastAsia="宋体" w:cs="Times New Roman"/>
                <w:color w:val="auto"/>
                <w:sz w:val="24"/>
                <w:szCs w:val="24"/>
              </w:rPr>
              <w:t>km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，包含3个片区：高新片、白沙片、东部片。</w:t>
            </w:r>
            <w:r>
              <w:rPr>
                <w:rFonts w:hint="default" w:ascii="Times New Roman" w:hAnsi="Times New Roman" w:eastAsia="宋体" w:cs="Times New Roman"/>
                <w:color w:val="auto"/>
                <w:sz w:val="24"/>
                <w:szCs w:val="24"/>
                <w:lang w:val="en-US" w:eastAsia="zh-CN"/>
              </w:rPr>
              <w:t>本项目位于</w:t>
            </w:r>
            <w:r>
              <w:rPr>
                <w:rFonts w:hint="default" w:ascii="Times New Roman" w:hAnsi="Times New Roman" w:eastAsia="宋体" w:cs="Times New Roman"/>
                <w:color w:val="auto"/>
                <w:sz w:val="24"/>
                <w:szCs w:val="24"/>
              </w:rPr>
              <w:t>衡阳高新技术产业开发区</w:t>
            </w:r>
            <w:r>
              <w:rPr>
                <w:rFonts w:hint="default" w:ascii="Times New Roman" w:hAnsi="Times New Roman" w:eastAsia="宋体" w:cs="Times New Roman"/>
                <w:color w:val="auto"/>
                <w:sz w:val="24"/>
                <w:szCs w:val="24"/>
                <w:lang w:val="en-US" w:eastAsia="zh-CN"/>
              </w:rPr>
              <w:t>白沙片区衡山科学城半导体产业园内，其</w:t>
            </w:r>
            <w:r>
              <w:rPr>
                <w:rFonts w:hint="default" w:ascii="Times New Roman" w:hAnsi="Times New Roman" w:eastAsia="宋体" w:cs="Times New Roman"/>
                <w:color w:val="auto"/>
                <w:sz w:val="24"/>
                <w:szCs w:val="24"/>
              </w:rPr>
              <w:t>规划范围：</w:t>
            </w:r>
            <w:r>
              <w:rPr>
                <w:rFonts w:hint="default" w:ascii="Times New Roman" w:hAnsi="Times New Roman" w:eastAsia="宋体" w:cs="Times New Roman"/>
                <w:color w:val="auto"/>
                <w:sz w:val="24"/>
                <w:szCs w:val="24"/>
                <w:lang w:val="en-US" w:eastAsia="zh-CN"/>
              </w:rPr>
              <w:t>东至蔡伦大道，南至泉南高速公路以北365米处、吴冲，西至衡山大道，北至南三环</w:t>
            </w:r>
            <w:r>
              <w:rPr>
                <w:rFonts w:hint="default" w:ascii="Times New Roman" w:hAnsi="Times New Roman" w:eastAsia="宋体" w:cs="Times New Roman"/>
                <w:color w:val="auto"/>
                <w:sz w:val="24"/>
                <w:szCs w:val="24"/>
              </w:rPr>
              <w:t>。</w:t>
            </w:r>
          </w:p>
          <w:p w14:paraId="3B4663B1">
            <w:pPr>
              <w:pStyle w:val="39"/>
              <w:keepNext w:val="0"/>
              <w:keepLines w:val="0"/>
              <w:pageBreakBefore w:val="0"/>
              <w:widowControl w:val="0"/>
              <w:kinsoku/>
              <w:wordWrap/>
              <w:overflowPunct/>
              <w:topLinePunct w:val="0"/>
              <w:autoSpaceDE/>
              <w:autoSpaceDN/>
              <w:bidi w:val="0"/>
              <w:adjustRightInd/>
              <w:snapToGrid/>
              <w:spacing w:line="400" w:lineRule="exact"/>
              <w:ind w:firstLine="48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衡阳高新技术产业开发区</w:t>
            </w:r>
            <w:r>
              <w:rPr>
                <w:rFonts w:hint="default" w:ascii="Times New Roman" w:hAnsi="Times New Roman" w:eastAsia="宋体" w:cs="Times New Roman"/>
                <w:color w:val="auto"/>
                <w:sz w:val="24"/>
                <w:szCs w:val="24"/>
                <w:lang w:val="en-US" w:eastAsia="zh-CN"/>
              </w:rPr>
              <w:t>白沙片区</w:t>
            </w:r>
            <w:r>
              <w:rPr>
                <w:rFonts w:hint="default" w:ascii="Times New Roman" w:hAnsi="Times New Roman" w:eastAsia="宋体" w:cs="Times New Roman"/>
                <w:color w:val="auto"/>
                <w:sz w:val="24"/>
                <w:szCs w:val="24"/>
              </w:rPr>
              <w:t>产业定位：</w:t>
            </w:r>
            <w:r>
              <w:rPr>
                <w:rFonts w:hint="default" w:ascii="Times New Roman" w:hAnsi="Times New Roman" w:eastAsia="宋体" w:cs="Times New Roman"/>
                <w:color w:val="auto"/>
                <w:sz w:val="24"/>
                <w:szCs w:val="24"/>
                <w:lang w:val="en-US" w:eastAsia="zh-CN"/>
              </w:rPr>
              <w:t>规划发展新材料（先进结构与复合材料、电工材料）、电子信息（消费电子、5G芯片封装等）、先进装备制造（输变电装备、车辆装备）、钢管深加工、生命健康、现代物流</w:t>
            </w:r>
            <w:r>
              <w:rPr>
                <w:rFonts w:hint="default" w:ascii="Times New Roman" w:hAnsi="Times New Roman" w:eastAsia="宋体" w:cs="Times New Roman"/>
                <w:color w:val="auto"/>
                <w:sz w:val="24"/>
                <w:szCs w:val="24"/>
              </w:rPr>
              <w:t>。</w:t>
            </w:r>
          </w:p>
          <w:p w14:paraId="1A8670C3">
            <w:pPr>
              <w:pStyle w:val="39"/>
              <w:keepNext w:val="0"/>
              <w:keepLines w:val="0"/>
              <w:pageBreakBefore w:val="0"/>
              <w:widowControl w:val="0"/>
              <w:kinsoku/>
              <w:wordWrap/>
              <w:overflowPunct/>
              <w:topLinePunct w:val="0"/>
              <w:autoSpaceDE/>
              <w:autoSpaceDN/>
              <w:bidi w:val="0"/>
              <w:adjustRightInd/>
              <w:snapToGrid/>
              <w:spacing w:line="400" w:lineRule="exact"/>
              <w:ind w:firstLine="48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本项目为算力电源、小型储能电源制造项目，符合园区产业规划，不属于</w:t>
            </w:r>
            <w:r>
              <w:rPr>
                <w:rFonts w:hint="default" w:ascii="Times New Roman" w:hAnsi="Times New Roman" w:eastAsia="宋体" w:cs="Times New Roman"/>
                <w:color w:val="auto"/>
                <w:sz w:val="24"/>
                <w:szCs w:val="24"/>
              </w:rPr>
              <w:t>衡阳高新技术产业开发区</w:t>
            </w:r>
            <w:r>
              <w:rPr>
                <w:rFonts w:hint="default" w:ascii="Times New Roman" w:hAnsi="Times New Roman" w:eastAsia="宋体" w:cs="Times New Roman"/>
                <w:color w:val="auto"/>
                <w:sz w:val="24"/>
                <w:szCs w:val="24"/>
                <w:lang w:val="en-US" w:eastAsia="zh-CN"/>
              </w:rPr>
              <w:t>白沙片区</w:t>
            </w:r>
            <w:r>
              <w:rPr>
                <w:rFonts w:hint="default" w:ascii="Times New Roman" w:hAnsi="Times New Roman" w:eastAsia="宋体" w:cs="Times New Roman"/>
                <w:color w:val="auto"/>
                <w:sz w:val="24"/>
                <w:szCs w:val="24"/>
              </w:rPr>
              <w:t>限制、禁止类清单</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位于湖南省衡阳市高新区衡山科学城半导体产业园一期1#厂房，属于电子信息产业项目区域，项目用地为二类工业用地，</w:t>
            </w:r>
            <w:r>
              <w:rPr>
                <w:rFonts w:hint="default" w:ascii="Times New Roman" w:hAnsi="Times New Roman" w:eastAsia="宋体" w:cs="Times New Roman"/>
                <w:color w:val="auto"/>
                <w:sz w:val="24"/>
                <w:szCs w:val="24"/>
              </w:rPr>
              <w:t>因此，本项目符合</w:t>
            </w:r>
            <w:r>
              <w:rPr>
                <w:rFonts w:hint="default" w:ascii="Times New Roman" w:hAnsi="Times New Roman" w:eastAsia="宋体" w:cs="Times New Roman"/>
                <w:color w:val="auto"/>
                <w:sz w:val="24"/>
                <w:szCs w:val="24"/>
                <w:lang w:val="en-US" w:eastAsia="zh-CN"/>
              </w:rPr>
              <w:t>衡阳高新技术产业开发区白沙片区</w:t>
            </w:r>
            <w:r>
              <w:rPr>
                <w:rFonts w:hint="default" w:ascii="Times New Roman" w:hAnsi="Times New Roman" w:eastAsia="宋体" w:cs="Times New Roman"/>
                <w:color w:val="auto"/>
                <w:sz w:val="24"/>
                <w:szCs w:val="24"/>
              </w:rPr>
              <w:t>产业定位及用地规划的要求。</w:t>
            </w:r>
          </w:p>
          <w:p w14:paraId="4E818167">
            <w:pPr>
              <w:keepNext w:val="0"/>
              <w:keepLines w:val="0"/>
              <w:pageBreakBefore w:val="0"/>
              <w:widowControl w:val="0"/>
              <w:numPr>
                <w:ilvl w:val="0"/>
                <w:numId w:val="1"/>
              </w:numPr>
              <w:tabs>
                <w:tab w:val="left" w:pos="855"/>
              </w:tabs>
              <w:kinsoku/>
              <w:wordWrap/>
              <w:overflowPunct/>
              <w:topLinePunct w:val="0"/>
              <w:autoSpaceDE/>
              <w:autoSpaceDN/>
              <w:bidi w:val="0"/>
              <w:adjustRightInd/>
              <w:snapToGrid/>
              <w:spacing w:line="400" w:lineRule="exact"/>
              <w:ind w:left="0" w:leftChars="0" w:firstLine="0" w:firstLineChars="0"/>
              <w:textAlignment w:val="auto"/>
              <w:rPr>
                <w:rFonts w:hint="default" w:ascii="Times New Roman" w:hAnsi="Times New Roman" w:eastAsia="宋体" w:cs="Times New Roman"/>
                <w:b/>
                <w:bCs/>
                <w:color w:val="auto"/>
                <w:sz w:val="24"/>
                <w:szCs w:val="24"/>
              </w:rPr>
            </w:pPr>
            <w:bookmarkStart w:id="3" w:name="_Toc24603"/>
            <w:r>
              <w:rPr>
                <w:rFonts w:hint="default" w:ascii="Times New Roman" w:hAnsi="Times New Roman" w:eastAsia="宋体" w:cs="Times New Roman"/>
                <w:b/>
                <w:bCs/>
                <w:color w:val="auto"/>
                <w:sz w:val="24"/>
                <w:szCs w:val="24"/>
              </w:rPr>
              <w:t>本项目与《衡阳高新技术产业开发区调区扩区规划环境影响报告书》的符</w:t>
            </w:r>
            <w:r>
              <w:rPr>
                <w:rFonts w:hint="default" w:ascii="Times New Roman" w:hAnsi="Times New Roman" w:eastAsia="宋体" w:cs="Times New Roman"/>
                <w:b/>
                <w:bCs/>
                <w:color w:val="auto"/>
                <w:sz w:val="24"/>
                <w:szCs w:val="24"/>
                <w:lang w:val="en-US" w:eastAsia="zh-CN"/>
              </w:rPr>
              <w:t>合</w:t>
            </w:r>
            <w:r>
              <w:rPr>
                <w:rFonts w:hint="default" w:ascii="Times New Roman" w:hAnsi="Times New Roman" w:eastAsia="宋体" w:cs="Times New Roman"/>
                <w:b/>
                <w:bCs/>
                <w:color w:val="auto"/>
                <w:sz w:val="24"/>
                <w:szCs w:val="24"/>
              </w:rPr>
              <w:t>性</w:t>
            </w:r>
            <w:bookmarkEnd w:id="3"/>
          </w:p>
          <w:p w14:paraId="144D00EE">
            <w:pPr>
              <w:pStyle w:val="39"/>
              <w:keepNext w:val="0"/>
              <w:keepLines w:val="0"/>
              <w:pageBreakBefore w:val="0"/>
              <w:widowControl w:val="0"/>
              <w:kinsoku/>
              <w:wordWrap/>
              <w:overflowPunct/>
              <w:topLinePunct w:val="0"/>
              <w:autoSpaceDE/>
              <w:autoSpaceDN/>
              <w:bidi w:val="0"/>
              <w:adjustRightInd/>
              <w:snapToGrid/>
              <w:spacing w:line="400" w:lineRule="exact"/>
              <w:ind w:firstLine="48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w:t>
            </w:r>
            <w:r>
              <w:rPr>
                <w:rFonts w:hint="default" w:ascii="Times New Roman" w:hAnsi="Times New Roman" w:eastAsia="宋体" w:cs="Times New Roman"/>
                <w:color w:val="auto"/>
                <w:sz w:val="24"/>
                <w:szCs w:val="24"/>
                <w:lang w:val="en-US" w:eastAsia="zh-CN"/>
              </w:rPr>
              <w:t>位</w:t>
            </w:r>
            <w:r>
              <w:rPr>
                <w:rFonts w:hint="default" w:ascii="Times New Roman" w:hAnsi="Times New Roman" w:eastAsia="宋体" w:cs="Times New Roman"/>
                <w:color w:val="auto"/>
                <w:sz w:val="24"/>
                <w:szCs w:val="24"/>
              </w:rPr>
              <w:t>于衡阳高新技术产业开发区</w:t>
            </w:r>
            <w:r>
              <w:rPr>
                <w:rFonts w:hint="default" w:ascii="Times New Roman" w:hAnsi="Times New Roman" w:eastAsia="宋体" w:cs="Times New Roman"/>
                <w:color w:val="auto"/>
                <w:sz w:val="24"/>
                <w:szCs w:val="24"/>
                <w:lang w:val="en-US" w:eastAsia="zh-CN"/>
              </w:rPr>
              <w:t>白沙片区衡山科学城半导体产业园一期1#厂房</w:t>
            </w:r>
            <w:r>
              <w:rPr>
                <w:rFonts w:hint="default" w:ascii="Times New Roman" w:hAnsi="Times New Roman" w:eastAsia="宋体" w:cs="Times New Roman"/>
                <w:color w:val="auto"/>
                <w:sz w:val="24"/>
                <w:szCs w:val="24"/>
              </w:rPr>
              <w:t>。对照湖南省生态环境厅关于《衡阳高新技术产业开发区调区扩区规划环境影响报告书》审查意见的函（湘环评函</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2024</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34 号），本项目与《湖南省生态环境厅关于《衡阳高新技术产业开发区调区扩区规划环境影响报告书》审查意见的函》符合性见下表。</w:t>
            </w:r>
          </w:p>
          <w:p w14:paraId="0D29B84F">
            <w:pPr>
              <w:autoSpaceDE w:val="0"/>
              <w:autoSpaceDN w:val="0"/>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表1-1与园区规划环评及审查意见相符性一览表</w:t>
            </w:r>
          </w:p>
          <w:tbl>
            <w:tblPr>
              <w:tblStyle w:val="17"/>
              <w:tblW w:w="669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7"/>
              <w:gridCol w:w="2835"/>
              <w:gridCol w:w="2268"/>
              <w:gridCol w:w="850"/>
            </w:tblGrid>
            <w:tr w14:paraId="737BFC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737" w:type="dxa"/>
                  <w:tcBorders>
                    <w:top w:val="single" w:color="auto" w:sz="4" w:space="0"/>
                    <w:left w:val="single" w:color="auto" w:sz="0" w:space="0"/>
                  </w:tcBorders>
                  <w:vAlign w:val="center"/>
                </w:tcPr>
                <w:p w14:paraId="25E750BA">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2835" w:type="dxa"/>
                  <w:tcBorders>
                    <w:top w:val="single" w:color="auto" w:sz="4" w:space="0"/>
                  </w:tcBorders>
                  <w:vAlign w:val="center"/>
                </w:tcPr>
                <w:p w14:paraId="7F88DAAE">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管控</w:t>
                  </w:r>
                  <w:r>
                    <w:rPr>
                      <w:rFonts w:hint="default" w:ascii="Times New Roman" w:hAnsi="Times New Roman" w:eastAsia="宋体" w:cs="Times New Roman"/>
                      <w:color w:val="auto"/>
                      <w:sz w:val="21"/>
                      <w:szCs w:val="21"/>
                    </w:rPr>
                    <w:t>要求</w:t>
                  </w:r>
                </w:p>
              </w:tc>
              <w:tc>
                <w:tcPr>
                  <w:tcW w:w="2268" w:type="dxa"/>
                  <w:tcBorders>
                    <w:top w:val="single" w:color="auto" w:sz="4" w:space="0"/>
                  </w:tcBorders>
                  <w:vAlign w:val="center"/>
                </w:tcPr>
                <w:p w14:paraId="59EA69E6">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本项目情况</w:t>
                  </w:r>
                </w:p>
              </w:tc>
              <w:tc>
                <w:tcPr>
                  <w:tcW w:w="850" w:type="dxa"/>
                  <w:tcBorders>
                    <w:top w:val="single" w:color="auto" w:sz="4" w:space="0"/>
                    <w:right w:val="single" w:color="auto" w:sz="4" w:space="0"/>
                  </w:tcBorders>
                  <w:vAlign w:val="center"/>
                </w:tcPr>
                <w:p w14:paraId="204F9A4C">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相符性</w:t>
                  </w:r>
                </w:p>
              </w:tc>
            </w:tr>
            <w:tr w14:paraId="15ED61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tcBorders>
                    <w:left w:val="single" w:color="auto" w:sz="4" w:space="0"/>
                  </w:tcBorders>
                  <w:vAlign w:val="center"/>
                </w:tcPr>
                <w:p w14:paraId="1D4153F6">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835" w:type="dxa"/>
                  <w:vAlign w:val="center"/>
                </w:tcPr>
                <w:p w14:paraId="7AAE652A">
                  <w:pPr>
                    <w:autoSpaceDE w:val="0"/>
                    <w:autoSpaceDN w:val="0"/>
                    <w:adjustRightInd w:val="0"/>
                    <w:snapToGrid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做好功能布局，严格执行准入要求。园区在进行国土空间规划和开发建设过程中应从规划层面提升环境相容性，以减小工业开发对城市居住及社会服务功能的影响。园区产业引进应落实园区生态环境分区管控要求，执行《报告书》提出的产业定位和产业生态环境准入清单，对于《长江经济带发展负面清单指南》《湖南省湘江保护条例》（最新修正版）提出的相关禁止性限制性要求应予以落实。高新片区现状已发展成为中心城区，功能布局应以衡阳市最新国土空间规划为指导，推进该片区的产业结构优化调整，该片区不再新引进大规模的工业生产项目，现有工业项目的发展不得新增污染物排放量，后续逐步引导该片区内污染型工业项目退出。白沙片区因依托的铜桥港污水处理厂受纳水体较为敏感，且现状运行负荷已接近设计规模，该片区应限制废水量排放大的项目，并禁止新引进涉有害重金属废水排放的项目。东部片区污水纳入集中式污水处理厂之前，不得引进新增工业废水排放的项目。</w:t>
                  </w:r>
                </w:p>
              </w:tc>
              <w:tc>
                <w:tcPr>
                  <w:tcW w:w="2268" w:type="dxa"/>
                  <w:vAlign w:val="center"/>
                </w:tcPr>
                <w:p w14:paraId="49E416FD">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本项目租赁衡山科学城半导体产业园一期两栋厂房，从事电子元器件制造</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属于该产业园鼓励类项目，项目仅排放生活污水，无工业废水产生；项目位于半导体产业园内，其所属行业不属于</w:t>
                  </w:r>
                  <w:r>
                    <w:rPr>
                      <w:rFonts w:hint="default" w:ascii="Times New Roman" w:hAnsi="Times New Roman" w:eastAsia="宋体" w:cs="Times New Roman"/>
                      <w:color w:val="auto"/>
                      <w:sz w:val="21"/>
                      <w:szCs w:val="21"/>
                    </w:rPr>
                    <w:t>《长江经济带发展负面清单指南》《湖南省湘江保护条例》（最新修正版）</w:t>
                  </w:r>
                  <w:r>
                    <w:rPr>
                      <w:rFonts w:hint="default" w:ascii="Times New Roman" w:hAnsi="Times New Roman" w:eastAsia="宋体" w:cs="Times New Roman"/>
                      <w:color w:val="auto"/>
                      <w:sz w:val="21"/>
                      <w:szCs w:val="21"/>
                      <w:lang w:val="en-US" w:eastAsia="zh-CN"/>
                    </w:rPr>
                    <w:t>提出的禁止性限制范围</w:t>
                  </w:r>
                  <w:r>
                    <w:rPr>
                      <w:rFonts w:hint="default" w:ascii="Times New Roman" w:hAnsi="Times New Roman" w:eastAsia="宋体" w:cs="Times New Roman"/>
                      <w:color w:val="auto"/>
                      <w:sz w:val="21"/>
                      <w:szCs w:val="21"/>
                    </w:rPr>
                    <w:t>。</w:t>
                  </w:r>
                </w:p>
              </w:tc>
              <w:tc>
                <w:tcPr>
                  <w:tcW w:w="850" w:type="dxa"/>
                  <w:tcBorders>
                    <w:right w:val="single" w:color="auto" w:sz="4" w:space="0"/>
                  </w:tcBorders>
                  <w:vAlign w:val="center"/>
                </w:tcPr>
                <w:p w14:paraId="2085CD6D">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37A201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tcBorders>
                    <w:left w:val="single" w:color="auto" w:sz="4" w:space="0"/>
                  </w:tcBorders>
                  <w:vAlign w:val="center"/>
                </w:tcPr>
                <w:p w14:paraId="766DF5DE">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835" w:type="dxa"/>
                  <w:vAlign w:val="center"/>
                </w:tcPr>
                <w:p w14:paraId="51F8FAD8">
                  <w:pPr>
                    <w:autoSpaceDE w:val="0"/>
                    <w:autoSpaceDN w:val="0"/>
                    <w:adjustRightInd w:val="0"/>
                    <w:snapToGrid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落实管控措施，加强园区污染治理。园区应切实抓好污水处理设施及配套管网的建设和运维，做好雨污分流、污污分流，确保园区各片区生产生活废水应收尽收，全部送至污水处理厂集中处理，并满足污水处理厂进水接纳标准。自沙片区应加快流域区域雨污分流、环</w:t>
                  </w:r>
                </w:p>
                <w:p w14:paraId="34D307F9">
                  <w:pPr>
                    <w:autoSpaceDE w:val="0"/>
                    <w:autoSpaceDN w:val="0"/>
                    <w:adjustRightInd w:val="0"/>
                    <w:snapToGrid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境整治工程进度，优化提升废水处理能力，本次规划期内铜桥港污水处理厂排放规模原则上不增加。东部片区应加快配套污水管网及污水集中处理设施的建设，确保相关环保设施与新建项目同步规划、同步建设、同步投入运营。加强对废气重点排放企业的监管，督促企业重点做好 VOCs 及恶臭/异味治理，对重点排放的生产设施予以严格监管，采用适宜的高效污染防治设施并确保持续、稳定运行。做好工业固体废物和生活垃圾的分类收集、转运、综合利用和无害化处理，建立完善的固废管理体系。严格按照国家有关规定对危险废物综合利用或妥善处置，对危险废物产生企业和经营单位，应强化日常环境监管。园区须严格落实排污许可制度和污染物排放总量控制，推动入园企业按规定要求开展清洁生产审核，减少污染物的排放量。园区应落实第三方环境治理工作相关政策要求，强化对园区重点产排污企业的监管与服务。</w:t>
                  </w:r>
                </w:p>
              </w:tc>
              <w:tc>
                <w:tcPr>
                  <w:tcW w:w="2268" w:type="dxa"/>
                  <w:vAlign w:val="center"/>
                </w:tcPr>
                <w:p w14:paraId="3A548CDA">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本项目废气排放处理为集气设备收集后经两级活性炭吸附处理后排放，集气效率90%，吸附效率75%，VOCs排放量：2.04t/a，执行</w:t>
                  </w:r>
                  <w:r>
                    <w:rPr>
                      <w:rFonts w:hint="default" w:ascii="Times New Roman" w:hAnsi="Times New Roman" w:eastAsia="宋体" w:cs="Times New Roman"/>
                      <w:b w:val="0"/>
                      <w:bCs w:val="0"/>
                      <w:color w:val="auto"/>
                      <w:highlight w:val="none"/>
                      <w:lang w:val="en-US" w:eastAsia="zh-CN"/>
                    </w:rPr>
                    <w:t>《大气污染物综合排放标准》（GB16297-1996）</w:t>
                  </w:r>
                  <w:r>
                    <w:rPr>
                      <w:rFonts w:hint="default" w:ascii="Times New Roman" w:hAnsi="Times New Roman" w:eastAsia="宋体" w:cs="Times New Roman"/>
                      <w:color w:val="auto"/>
                      <w:sz w:val="21"/>
                      <w:szCs w:val="21"/>
                      <w:highlight w:val="none"/>
                      <w:lang w:val="en-US" w:eastAsia="zh-CN"/>
                    </w:rPr>
                    <w:t>；生产期间产生的一般固体废物均收集后外售或、送厂家回收利用；危险废物设有危废暂存间，定期交由有资质的单位处理。</w:t>
                  </w:r>
                </w:p>
              </w:tc>
              <w:tc>
                <w:tcPr>
                  <w:tcW w:w="850" w:type="dxa"/>
                  <w:tcBorders>
                    <w:right w:val="single" w:color="auto" w:sz="4" w:space="0"/>
                  </w:tcBorders>
                  <w:vAlign w:val="center"/>
                </w:tcPr>
                <w:p w14:paraId="5F1BC82B">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420857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8" w:hRule="atLeast"/>
                <w:jc w:val="center"/>
              </w:trPr>
              <w:tc>
                <w:tcPr>
                  <w:tcW w:w="737" w:type="dxa"/>
                  <w:tcBorders>
                    <w:left w:val="single" w:color="auto" w:sz="4" w:space="0"/>
                  </w:tcBorders>
                  <w:vAlign w:val="center"/>
                </w:tcPr>
                <w:p w14:paraId="7026234E">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835" w:type="dxa"/>
                  <w:vAlign w:val="center"/>
                </w:tcPr>
                <w:p w14:paraId="1AA149C5">
                  <w:pPr>
                    <w:autoSpaceDE w:val="0"/>
                    <w:autoSpaceDN w:val="0"/>
                    <w:adjustRightInd w:val="0"/>
                    <w:snapToGrid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完善监测体系，监控环境质量变化状况。园区应按照《报告书》提出的跟踪监测方案落实相关工作，建立健全各环境要素的监控体系。园区应加强对重点排放企业、园区污水处理厂的监督性监测，严防企业废水废气偷排漏排或污染治理措施不正常运行。</w:t>
                  </w:r>
                </w:p>
              </w:tc>
              <w:tc>
                <w:tcPr>
                  <w:tcW w:w="2268" w:type="dxa"/>
                  <w:vAlign w:val="center"/>
                </w:tcPr>
                <w:p w14:paraId="0F4D1FB2">
                  <w:pPr>
                    <w:autoSpaceDE w:val="0"/>
                    <w:autoSpaceDN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本项目无工业废水产生，生活污水经化粪池处理后进入园区污水处理厂。</w:t>
                  </w:r>
                </w:p>
              </w:tc>
              <w:tc>
                <w:tcPr>
                  <w:tcW w:w="850" w:type="dxa"/>
                  <w:tcBorders>
                    <w:right w:val="single" w:color="auto" w:sz="4" w:space="0"/>
                  </w:tcBorders>
                  <w:vAlign w:val="center"/>
                </w:tcPr>
                <w:p w14:paraId="5172E7D3">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784FD5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tcBorders>
                    <w:left w:val="single" w:color="auto" w:sz="4" w:space="0"/>
                  </w:tcBorders>
                  <w:vAlign w:val="center"/>
                </w:tcPr>
                <w:p w14:paraId="31BE9D21">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2835" w:type="dxa"/>
                  <w:vAlign w:val="center"/>
                </w:tcPr>
                <w:p w14:paraId="1A6F75E2">
                  <w:pPr>
                    <w:autoSpaceDE w:val="0"/>
                    <w:autoSpaceDN w:val="0"/>
                    <w:adjustRightInd w:val="0"/>
                    <w:snapToGrid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（四）强化风险管控，严防园区环境事故。建立健全园区环境风险管理工作长效机制，加强园区环境风险防控、预警和应急体系建设，全面提升园区环境风险防控和环境事故应急处置能力确保区域环境安全。</w:t>
                  </w:r>
                </w:p>
              </w:tc>
              <w:tc>
                <w:tcPr>
                  <w:tcW w:w="2268" w:type="dxa"/>
                  <w:vAlign w:val="center"/>
                </w:tcPr>
                <w:p w14:paraId="726AB18C">
                  <w:pPr>
                    <w:autoSpaceDE w:val="0"/>
                    <w:autoSpaceDN w:val="0"/>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项目建成后将按照要求编制《突发环境事件应急预案》并备案，预案与园区应急预案相衔接；</w:t>
                  </w:r>
                  <w:r>
                    <w:rPr>
                      <w:rFonts w:hint="default" w:ascii="Times New Roman" w:hAnsi="Times New Roman" w:eastAsia="宋体" w:cs="Times New Roman"/>
                      <w:color w:val="auto"/>
                      <w:sz w:val="21"/>
                      <w:szCs w:val="21"/>
                    </w:rPr>
                    <w:t>落实有效的事故风险防范和应急措施，加强危险化学品储运的环境风险管理</w:t>
                  </w:r>
                  <w:r>
                    <w:rPr>
                      <w:rFonts w:hint="default" w:ascii="Times New Roman" w:hAnsi="Times New Roman" w:eastAsia="宋体" w:cs="Times New Roman"/>
                      <w:color w:val="auto"/>
                      <w:sz w:val="21"/>
                      <w:szCs w:val="21"/>
                      <w:lang w:eastAsia="zh-CN"/>
                    </w:rPr>
                    <w:t>。</w:t>
                  </w:r>
                </w:p>
              </w:tc>
              <w:tc>
                <w:tcPr>
                  <w:tcW w:w="850" w:type="dxa"/>
                  <w:tcBorders>
                    <w:right w:val="single" w:color="auto" w:sz="4" w:space="0"/>
                  </w:tcBorders>
                  <w:vAlign w:val="center"/>
                </w:tcPr>
                <w:p w14:paraId="638D558C">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22FAC4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tcBorders>
                    <w:left w:val="single" w:color="auto" w:sz="4" w:space="0"/>
                  </w:tcBorders>
                  <w:vAlign w:val="center"/>
                </w:tcPr>
                <w:p w14:paraId="474FD418">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2835" w:type="dxa"/>
                  <w:vAlign w:val="center"/>
                </w:tcPr>
                <w:p w14:paraId="4029C371">
                  <w:pPr>
                    <w:autoSpaceDE w:val="0"/>
                    <w:autoSpaceDN w:val="0"/>
                    <w:adjustRightInd w:val="0"/>
                    <w:snapToGrid w:val="0"/>
                    <w:jc w:val="left"/>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五）做好周边控规，落实搬迁安置计划。园区应杜绝在规划的工业用地上新增环境敏感目标，确保园区开发过程中的居民搬迁安置到位，防止发生居民再次安置和次生环境问题，对于具体项目环评设置防护距离和提出搬迁要求的，要确保予以落实</w:t>
                  </w:r>
                  <w:r>
                    <w:rPr>
                      <w:rFonts w:hint="default" w:ascii="Times New Roman" w:hAnsi="Times New Roman" w:eastAsia="宋体" w:cs="Times New Roman"/>
                      <w:color w:val="auto"/>
                      <w:sz w:val="21"/>
                      <w:szCs w:val="21"/>
                      <w:lang w:eastAsia="zh-CN"/>
                    </w:rPr>
                    <w:t>。</w:t>
                  </w:r>
                </w:p>
              </w:tc>
              <w:tc>
                <w:tcPr>
                  <w:tcW w:w="2268" w:type="dxa"/>
                  <w:vAlign w:val="center"/>
                </w:tcPr>
                <w:p w14:paraId="7B967297">
                  <w:pPr>
                    <w:autoSpaceDE w:val="0"/>
                    <w:autoSpaceDN w:val="0"/>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val="en-US" w:eastAsia="zh-CN"/>
                    </w:rPr>
                    <w:t>不设置环境防护距离</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lang w:val="en-US" w:eastAsia="zh-CN"/>
                    </w:rPr>
                    <w:t>厂界四周均为厂房，本</w:t>
                  </w:r>
                  <w:r>
                    <w:rPr>
                      <w:rFonts w:hint="default" w:ascii="Times New Roman" w:hAnsi="Times New Roman" w:eastAsia="宋体" w:cs="Times New Roman"/>
                      <w:color w:val="auto"/>
                      <w:sz w:val="21"/>
                      <w:szCs w:val="21"/>
                      <w:lang w:val="en-US" w:eastAsia="zh-CN"/>
                    </w:rPr>
                    <w:t>项目500m内有2个居民区</w:t>
                  </w:r>
                  <w:r>
                    <w:rPr>
                      <w:rFonts w:hint="default" w:ascii="Times New Roman" w:hAnsi="Times New Roman" w:eastAsia="宋体" w:cs="Times New Roman"/>
                      <w:color w:val="auto"/>
                      <w:sz w:val="21"/>
                      <w:szCs w:val="21"/>
                      <w:lang w:eastAsia="zh-CN"/>
                    </w:rPr>
                    <w:t>。</w:t>
                  </w:r>
                </w:p>
              </w:tc>
              <w:tc>
                <w:tcPr>
                  <w:tcW w:w="850" w:type="dxa"/>
                  <w:tcBorders>
                    <w:right w:val="single" w:color="auto" w:sz="4" w:space="0"/>
                  </w:tcBorders>
                  <w:vAlign w:val="center"/>
                </w:tcPr>
                <w:p w14:paraId="1BA6E96D">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788CA6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tcBorders>
                    <w:left w:val="single" w:color="auto" w:sz="4" w:space="0"/>
                  </w:tcBorders>
                  <w:vAlign w:val="center"/>
                </w:tcPr>
                <w:p w14:paraId="1BB12A7C">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2835" w:type="dxa"/>
                  <w:vAlign w:val="center"/>
                </w:tcPr>
                <w:p w14:paraId="547C9CC3">
                  <w:pPr>
                    <w:autoSpaceDE w:val="0"/>
                    <w:autoSpaceDN w:val="0"/>
                    <w:adjustRightInd w:val="0"/>
                    <w:snapToGrid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（六）做好园区建设期生态保护。尽可能保留自然水体，施工期对土石方开挖、堆存及回填要实施围挡、护坡等措施，裸露地及时恢复植被，杜绝施工建设对地表水体的污染。</w:t>
                  </w:r>
                </w:p>
              </w:tc>
              <w:tc>
                <w:tcPr>
                  <w:tcW w:w="2268" w:type="dxa"/>
                  <w:vAlign w:val="center"/>
                </w:tcPr>
                <w:p w14:paraId="6403B61E">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val="en-US" w:eastAsia="zh-CN"/>
                    </w:rPr>
                    <w:t>租赁</w:t>
                  </w:r>
                  <w:r>
                    <w:rPr>
                      <w:rFonts w:hint="default" w:ascii="Times New Roman" w:hAnsi="Times New Roman" w:eastAsia="宋体" w:cs="Times New Roman"/>
                      <w:color w:val="auto"/>
                      <w:sz w:val="21"/>
                      <w:szCs w:val="21"/>
                    </w:rPr>
                    <w:t>厂房，只需在</w:t>
                  </w:r>
                  <w:r>
                    <w:rPr>
                      <w:rFonts w:hint="default" w:ascii="Times New Roman" w:hAnsi="Times New Roman" w:eastAsia="宋体" w:cs="Times New Roman"/>
                      <w:color w:val="auto"/>
                      <w:sz w:val="21"/>
                      <w:szCs w:val="21"/>
                      <w:lang w:val="en-US" w:eastAsia="zh-CN"/>
                    </w:rPr>
                    <w:t>厂房内</w:t>
                  </w:r>
                  <w:r>
                    <w:rPr>
                      <w:rFonts w:hint="default" w:ascii="Times New Roman" w:hAnsi="Times New Roman" w:eastAsia="宋体" w:cs="Times New Roman"/>
                      <w:color w:val="auto"/>
                      <w:sz w:val="21"/>
                      <w:szCs w:val="21"/>
                    </w:rPr>
                    <w:t>进行</w:t>
                  </w:r>
                  <w:r>
                    <w:rPr>
                      <w:rFonts w:hint="default" w:ascii="Times New Roman" w:hAnsi="Times New Roman" w:eastAsia="宋体" w:cs="Times New Roman"/>
                      <w:color w:val="auto"/>
                      <w:sz w:val="21"/>
                      <w:szCs w:val="21"/>
                      <w:lang w:val="en-US" w:eastAsia="zh-CN"/>
                    </w:rPr>
                    <w:t>装修</w:t>
                  </w:r>
                  <w:r>
                    <w:rPr>
                      <w:rFonts w:hint="default" w:ascii="Times New Roman" w:hAnsi="Times New Roman" w:eastAsia="宋体" w:cs="Times New Roman"/>
                      <w:color w:val="auto"/>
                      <w:sz w:val="21"/>
                      <w:szCs w:val="21"/>
                    </w:rPr>
                    <w:t>和安装设备，对区域生态环境的影响较小。</w:t>
                  </w:r>
                </w:p>
              </w:tc>
              <w:tc>
                <w:tcPr>
                  <w:tcW w:w="850" w:type="dxa"/>
                  <w:tcBorders>
                    <w:right w:val="single" w:color="auto" w:sz="4" w:space="0"/>
                  </w:tcBorders>
                  <w:vAlign w:val="center"/>
                </w:tcPr>
                <w:p w14:paraId="7F76592E">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bl>
          <w:p w14:paraId="7C10AC7A">
            <w:pPr>
              <w:keepNext w:val="0"/>
              <w:keepLines w:val="0"/>
              <w:pageBreakBefore w:val="0"/>
              <w:widowControl w:val="0"/>
              <w:tabs>
                <w:tab w:val="left" w:pos="855"/>
              </w:tabs>
              <w:kinsoku/>
              <w:wordWrap/>
              <w:overflowPunct/>
              <w:topLinePunct w:val="0"/>
              <w:autoSpaceDE/>
              <w:autoSpaceDN/>
              <w:bidi w:val="0"/>
              <w:adjustRightInd/>
              <w:snapToGrid/>
              <w:spacing w:line="40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由上表可知，本项目符合</w:t>
            </w:r>
            <w:r>
              <w:rPr>
                <w:rFonts w:hint="default" w:ascii="Times New Roman" w:hAnsi="Times New Roman" w:eastAsia="宋体" w:cs="Times New Roman"/>
                <w:color w:val="auto"/>
                <w:sz w:val="24"/>
                <w:szCs w:val="24"/>
              </w:rPr>
              <w:t>《衡阳高新技术产业开发区调区扩区规划环境影响报告书》</w:t>
            </w:r>
            <w:r>
              <w:rPr>
                <w:rFonts w:hint="default" w:ascii="Times New Roman" w:hAnsi="Times New Roman" w:eastAsia="宋体" w:cs="Times New Roman"/>
                <w:color w:val="auto"/>
                <w:sz w:val="24"/>
                <w:szCs w:val="24"/>
                <w:lang w:val="en-US" w:eastAsia="zh-CN"/>
              </w:rPr>
              <w:t>及审查意见中的相关要求。</w:t>
            </w:r>
          </w:p>
          <w:p w14:paraId="198A5AE7">
            <w:pPr>
              <w:keepNext w:val="0"/>
              <w:keepLines w:val="0"/>
              <w:pageBreakBefore w:val="0"/>
              <w:widowControl w:val="0"/>
              <w:numPr>
                <w:ilvl w:val="0"/>
                <w:numId w:val="1"/>
              </w:numPr>
              <w:tabs>
                <w:tab w:val="left" w:pos="855"/>
              </w:tabs>
              <w:kinsoku/>
              <w:wordWrap/>
              <w:overflowPunct/>
              <w:topLinePunct w:val="0"/>
              <w:autoSpaceDE/>
              <w:autoSpaceDN/>
              <w:bidi w:val="0"/>
              <w:adjustRightInd/>
              <w:snapToGrid/>
              <w:spacing w:line="400" w:lineRule="exact"/>
              <w:ind w:left="0" w:leftChars="0" w:firstLine="0" w:firstLineChars="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高新区白沙片区准入行业的符合性分析</w:t>
            </w:r>
          </w:p>
          <w:p w14:paraId="5F018BEC">
            <w:pPr>
              <w:keepNext w:val="0"/>
              <w:keepLines w:val="0"/>
              <w:pageBreakBefore w:val="0"/>
              <w:widowControl w:val="0"/>
              <w:tabs>
                <w:tab w:val="left" w:pos="855"/>
              </w:tabs>
              <w:kinsoku/>
              <w:wordWrap/>
              <w:overflowPunct/>
              <w:topLinePunct w:val="0"/>
              <w:autoSpaceDE/>
              <w:autoSpaceDN/>
              <w:bidi w:val="0"/>
              <w:adjustRightInd/>
              <w:snapToGrid/>
              <w:spacing w:line="40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根据《衡阳高新技术产业开发区调区扩区规划环境影响报告书》及审查意见的相关要求，高新区白沙片区准入行业、条件及本项目的符合性分析详见下表。</w:t>
            </w:r>
          </w:p>
          <w:p w14:paraId="7165CC3E">
            <w:pPr>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sz w:val="21"/>
                <w:szCs w:val="21"/>
                <w:lang w:val="en-US" w:eastAsia="zh-CN"/>
              </w:rPr>
              <w:t>表1-2 高新区白沙片区准入行业的符合性分析</w:t>
            </w:r>
          </w:p>
          <w:tbl>
            <w:tblPr>
              <w:tblStyle w:val="18"/>
              <w:tblW w:w="67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2"/>
              <w:gridCol w:w="3904"/>
              <w:gridCol w:w="2067"/>
            </w:tblGrid>
            <w:tr w14:paraId="6EFA9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772" w:type="dxa"/>
                  <w:vAlign w:val="center"/>
                </w:tcPr>
                <w:p w14:paraId="51E543C2">
                  <w:pPr>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类型</w:t>
                  </w:r>
                </w:p>
              </w:tc>
              <w:tc>
                <w:tcPr>
                  <w:tcW w:w="3904" w:type="dxa"/>
                  <w:vAlign w:val="center"/>
                </w:tcPr>
                <w:p w14:paraId="7BAF2B71">
                  <w:pPr>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行业类别</w:t>
                  </w:r>
                </w:p>
              </w:tc>
              <w:tc>
                <w:tcPr>
                  <w:tcW w:w="2067" w:type="dxa"/>
                  <w:vAlign w:val="center"/>
                </w:tcPr>
                <w:p w14:paraId="73FBD77F">
                  <w:pPr>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w:t>
                  </w:r>
                </w:p>
              </w:tc>
            </w:tr>
            <w:tr w14:paraId="71750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2" w:type="dxa"/>
                  <w:vAlign w:val="center"/>
                </w:tcPr>
                <w:p w14:paraId="2A936E32">
                  <w:pPr>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鼓励类</w:t>
                  </w:r>
                </w:p>
              </w:tc>
              <w:tc>
                <w:tcPr>
                  <w:tcW w:w="3904" w:type="dxa"/>
                  <w:vAlign w:val="center"/>
                </w:tcPr>
                <w:p w14:paraId="297B5787">
                  <w:pPr>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新材料（先进结构与复合材料、电工材料）、电子信息（消费电子、5G芯片封装等）、先进装备制造（输变电装备、车辆装备）、钢管深加工、生命健康、现代物流。</w:t>
                  </w:r>
                </w:p>
              </w:tc>
              <w:tc>
                <w:tcPr>
                  <w:tcW w:w="2067" w:type="dxa"/>
                  <w:vAlign w:val="center"/>
                </w:tcPr>
                <w:p w14:paraId="5B617C08">
                  <w:pPr>
                    <w:jc w:val="left"/>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本项目从事SMT芯片制造和电源组装，属于鼓励类中电子信息产业。</w:t>
                  </w:r>
                </w:p>
              </w:tc>
            </w:tr>
            <w:tr w14:paraId="05EE4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2" w:type="dxa"/>
                  <w:vAlign w:val="center"/>
                </w:tcPr>
                <w:p w14:paraId="49BC79F6">
                  <w:pPr>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限制类</w:t>
                  </w:r>
                </w:p>
              </w:tc>
              <w:tc>
                <w:tcPr>
                  <w:tcW w:w="3904" w:type="dxa"/>
                  <w:vAlign w:val="center"/>
                </w:tcPr>
                <w:p w14:paraId="49843A73">
                  <w:pPr>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1.《产业结构调整指导目录》规定的限制类项目；</w:t>
                  </w:r>
                </w:p>
                <w:p w14:paraId="7A52A5A7">
                  <w:pPr>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2.区域环境治理和截污工程完成前，严格限制规划范围内排水总量；</w:t>
                  </w:r>
                </w:p>
                <w:p w14:paraId="720BF964">
                  <w:pPr>
                    <w:jc w:val="left"/>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rPr>
                    <w:t>3.限制引入根据《危险化学品重大危险源辨识》，构成重大危险源的危化品物流仓储项目。</w:t>
                  </w:r>
                </w:p>
              </w:tc>
              <w:tc>
                <w:tcPr>
                  <w:tcW w:w="2067" w:type="dxa"/>
                  <w:vAlign w:val="center"/>
                </w:tcPr>
                <w:p w14:paraId="49C4138D">
                  <w:pPr>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不属于</w:t>
                  </w:r>
                </w:p>
              </w:tc>
            </w:tr>
            <w:tr w14:paraId="62085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2" w:type="dxa"/>
                  <w:vAlign w:val="center"/>
                </w:tcPr>
                <w:p w14:paraId="4F3281ED">
                  <w:pPr>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禁止类</w:t>
                  </w:r>
                </w:p>
              </w:tc>
              <w:tc>
                <w:tcPr>
                  <w:tcW w:w="3904" w:type="dxa"/>
                  <w:vAlign w:val="center"/>
                </w:tcPr>
                <w:p w14:paraId="36EC181B">
                  <w:pPr>
                    <w:jc w:val="left"/>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1.禁止引进《产业结构调整指导目录》淘汰类工艺和设备的项目；</w:t>
                  </w:r>
                </w:p>
                <w:p w14:paraId="2A13F3E8">
                  <w:pPr>
                    <w:jc w:val="left"/>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2.禁止新引进涉有害重金属废水排放的项目。</w:t>
                  </w:r>
                </w:p>
              </w:tc>
              <w:tc>
                <w:tcPr>
                  <w:tcW w:w="2067" w:type="dxa"/>
                  <w:vAlign w:val="center"/>
                </w:tcPr>
                <w:p w14:paraId="1C16243B">
                  <w:pPr>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不属于</w:t>
                  </w:r>
                </w:p>
              </w:tc>
            </w:tr>
          </w:tbl>
          <w:p w14:paraId="69C75CF7">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4"/>
                <w:szCs w:val="24"/>
                <w:lang w:val="en-US" w:eastAsia="zh-CN"/>
              </w:rPr>
              <w:t>由上表可知，本项目属于高新区白沙片区准入行业及条件中鼓励类产业，不属于限制类和淘汰类，符合白沙片区准入行业及条件要求。</w:t>
            </w:r>
          </w:p>
        </w:tc>
      </w:tr>
      <w:tr w14:paraId="2859C9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550" w:type="dxa"/>
            <w:vAlign w:val="center"/>
          </w:tcPr>
          <w:p w14:paraId="28B93A5E">
            <w:pPr>
              <w:autoSpaceDE w:val="0"/>
              <w:autoSpaceDN w:val="0"/>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 w:val="24"/>
                <w:szCs w:val="24"/>
                <w:highlight w:val="none"/>
              </w:rPr>
              <w:t>其他符合性分析</w:t>
            </w:r>
          </w:p>
        </w:tc>
        <w:tc>
          <w:tcPr>
            <w:tcW w:w="7320" w:type="dxa"/>
            <w:gridSpan w:val="3"/>
            <w:vAlign w:val="center"/>
          </w:tcPr>
          <w:p w14:paraId="74202A0F">
            <w:pPr>
              <w:keepNext w:val="0"/>
              <w:keepLines w:val="0"/>
              <w:pageBreakBefore w:val="0"/>
              <w:widowControl w:val="0"/>
              <w:numPr>
                <w:ilvl w:val="0"/>
                <w:numId w:val="2"/>
              </w:numPr>
              <w:kinsoku/>
              <w:wordWrap/>
              <w:overflowPunct/>
              <w:topLinePunct w:val="0"/>
              <w:autoSpaceDE w:val="0"/>
              <w:autoSpaceDN w:val="0"/>
              <w:bidi w:val="0"/>
              <w:adjustRightInd w:val="0"/>
              <w:snapToGrid w:val="0"/>
              <w:spacing w:line="400" w:lineRule="exact"/>
              <w:ind w:firstLine="422" w:firstLineChars="200"/>
              <w:jc w:val="both"/>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lang w:val="en-US" w:eastAsia="zh-CN"/>
              </w:rPr>
              <w:t>选</w:t>
            </w:r>
            <w:r>
              <w:rPr>
                <w:rFonts w:hint="default" w:ascii="Times New Roman" w:hAnsi="Times New Roman" w:eastAsia="宋体" w:cs="Times New Roman"/>
                <w:b/>
                <w:bCs/>
                <w:color w:val="auto"/>
                <w:sz w:val="24"/>
                <w:szCs w:val="24"/>
                <w:lang w:val="en-US" w:eastAsia="zh-CN"/>
              </w:rPr>
              <w:t>址合理性分析</w:t>
            </w:r>
          </w:p>
          <w:p w14:paraId="3F5D1702">
            <w:pPr>
              <w:pStyle w:val="2"/>
              <w:keepNext w:val="0"/>
              <w:keepLines w:val="0"/>
              <w:pageBreakBefore w:val="0"/>
              <w:widowControl w:val="0"/>
              <w:kinsoku/>
              <w:wordWrap/>
              <w:overflowPunct/>
              <w:topLinePunct w:val="0"/>
              <w:autoSpaceDE/>
              <w:autoSpaceDN/>
              <w:bidi w:val="0"/>
              <w:adjustRightInd/>
              <w:snapToGrid/>
              <w:spacing w:before="0" w:after="0" w:line="400" w:lineRule="exact"/>
              <w:textAlignment w:val="auto"/>
              <w:rPr>
                <w:rFonts w:hint="default" w:ascii="Times New Roman" w:hAnsi="Times New Roman" w:eastAsia="宋体" w:cs="Times New Roman"/>
                <w:b w:val="0"/>
                <w:bCs w:val="0"/>
                <w:snapToGrid/>
                <w:color w:val="auto"/>
                <w:kern w:val="2"/>
                <w:sz w:val="24"/>
                <w:szCs w:val="24"/>
                <w:lang w:val="en-US" w:eastAsia="zh-CN" w:bidi="ar-SA"/>
              </w:rPr>
            </w:pPr>
            <w:r>
              <w:rPr>
                <w:rFonts w:hint="default" w:ascii="Times New Roman" w:hAnsi="Times New Roman" w:eastAsia="宋体" w:cs="Times New Roman"/>
                <w:b w:val="0"/>
                <w:bCs w:val="0"/>
                <w:snapToGrid/>
                <w:color w:val="auto"/>
                <w:kern w:val="2"/>
                <w:sz w:val="24"/>
                <w:szCs w:val="24"/>
                <w:lang w:val="en-US" w:eastAsia="zh-CN" w:bidi="ar-SA"/>
              </w:rPr>
              <w:t>本项目位于湖南省衡阳市衡山科学城半导体产业园一期。项目租赁1#、6#标准厂房进行建设。项目四周均为区内道路，隔路为其它标准厂房。项目所在地及周边500米范围内有衡山科学城东湖小区、衡山科学城凤凰园，无学校、医院及自然保护区、风景名胜区、饮用水水源保护区等其他敏感区。</w:t>
            </w:r>
          </w:p>
          <w:p w14:paraId="229FC4CA">
            <w:pPr>
              <w:pStyle w:val="2"/>
              <w:keepNext w:val="0"/>
              <w:keepLines w:val="0"/>
              <w:pageBreakBefore w:val="0"/>
              <w:widowControl w:val="0"/>
              <w:kinsoku/>
              <w:wordWrap/>
              <w:overflowPunct/>
              <w:topLinePunct w:val="0"/>
              <w:autoSpaceDE/>
              <w:autoSpaceDN/>
              <w:bidi w:val="0"/>
              <w:adjustRightInd/>
              <w:snapToGrid/>
              <w:spacing w:before="0" w:after="0" w:line="400" w:lineRule="exact"/>
              <w:textAlignment w:val="auto"/>
              <w:rPr>
                <w:rFonts w:hint="default" w:ascii="Times New Roman" w:hAnsi="Times New Roman" w:eastAsia="宋体" w:cs="Times New Roman"/>
                <w:b w:val="0"/>
                <w:bCs w:val="0"/>
                <w:snapToGrid/>
                <w:color w:val="auto"/>
                <w:kern w:val="2"/>
                <w:sz w:val="24"/>
                <w:szCs w:val="24"/>
                <w:lang w:val="en-US" w:eastAsia="zh-CN" w:bidi="ar-SA"/>
              </w:rPr>
            </w:pPr>
            <w:r>
              <w:rPr>
                <w:rFonts w:hint="default" w:ascii="Times New Roman" w:hAnsi="Times New Roman" w:eastAsia="宋体" w:cs="Times New Roman"/>
                <w:b w:val="0"/>
                <w:bCs w:val="0"/>
                <w:snapToGrid/>
                <w:color w:val="auto"/>
                <w:kern w:val="2"/>
                <w:sz w:val="24"/>
                <w:szCs w:val="24"/>
                <w:lang w:val="en-US" w:eastAsia="zh-CN" w:bidi="ar-SA"/>
              </w:rPr>
              <w:t>项目属于</w:t>
            </w:r>
            <w:r>
              <w:rPr>
                <w:rFonts w:hint="default" w:ascii="Times New Roman" w:hAnsi="Times New Roman" w:eastAsia="宋体" w:cs="Times New Roman"/>
                <w:b w:val="0"/>
                <w:bCs w:val="0"/>
                <w:snapToGrid/>
                <w:color w:val="auto"/>
                <w:kern w:val="2"/>
                <w:sz w:val="24"/>
                <w:szCs w:val="24"/>
                <w:highlight w:val="none"/>
                <w:lang w:val="en-US" w:eastAsia="zh-CN" w:bidi="ar-SA"/>
              </w:rPr>
              <w:t>电气机械和器材制造业</w:t>
            </w:r>
            <w:r>
              <w:rPr>
                <w:rFonts w:hint="default" w:ascii="Times New Roman" w:hAnsi="Times New Roman" w:eastAsia="宋体" w:cs="Times New Roman"/>
                <w:b w:val="0"/>
                <w:bCs w:val="0"/>
                <w:snapToGrid/>
                <w:color w:val="auto"/>
                <w:kern w:val="2"/>
                <w:sz w:val="24"/>
                <w:szCs w:val="24"/>
                <w:lang w:val="en-US" w:eastAsia="zh-CN" w:bidi="ar-SA"/>
              </w:rPr>
              <w:t>，选址属于衡山科学城半导体产业园，符合园区的产业定位和用地规划。根据衡阳市高新控股集团有限公司与杭州铂科电子有限公司签订的《杭州铂科电子科技产业生产基地项目招商引资监管协议》，项目属于衡阳市高新区扶持产业。项目建设利用园区内现有厂房，园区有完善的供电、供水、排水等共用设施，建设条件便利。厂区四周主要为新建厂房和林地，环境容量大，且本项目主要污染物为生活污水和焊接废气，产排污量较小，对周边环境影响较小。</w:t>
            </w:r>
          </w:p>
          <w:p w14:paraId="2183CE3F">
            <w:pPr>
              <w:pStyle w:val="2"/>
              <w:keepNext w:val="0"/>
              <w:keepLines w:val="0"/>
              <w:pageBreakBefore w:val="0"/>
              <w:widowControl w:val="0"/>
              <w:kinsoku/>
              <w:wordWrap/>
              <w:overflowPunct/>
              <w:topLinePunct w:val="0"/>
              <w:autoSpaceDE/>
              <w:autoSpaceDN/>
              <w:bidi w:val="0"/>
              <w:adjustRightInd/>
              <w:snapToGrid/>
              <w:spacing w:before="0" w:after="0" w:line="400" w:lineRule="exact"/>
              <w:textAlignment w:val="auto"/>
              <w:rPr>
                <w:rFonts w:hint="default" w:ascii="Times New Roman" w:hAnsi="Times New Roman" w:eastAsia="宋体" w:cs="Times New Roman"/>
                <w:b w:val="0"/>
                <w:bCs w:val="0"/>
                <w:snapToGrid/>
                <w:color w:val="auto"/>
                <w:kern w:val="2"/>
                <w:sz w:val="24"/>
                <w:szCs w:val="24"/>
                <w:lang w:val="en-US" w:eastAsia="zh-CN" w:bidi="ar-SA"/>
              </w:rPr>
            </w:pPr>
            <w:r>
              <w:rPr>
                <w:rFonts w:hint="default" w:ascii="Times New Roman" w:hAnsi="Times New Roman" w:eastAsia="宋体" w:cs="Times New Roman"/>
                <w:b w:val="0"/>
                <w:bCs w:val="0"/>
                <w:snapToGrid/>
                <w:color w:val="auto"/>
                <w:kern w:val="2"/>
                <w:sz w:val="24"/>
                <w:szCs w:val="24"/>
                <w:lang w:val="en-US" w:eastAsia="zh-CN" w:bidi="ar-SA"/>
              </w:rPr>
              <w:t>因此，项目选址合理。项目地理位置图见附图1，周边关系图见附图4。</w:t>
            </w:r>
          </w:p>
          <w:p w14:paraId="24C8178C">
            <w:pPr>
              <w:keepNext w:val="0"/>
              <w:keepLines w:val="0"/>
              <w:pageBreakBefore w:val="0"/>
              <w:widowControl w:val="0"/>
              <w:numPr>
                <w:ilvl w:val="0"/>
                <w:numId w:val="2"/>
              </w:numPr>
              <w:kinsoku/>
              <w:wordWrap/>
              <w:overflowPunct/>
              <w:topLinePunct w:val="0"/>
              <w:autoSpaceDE w:val="0"/>
              <w:autoSpaceDN w:val="0"/>
              <w:bidi w:val="0"/>
              <w:adjustRightInd w:val="0"/>
              <w:snapToGrid w:val="0"/>
              <w:spacing w:line="400" w:lineRule="exact"/>
              <w:ind w:firstLine="482" w:firstLineChars="200"/>
              <w:jc w:val="both"/>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本项目与周边企业相容性分析</w:t>
            </w:r>
          </w:p>
          <w:p w14:paraId="3E212E53">
            <w:pPr>
              <w:pStyle w:val="2"/>
              <w:keepNext w:val="0"/>
              <w:keepLines w:val="0"/>
              <w:pageBreakBefore w:val="0"/>
              <w:widowControl w:val="0"/>
              <w:kinsoku/>
              <w:wordWrap/>
              <w:overflowPunct/>
              <w:topLinePunct w:val="0"/>
              <w:autoSpaceDE/>
              <w:autoSpaceDN/>
              <w:bidi w:val="0"/>
              <w:adjustRightInd/>
              <w:snapToGrid/>
              <w:spacing w:before="0" w:after="0" w:line="400" w:lineRule="exact"/>
              <w:textAlignment w:val="auto"/>
              <w:rPr>
                <w:rFonts w:hint="default" w:ascii="Times New Roman" w:hAnsi="Times New Roman" w:eastAsia="宋体" w:cs="Times New Roman"/>
                <w:b w:val="0"/>
                <w:bCs w:val="0"/>
                <w:snapToGrid/>
                <w:color w:val="auto"/>
                <w:kern w:val="2"/>
                <w:sz w:val="24"/>
                <w:szCs w:val="24"/>
                <w:highlight w:val="yellow"/>
                <w:lang w:val="en-US" w:eastAsia="zh-CN" w:bidi="ar-SA"/>
              </w:rPr>
            </w:pPr>
            <w:r>
              <w:rPr>
                <w:rFonts w:hint="default" w:ascii="Times New Roman" w:hAnsi="Times New Roman" w:eastAsia="宋体" w:cs="Times New Roman"/>
                <w:b w:val="0"/>
                <w:bCs w:val="0"/>
                <w:snapToGrid/>
                <w:color w:val="auto"/>
                <w:kern w:val="2"/>
                <w:sz w:val="24"/>
                <w:szCs w:val="24"/>
                <w:highlight w:val="none"/>
                <w:lang w:val="en-US" w:eastAsia="zh-CN" w:bidi="ar-SA"/>
              </w:rPr>
              <w:t>本项目位于湖南省衡阳市衡山科学城半导体产业园一期。项目租赁1#、6#标准厂房进行建设，1#厂房共4层，均为本项目生产厂房，一楼为仓库，二楼为SMT工艺车间，三楼四楼均为DIP成品车间；6#厂房4层，一到四层分别为实验室、食堂（外购，仅提供用餐地址）、办公室、研发实验室，6#厂房实验室均为论证实验室，无产污环节。根据现场调查，项目北侧、东侧为空置厂房暂无企业入驻，西侧是在建项目（衡山科学城一期），西北侧为衡阳嘉准科技有限公司（机械零部件加工、模具的制造、电子产品及配件的销售），南侧为林地，因此，本项目与周边企业是相容的。</w:t>
            </w:r>
          </w:p>
          <w:p w14:paraId="33998DE8">
            <w:pPr>
              <w:keepNext w:val="0"/>
              <w:keepLines w:val="0"/>
              <w:pageBreakBefore w:val="0"/>
              <w:widowControl w:val="0"/>
              <w:numPr>
                <w:ilvl w:val="0"/>
                <w:numId w:val="2"/>
              </w:numPr>
              <w:kinsoku/>
              <w:wordWrap/>
              <w:overflowPunct/>
              <w:topLinePunct w:val="0"/>
              <w:autoSpaceDE w:val="0"/>
              <w:autoSpaceDN w:val="0"/>
              <w:bidi w:val="0"/>
              <w:adjustRightInd w:val="0"/>
              <w:snapToGrid w:val="0"/>
              <w:spacing w:line="400" w:lineRule="exact"/>
              <w:ind w:firstLine="482" w:firstLineChars="200"/>
              <w:jc w:val="both"/>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产业政策符合性分析</w:t>
            </w:r>
          </w:p>
          <w:p w14:paraId="6E6B68BE">
            <w:pPr>
              <w:pStyle w:val="2"/>
              <w:keepNext w:val="0"/>
              <w:keepLines w:val="0"/>
              <w:pageBreakBefore w:val="0"/>
              <w:widowControl w:val="0"/>
              <w:kinsoku/>
              <w:wordWrap/>
              <w:overflowPunct/>
              <w:topLinePunct w:val="0"/>
              <w:autoSpaceDE/>
              <w:autoSpaceDN/>
              <w:bidi w:val="0"/>
              <w:adjustRightInd/>
              <w:snapToGrid/>
              <w:spacing w:before="0" w:after="0" w:line="400" w:lineRule="exact"/>
              <w:textAlignment w:val="auto"/>
              <w:rPr>
                <w:rFonts w:hint="default" w:ascii="Times New Roman" w:hAnsi="Times New Roman" w:eastAsia="宋体" w:cs="Times New Roman"/>
                <w:b w:val="0"/>
                <w:bCs w:val="0"/>
                <w:snapToGrid/>
                <w:color w:val="auto"/>
                <w:kern w:val="2"/>
                <w:sz w:val="24"/>
                <w:szCs w:val="24"/>
                <w:lang w:val="en-US" w:eastAsia="zh-CN" w:bidi="ar-SA"/>
              </w:rPr>
            </w:pPr>
            <w:r>
              <w:rPr>
                <w:rFonts w:hint="default" w:ascii="Times New Roman" w:hAnsi="Times New Roman" w:eastAsia="宋体" w:cs="Times New Roman"/>
                <w:b w:val="0"/>
                <w:bCs w:val="0"/>
                <w:snapToGrid/>
                <w:color w:val="auto"/>
                <w:kern w:val="2"/>
                <w:sz w:val="24"/>
                <w:szCs w:val="24"/>
                <w:lang w:val="en-US" w:eastAsia="zh-CN" w:bidi="ar-SA"/>
              </w:rPr>
              <w:t>本项目属于《国民经济行业分类》（GB/4754-2019）中“3824 电力电子元器件制造”，经查阅《产业结构调整指导目录（2024年本）》，本项目不属于限制类、淘汰类及限制类项目，为鼓励类，符合该文件的要求。本项目不属于《市场准入负面清单》（2022年版）禁止准入类。因此，项目符合国家及地方产业政策。</w:t>
            </w:r>
          </w:p>
          <w:p w14:paraId="5EE13C5E">
            <w:pPr>
              <w:keepNext w:val="0"/>
              <w:keepLines w:val="0"/>
              <w:pageBreakBefore w:val="0"/>
              <w:widowControl w:val="0"/>
              <w:numPr>
                <w:ilvl w:val="0"/>
                <w:numId w:val="2"/>
              </w:numPr>
              <w:kinsoku/>
              <w:wordWrap/>
              <w:overflowPunct/>
              <w:topLinePunct w:val="0"/>
              <w:autoSpaceDE w:val="0"/>
              <w:autoSpaceDN w:val="0"/>
              <w:bidi w:val="0"/>
              <w:adjustRightInd w:val="0"/>
              <w:snapToGrid w:val="0"/>
              <w:spacing w:line="400" w:lineRule="exact"/>
              <w:ind w:firstLine="482" w:firstLineChars="200"/>
              <w:jc w:val="both"/>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与《衡阳市“十四五”空气质量改善规划》符合性分析</w:t>
            </w:r>
          </w:p>
          <w:p w14:paraId="5098D694">
            <w:pPr>
              <w:pStyle w:val="2"/>
              <w:keepNext w:val="0"/>
              <w:keepLines w:val="0"/>
              <w:pageBreakBefore w:val="0"/>
              <w:widowControl w:val="0"/>
              <w:kinsoku/>
              <w:wordWrap/>
              <w:overflowPunct/>
              <w:topLinePunct w:val="0"/>
              <w:autoSpaceDE/>
              <w:autoSpaceDN/>
              <w:bidi w:val="0"/>
              <w:adjustRightInd/>
              <w:snapToGrid/>
              <w:spacing w:before="0" w:after="0" w:line="400" w:lineRule="exact"/>
              <w:textAlignment w:val="auto"/>
              <w:rPr>
                <w:rFonts w:hint="default" w:ascii="Times New Roman" w:hAnsi="Times New Roman" w:eastAsia="宋体" w:cs="Times New Roman"/>
                <w:b w:val="0"/>
                <w:bCs w:val="0"/>
                <w:snapToGrid/>
                <w:color w:val="auto"/>
                <w:kern w:val="2"/>
                <w:sz w:val="24"/>
                <w:szCs w:val="24"/>
                <w:lang w:val="en-US" w:eastAsia="zh-CN" w:bidi="ar-SA"/>
              </w:rPr>
            </w:pPr>
            <w:r>
              <w:rPr>
                <w:rFonts w:hint="default" w:ascii="Times New Roman" w:hAnsi="Times New Roman" w:eastAsia="宋体" w:cs="Times New Roman"/>
                <w:b w:val="0"/>
                <w:bCs w:val="0"/>
                <w:snapToGrid/>
                <w:color w:val="auto"/>
                <w:kern w:val="2"/>
                <w:sz w:val="24"/>
                <w:szCs w:val="24"/>
                <w:lang w:val="en-US" w:eastAsia="zh-CN" w:bidi="ar-SA"/>
              </w:rPr>
              <w:t>根据《衡阳市“十四五”空气质量改善规划》重点任务和措施：优化产业结果促进产业产品绿色升级；优化能源结果，加快能源清洁低碳高效发展；优化交通结构，大力发展绿色运输体系；强化多污染物减排，降低VOCs和氮氧化物排放水平；深化系统治污，着力解决人民群众关切的突出环境问题；推进大气污染治理体系和能力现代化；完善体制机制，强化政策激励作用。</w:t>
            </w:r>
          </w:p>
          <w:p w14:paraId="669778A1">
            <w:pPr>
              <w:pStyle w:val="2"/>
              <w:keepNext w:val="0"/>
              <w:keepLines w:val="0"/>
              <w:pageBreakBefore w:val="0"/>
              <w:widowControl w:val="0"/>
              <w:kinsoku/>
              <w:wordWrap/>
              <w:overflowPunct/>
              <w:topLinePunct w:val="0"/>
              <w:autoSpaceDE/>
              <w:autoSpaceDN/>
              <w:bidi w:val="0"/>
              <w:adjustRightInd/>
              <w:snapToGrid/>
              <w:spacing w:before="0" w:after="0" w:line="400" w:lineRule="exact"/>
              <w:textAlignment w:val="auto"/>
              <w:rPr>
                <w:rFonts w:hint="default" w:ascii="Times New Roman" w:hAnsi="Times New Roman" w:eastAsia="宋体" w:cs="Times New Roman"/>
                <w:b w:val="0"/>
                <w:bCs w:val="0"/>
                <w:snapToGrid/>
                <w:color w:val="auto"/>
                <w:kern w:val="2"/>
                <w:sz w:val="24"/>
                <w:szCs w:val="24"/>
                <w:lang w:val="en-US" w:eastAsia="zh-CN" w:bidi="ar-SA"/>
              </w:rPr>
            </w:pPr>
            <w:r>
              <w:rPr>
                <w:rFonts w:hint="default" w:ascii="Times New Roman" w:hAnsi="Times New Roman" w:eastAsia="宋体" w:cs="Times New Roman"/>
                <w:b w:val="0"/>
                <w:bCs w:val="0"/>
                <w:snapToGrid/>
                <w:color w:val="auto"/>
                <w:kern w:val="2"/>
                <w:sz w:val="24"/>
                <w:szCs w:val="24"/>
                <w:lang w:val="en-US" w:eastAsia="zh-CN" w:bidi="ar-SA"/>
              </w:rPr>
              <w:t>本项目使用电源为能源，有机废气产生量较少，与《衡阳市“十四五” 空气质量改善规划》相符。</w:t>
            </w:r>
          </w:p>
          <w:p w14:paraId="2E3E2A5A">
            <w:pPr>
              <w:keepNext w:val="0"/>
              <w:keepLines w:val="0"/>
              <w:pageBreakBefore w:val="0"/>
              <w:widowControl w:val="0"/>
              <w:numPr>
                <w:ilvl w:val="0"/>
                <w:numId w:val="2"/>
              </w:numPr>
              <w:kinsoku/>
              <w:wordWrap/>
              <w:overflowPunct/>
              <w:topLinePunct w:val="0"/>
              <w:autoSpaceDE w:val="0"/>
              <w:autoSpaceDN w:val="0"/>
              <w:bidi w:val="0"/>
              <w:adjustRightInd w:val="0"/>
              <w:snapToGrid w:val="0"/>
              <w:spacing w:line="400" w:lineRule="exact"/>
              <w:ind w:firstLine="482" w:firstLineChars="200"/>
              <w:jc w:val="both"/>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与《衡阳市“十四五生态环境保护规划》符合性分析</w:t>
            </w:r>
          </w:p>
          <w:p w14:paraId="107D5821">
            <w:pPr>
              <w:pStyle w:val="2"/>
              <w:keepNext w:val="0"/>
              <w:keepLines w:val="0"/>
              <w:pageBreakBefore w:val="0"/>
              <w:widowControl w:val="0"/>
              <w:kinsoku/>
              <w:wordWrap/>
              <w:overflowPunct/>
              <w:topLinePunct w:val="0"/>
              <w:autoSpaceDE/>
              <w:autoSpaceDN/>
              <w:bidi w:val="0"/>
              <w:adjustRightInd/>
              <w:snapToGrid/>
              <w:spacing w:before="0" w:after="0" w:line="400" w:lineRule="exact"/>
              <w:textAlignment w:val="auto"/>
              <w:rPr>
                <w:rFonts w:hint="default" w:ascii="Times New Roman" w:hAnsi="Times New Roman" w:eastAsia="宋体" w:cs="Times New Roman"/>
                <w:b w:val="0"/>
                <w:bCs w:val="0"/>
                <w:snapToGrid/>
                <w:color w:val="auto"/>
                <w:kern w:val="2"/>
                <w:sz w:val="24"/>
                <w:szCs w:val="24"/>
                <w:lang w:val="en-US" w:eastAsia="zh-CN" w:bidi="ar-SA"/>
              </w:rPr>
            </w:pPr>
            <w:r>
              <w:rPr>
                <w:rFonts w:hint="default" w:ascii="Times New Roman" w:hAnsi="Times New Roman" w:eastAsia="宋体" w:cs="Times New Roman"/>
                <w:b w:val="0"/>
                <w:bCs w:val="0"/>
                <w:snapToGrid/>
                <w:color w:val="auto"/>
                <w:kern w:val="2"/>
                <w:sz w:val="24"/>
                <w:szCs w:val="24"/>
                <w:lang w:val="en-US" w:eastAsia="zh-CN" w:bidi="ar-SA"/>
              </w:rPr>
              <w:t>根据《衡阳市“十四五生态环境保护规划》：4.推动产业结构调整。继续推动沿江"一公里"化工企业搬迁改造工作，淘汰过剩落后产能，控制高耗能行业新增产能规模。推动高污染企业搬迁入园或者依法关闭，大力推进绿色制造。34.建立绿色发展规矩。推进全市"三线一单"分区管控成果落地应用，及时做好"三线一单"成果动态更新。深入贯彻《排污许可管理条例》和生态环境部《关于构建以排污许可制为核心的固定污染源监管制度体系实施方案》，构建以排污许可制为核心的固定污染源监管制度体系，加强排污许可证事中事后监管。落实企事业单位和产业园区环保信用评价管理办法，推动火电企业、建筑施工企业等纳入信用评价范畴，完善环保信用体系建设。</w:t>
            </w:r>
          </w:p>
          <w:p w14:paraId="7493EB4F">
            <w:pPr>
              <w:pStyle w:val="2"/>
              <w:keepNext w:val="0"/>
              <w:keepLines w:val="0"/>
              <w:pageBreakBefore w:val="0"/>
              <w:widowControl w:val="0"/>
              <w:kinsoku/>
              <w:wordWrap/>
              <w:overflowPunct/>
              <w:topLinePunct w:val="0"/>
              <w:autoSpaceDE/>
              <w:autoSpaceDN/>
              <w:bidi w:val="0"/>
              <w:adjustRightInd/>
              <w:snapToGrid/>
              <w:spacing w:before="0" w:after="0" w:line="400" w:lineRule="exact"/>
              <w:textAlignment w:val="auto"/>
              <w:rPr>
                <w:rFonts w:hint="default" w:ascii="Times New Roman" w:hAnsi="Times New Roman" w:eastAsia="宋体" w:cs="Times New Roman"/>
                <w:b w:val="0"/>
                <w:bCs w:val="0"/>
                <w:snapToGrid/>
                <w:color w:val="auto"/>
                <w:kern w:val="2"/>
                <w:sz w:val="24"/>
                <w:szCs w:val="24"/>
                <w:lang w:val="en-US" w:eastAsia="zh-CN" w:bidi="ar-SA"/>
              </w:rPr>
            </w:pPr>
            <w:r>
              <w:rPr>
                <w:rFonts w:hint="default" w:ascii="Times New Roman" w:hAnsi="Times New Roman" w:eastAsia="宋体" w:cs="Times New Roman"/>
                <w:b w:val="0"/>
                <w:bCs w:val="0"/>
                <w:snapToGrid/>
                <w:color w:val="auto"/>
                <w:kern w:val="2"/>
                <w:sz w:val="24"/>
                <w:szCs w:val="24"/>
                <w:lang w:val="en-US" w:eastAsia="zh-CN" w:bidi="ar-SA"/>
              </w:rPr>
              <w:t>本项目使用电源为能源，有机废气产生量较少，与符合《衡阳市“十四五生态环境保护规划》相符。</w:t>
            </w:r>
          </w:p>
          <w:p w14:paraId="4450081A">
            <w:pPr>
              <w:keepNext w:val="0"/>
              <w:keepLines w:val="0"/>
              <w:pageBreakBefore w:val="0"/>
              <w:widowControl w:val="0"/>
              <w:numPr>
                <w:ilvl w:val="0"/>
                <w:numId w:val="2"/>
              </w:numPr>
              <w:kinsoku/>
              <w:wordWrap/>
              <w:overflowPunct/>
              <w:topLinePunct w:val="0"/>
              <w:autoSpaceDE w:val="0"/>
              <w:autoSpaceDN w:val="0"/>
              <w:bidi w:val="0"/>
              <w:adjustRightInd w:val="0"/>
              <w:snapToGrid w:val="0"/>
              <w:spacing w:line="400" w:lineRule="exact"/>
              <w:ind w:firstLine="482" w:firstLineChars="200"/>
              <w:jc w:val="both"/>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“三线一单”生态环境管控</w:t>
            </w:r>
            <w:r>
              <w:rPr>
                <w:rFonts w:hint="default" w:ascii="Times New Roman" w:hAnsi="Times New Roman" w:eastAsia="宋体" w:cs="Times New Roman"/>
                <w:b/>
                <w:bCs/>
                <w:color w:val="auto"/>
                <w:sz w:val="24"/>
                <w:szCs w:val="24"/>
                <w:highlight w:val="none"/>
                <w:lang w:val="en-US" w:eastAsia="zh-CN"/>
              </w:rPr>
              <w:t>要求符合性分析</w:t>
            </w:r>
          </w:p>
          <w:p w14:paraId="569C3B2C">
            <w:pPr>
              <w:pStyle w:val="2"/>
              <w:keepNext w:val="0"/>
              <w:keepLines w:val="0"/>
              <w:pageBreakBefore w:val="0"/>
              <w:widowControl w:val="0"/>
              <w:numPr>
                <w:ilvl w:val="0"/>
                <w:numId w:val="3"/>
              </w:numPr>
              <w:kinsoku/>
              <w:wordWrap/>
              <w:overflowPunct/>
              <w:topLinePunct w:val="0"/>
              <w:autoSpaceDE/>
              <w:autoSpaceDN/>
              <w:bidi w:val="0"/>
              <w:adjustRightInd/>
              <w:snapToGrid/>
              <w:spacing w:before="0" w:after="0" w:line="400" w:lineRule="exact"/>
              <w:textAlignment w:val="auto"/>
              <w:rPr>
                <w:rFonts w:hint="default" w:ascii="Times New Roman" w:hAnsi="Times New Roman" w:eastAsia="宋体" w:cs="Times New Roman"/>
                <w:b w:val="0"/>
                <w:bCs w:val="0"/>
                <w:snapToGrid/>
                <w:color w:val="auto"/>
                <w:kern w:val="2"/>
                <w:sz w:val="24"/>
                <w:szCs w:val="24"/>
                <w:lang w:val="en-US" w:eastAsia="zh-CN" w:bidi="ar-SA"/>
              </w:rPr>
            </w:pPr>
            <w:r>
              <w:rPr>
                <w:rFonts w:hint="default" w:ascii="Times New Roman" w:hAnsi="Times New Roman" w:eastAsia="宋体" w:cs="Times New Roman"/>
                <w:b w:val="0"/>
                <w:bCs w:val="0"/>
                <w:snapToGrid/>
                <w:color w:val="auto"/>
                <w:kern w:val="2"/>
                <w:sz w:val="24"/>
                <w:szCs w:val="24"/>
                <w:lang w:val="en-US" w:eastAsia="zh-CN" w:bidi="ar-SA"/>
              </w:rPr>
              <w:t>与《湖南省“三线一单”生态环境总体管控要求暨省级以上产业园区生态环境准入清单》符合性分析</w:t>
            </w:r>
          </w:p>
          <w:p w14:paraId="3D35320A">
            <w:pPr>
              <w:pStyle w:val="2"/>
              <w:keepNext w:val="0"/>
              <w:keepLines w:val="0"/>
              <w:pageBreakBefore w:val="0"/>
              <w:widowControl w:val="0"/>
              <w:kinsoku/>
              <w:wordWrap/>
              <w:overflowPunct/>
              <w:topLinePunct w:val="0"/>
              <w:autoSpaceDE/>
              <w:autoSpaceDN/>
              <w:bidi w:val="0"/>
              <w:adjustRightInd/>
              <w:snapToGrid/>
              <w:spacing w:before="0" w:after="0" w:line="400" w:lineRule="exact"/>
              <w:textAlignment w:val="auto"/>
              <w:rPr>
                <w:rFonts w:hint="default" w:ascii="Times New Roman" w:hAnsi="Times New Roman" w:eastAsia="宋体" w:cs="Times New Roman"/>
                <w:b w:val="0"/>
                <w:bCs w:val="0"/>
                <w:snapToGrid/>
                <w:color w:val="auto"/>
                <w:kern w:val="2"/>
                <w:sz w:val="24"/>
                <w:szCs w:val="24"/>
                <w:lang w:val="en-US" w:eastAsia="zh-CN" w:bidi="ar-SA"/>
              </w:rPr>
            </w:pPr>
            <w:r>
              <w:rPr>
                <w:rFonts w:hint="default" w:ascii="Times New Roman" w:hAnsi="Times New Roman" w:eastAsia="宋体" w:cs="Times New Roman"/>
                <w:b w:val="0"/>
                <w:bCs w:val="0"/>
                <w:snapToGrid/>
                <w:color w:val="auto"/>
                <w:kern w:val="2"/>
                <w:sz w:val="24"/>
                <w:szCs w:val="24"/>
                <w:lang w:val="en-US" w:eastAsia="zh-CN" w:bidi="ar-SA"/>
              </w:rPr>
              <w:t>根据《湖南省“三线一单”生态环境总体管控要求暨省级以上产业园区生态环境准入清单》，衡阳高新技术产业开发区生态环境准入清单及本项目符合性分析见下表。</w:t>
            </w:r>
          </w:p>
          <w:p w14:paraId="2F4C34E6">
            <w:pPr>
              <w:pStyle w:val="2"/>
              <w:keepNext w:val="0"/>
              <w:keepLines w:val="0"/>
              <w:pageBreakBefore w:val="0"/>
              <w:widowControl w:val="0"/>
              <w:kinsoku/>
              <w:wordWrap/>
              <w:overflowPunct/>
              <w:topLinePunct w:val="0"/>
              <w:autoSpaceDE/>
              <w:autoSpaceDN/>
              <w:bidi w:val="0"/>
              <w:adjustRightInd/>
              <w:snapToGrid/>
              <w:spacing w:before="0" w:after="0" w:line="400" w:lineRule="exact"/>
              <w:ind w:left="0" w:leftChars="0" w:firstLine="0" w:firstLineChars="0"/>
              <w:jc w:val="center"/>
              <w:textAlignment w:val="auto"/>
              <w:rPr>
                <w:rFonts w:hint="default" w:ascii="Times New Roman" w:hAnsi="Times New Roman" w:eastAsia="宋体" w:cs="Times New Roman"/>
                <w:b/>
                <w:bCs/>
                <w:snapToGrid/>
                <w:color w:val="auto"/>
                <w:kern w:val="2"/>
                <w:sz w:val="24"/>
                <w:szCs w:val="24"/>
                <w:highlight w:val="yellow"/>
                <w:lang w:val="en-US" w:eastAsia="zh-CN" w:bidi="ar-SA"/>
              </w:rPr>
            </w:pPr>
            <w:r>
              <w:rPr>
                <w:rFonts w:hint="default" w:ascii="Times New Roman" w:hAnsi="Times New Roman" w:eastAsia="宋体" w:cs="Times New Roman"/>
                <w:b/>
                <w:bCs/>
                <w:snapToGrid/>
                <w:color w:val="auto"/>
                <w:kern w:val="2"/>
                <w:sz w:val="21"/>
                <w:szCs w:val="21"/>
                <w:highlight w:val="none"/>
                <w:lang w:val="en-US" w:eastAsia="zh-CN" w:bidi="ar-SA"/>
              </w:rPr>
              <w:t xml:space="preserve">表1-3 </w:t>
            </w:r>
            <w:r>
              <w:rPr>
                <w:rFonts w:hint="default" w:ascii="Times New Roman" w:hAnsi="Times New Roman" w:eastAsia="宋体" w:cs="Times New Roman"/>
                <w:b/>
                <w:bCs/>
                <w:snapToGrid/>
                <w:color w:val="auto"/>
                <w:kern w:val="2"/>
                <w:sz w:val="21"/>
                <w:szCs w:val="21"/>
                <w:lang w:val="en-US" w:eastAsia="zh-CN" w:bidi="ar-SA"/>
              </w:rPr>
              <w:t>衡阳高新技术产业开发区生态环境准入清单及本项目符合性分析</w:t>
            </w:r>
          </w:p>
          <w:tbl>
            <w:tblPr>
              <w:tblStyle w:val="18"/>
              <w:tblW w:w="71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3807"/>
              <w:gridCol w:w="1762"/>
              <w:gridCol w:w="815"/>
            </w:tblGrid>
            <w:tr w14:paraId="2B5CD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14:paraId="201E5F9C">
                  <w:pPr>
                    <w:pStyle w:val="2"/>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管控维度</w:t>
                  </w:r>
                </w:p>
              </w:tc>
              <w:tc>
                <w:tcPr>
                  <w:tcW w:w="3807" w:type="dxa"/>
                  <w:vAlign w:val="center"/>
                </w:tcPr>
                <w:p w14:paraId="6161EA47">
                  <w:pPr>
                    <w:pStyle w:val="2"/>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管控要求</w:t>
                  </w:r>
                </w:p>
              </w:tc>
              <w:tc>
                <w:tcPr>
                  <w:tcW w:w="1762" w:type="dxa"/>
                  <w:vAlign w:val="center"/>
                </w:tcPr>
                <w:p w14:paraId="2F5EECB6">
                  <w:pPr>
                    <w:pStyle w:val="2"/>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本项目情况</w:t>
                  </w:r>
                </w:p>
              </w:tc>
              <w:tc>
                <w:tcPr>
                  <w:tcW w:w="815" w:type="dxa"/>
                  <w:vAlign w:val="center"/>
                </w:tcPr>
                <w:p w14:paraId="051B5A16">
                  <w:pPr>
                    <w:pStyle w:val="2"/>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是否符合</w:t>
                  </w:r>
                </w:p>
              </w:tc>
            </w:tr>
            <w:tr w14:paraId="0D2A1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14:paraId="24A29349">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空间布局约束</w:t>
                  </w:r>
                </w:p>
              </w:tc>
              <w:tc>
                <w:tcPr>
                  <w:tcW w:w="3807" w:type="dxa"/>
                </w:tcPr>
                <w:p w14:paraId="4DF7F720">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rPr>
                    <w:t>（1.3）禁止新引进涉有害重金属废水排放的企业。</w:t>
                  </w:r>
                </w:p>
                <w:p w14:paraId="3D922DC3">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color w:val="auto"/>
                    </w:rPr>
                    <w:t>（1.4）限制引入根据《危险化学品重大危险源辨识》，构成重大危险源的危化品物流仓储项目</w:t>
                  </w:r>
                  <w:r>
                    <w:rPr>
                      <w:rFonts w:hint="default" w:ascii="Times New Roman" w:hAnsi="Times New Roman" w:eastAsia="宋体" w:cs="Times New Roman"/>
                      <w:b w:val="0"/>
                      <w:bCs w:val="0"/>
                      <w:color w:val="auto"/>
                      <w:lang w:eastAsia="zh-CN"/>
                    </w:rPr>
                    <w:t>。</w:t>
                  </w:r>
                </w:p>
              </w:tc>
              <w:tc>
                <w:tcPr>
                  <w:tcW w:w="1762" w:type="dxa"/>
                  <w:vAlign w:val="center"/>
                </w:tcPr>
                <w:p w14:paraId="0BF77017">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本项目无工业废水产生，生产原料不够成重大危险源。</w:t>
                  </w:r>
                </w:p>
              </w:tc>
              <w:tc>
                <w:tcPr>
                  <w:tcW w:w="815" w:type="dxa"/>
                  <w:vAlign w:val="center"/>
                </w:tcPr>
                <w:p w14:paraId="041E9F13">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符合</w:t>
                  </w:r>
                </w:p>
              </w:tc>
            </w:tr>
            <w:tr w14:paraId="240E4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14:paraId="72A7AAF3">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污染物排放管控</w:t>
                  </w:r>
                </w:p>
              </w:tc>
              <w:tc>
                <w:tcPr>
                  <w:tcW w:w="3807" w:type="dxa"/>
                </w:tcPr>
                <w:p w14:paraId="4FCE67B6">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2.1.2）废水：各企业单位外排废水应处理满足污水处理厂进水水质要求后进入污水处理厂处理。近期污水依托铜桥港污水处理厂集中处理；远期工业废水进入金桥污水处理厂集中处理达标后依托铜桥港污水处理厂排污口外排至湘江。</w:t>
                  </w:r>
                </w:p>
                <w:p w14:paraId="0228D999">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（2.2）废气：加强园区内企业管理，确保企业废气经处理达到相应排放标准。强化末端治理，加快推进包装印刷等行业企业VOCs治理，确保达标排放。汽车制造行业全面实施油性漆改水性漆，减少VOCs产生量。</w:t>
                  </w:r>
                </w:p>
                <w:p w14:paraId="238130AB">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2.3）固废：做好工业固体废物和生活垃圾的分类收集、转运、综合利用和无害化处理。推行清洁生产，减少固体废物产生量；加强固体废物的资源化进程，提高综合利用率；规范固体废物处理措施，对工业固废特别是危险固废应按国家有关规定综合利用或妥善处置，不得造成二次污染；生活垃圾集中由环卫部门及时清运处理。</w:t>
                  </w:r>
                </w:p>
              </w:tc>
              <w:tc>
                <w:tcPr>
                  <w:tcW w:w="1762" w:type="dxa"/>
                  <w:vAlign w:val="center"/>
                </w:tcPr>
                <w:p w14:paraId="763BF19A">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本项目仅产生生活污水，依附园区污水处理系统，实行雨污分流；废气设置有废气处理系统，达标排放；一般固体废物和危险废物设置有专门的贮存间，且均委托有资质的第三方处理机构定时集中清运。</w:t>
                  </w:r>
                </w:p>
              </w:tc>
              <w:tc>
                <w:tcPr>
                  <w:tcW w:w="815" w:type="dxa"/>
                  <w:vAlign w:val="center"/>
                </w:tcPr>
                <w:p w14:paraId="5313DC32">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符合</w:t>
                  </w:r>
                </w:p>
              </w:tc>
            </w:tr>
            <w:tr w14:paraId="2C1C8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14:paraId="3A611B2D">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环境风险防控</w:t>
                  </w:r>
                </w:p>
              </w:tc>
              <w:tc>
                <w:tcPr>
                  <w:tcW w:w="3807" w:type="dxa"/>
                </w:tcPr>
                <w:p w14:paraId="3B389230">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（3.1）高新区应建立健全环境风险防控体系，严格落实《衡阳市高新技术产业开发区突发环境事件应急预案》中提出</w:t>
                  </w:r>
                </w:p>
                <w:p w14:paraId="1C22E20E">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的各项环境风险事故防范措施，严防环境风险事故发生，提高应急处置能力。</w:t>
                  </w:r>
                </w:p>
                <w:p w14:paraId="1A45D151">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3.2）高新区可能发生突发环境事件的污染物排放企业生产、储存、运输、使用危险化学品的企业，产生、收集、贮存、运输、利用、处置危险废物的企业等应当编制和实施环境应急预案；鼓励其他企业制定单独的环境应急预案，或在突发事件应急预案中制定环境应急预案专章，并备案。</w:t>
                  </w:r>
                </w:p>
              </w:tc>
              <w:tc>
                <w:tcPr>
                  <w:tcW w:w="1762" w:type="dxa"/>
                  <w:vAlign w:val="center"/>
                </w:tcPr>
                <w:p w14:paraId="7C721BD9">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项目建成后将按照要求编制《突发环境事件应急预案》并备案，预案与园区突发环境事件应急预案相衔接。</w:t>
                  </w:r>
                </w:p>
              </w:tc>
              <w:tc>
                <w:tcPr>
                  <w:tcW w:w="815" w:type="dxa"/>
                  <w:vAlign w:val="center"/>
                </w:tcPr>
                <w:p w14:paraId="6F1EF1AB">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符合</w:t>
                  </w:r>
                </w:p>
              </w:tc>
            </w:tr>
            <w:tr w14:paraId="61152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14:paraId="30EBD407">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资源开发效率要求</w:t>
                  </w:r>
                </w:p>
              </w:tc>
              <w:tc>
                <w:tcPr>
                  <w:tcW w:w="3807" w:type="dxa"/>
                </w:tcPr>
                <w:p w14:paraId="64D2DD24">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4.1）能源：白沙片区和东部片区提高能源支撑保障能力、加快转变能源发展方式、推进能源结构调整、促进节能减排，全面推广天然气等清洁能源，提供燃气普及率，并积极扶持和推进太阳能、生物能等可再生能源的开发和利用。白沙片区和东部片区到2025年单位GDP能耗为0.335吨标煤/万元，单位工业增加值能耗为0.161吨标煤/万元。</w:t>
                  </w:r>
                </w:p>
                <w:p w14:paraId="653CCCC7">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（4.2）水资源：落实水资源消耗总量和强度双控行动，2025年，雁峰区用水总量0.8491亿立方米，万元工业增加值用水量比2020年下降12.0%。</w:t>
                  </w:r>
                </w:p>
                <w:p w14:paraId="1A630D67">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（4.3）土地资源：提高土地使用效率和节约集约程度，高新区工业用地固定资产投入强度350万元/亩，工业用地地均税收25万元/亩。</w:t>
                  </w:r>
                </w:p>
              </w:tc>
              <w:tc>
                <w:tcPr>
                  <w:tcW w:w="1762" w:type="dxa"/>
                  <w:vAlign w:val="center"/>
                </w:tcPr>
                <w:p w14:paraId="0A096345">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项目生产过程加热采用电能等清洁能源，不涉及燃煤；项目租赁2栋现有厂房进行建设，不涉及新增占地。</w:t>
                  </w:r>
                </w:p>
              </w:tc>
              <w:tc>
                <w:tcPr>
                  <w:tcW w:w="815" w:type="dxa"/>
                  <w:vAlign w:val="center"/>
                </w:tcPr>
                <w:p w14:paraId="0C8B60B8">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符合</w:t>
                  </w:r>
                </w:p>
              </w:tc>
            </w:tr>
            <w:tr w14:paraId="56E35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14:paraId="1613E2AF">
                  <w:pPr>
                    <w:pStyle w:val="2"/>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管控维度</w:t>
                  </w:r>
                </w:p>
              </w:tc>
              <w:tc>
                <w:tcPr>
                  <w:tcW w:w="3807" w:type="dxa"/>
                  <w:vAlign w:val="center"/>
                </w:tcPr>
                <w:p w14:paraId="09FC4016">
                  <w:pPr>
                    <w:pStyle w:val="2"/>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管控要求</w:t>
                  </w:r>
                </w:p>
              </w:tc>
              <w:tc>
                <w:tcPr>
                  <w:tcW w:w="1762" w:type="dxa"/>
                  <w:vAlign w:val="center"/>
                </w:tcPr>
                <w:p w14:paraId="470C3F53">
                  <w:pPr>
                    <w:pStyle w:val="2"/>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本项目情况</w:t>
                  </w:r>
                </w:p>
              </w:tc>
              <w:tc>
                <w:tcPr>
                  <w:tcW w:w="815" w:type="dxa"/>
                  <w:vAlign w:val="center"/>
                </w:tcPr>
                <w:p w14:paraId="674ED8A8">
                  <w:pPr>
                    <w:pStyle w:val="2"/>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是否符合</w:t>
                  </w:r>
                </w:p>
              </w:tc>
            </w:tr>
            <w:tr w14:paraId="5512E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14:paraId="6470F4D3">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空间布局约束</w:t>
                  </w:r>
                </w:p>
              </w:tc>
              <w:tc>
                <w:tcPr>
                  <w:tcW w:w="3807" w:type="dxa"/>
                </w:tcPr>
                <w:p w14:paraId="0B86A15D">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（1.1）各功能区相对集中，充分利用自然地形和绿化隔离带使各功能区隔离。</w:t>
                  </w:r>
                </w:p>
                <w:p w14:paraId="58C82144">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（1.2）将气型污染为主的项目布置在高新区南部。</w:t>
                  </w:r>
                </w:p>
              </w:tc>
              <w:tc>
                <w:tcPr>
                  <w:tcW w:w="1762" w:type="dxa"/>
                  <w:vAlign w:val="center"/>
                </w:tcPr>
                <w:p w14:paraId="0DE79947">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本项目租赁厂房位于工业园内，四周均为厂房、林地，属于工业集中区。</w:t>
                  </w:r>
                </w:p>
              </w:tc>
              <w:tc>
                <w:tcPr>
                  <w:tcW w:w="815" w:type="dxa"/>
                  <w:vAlign w:val="center"/>
                </w:tcPr>
                <w:p w14:paraId="5644F2C1">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符合</w:t>
                  </w:r>
                </w:p>
              </w:tc>
            </w:tr>
            <w:tr w14:paraId="57DB1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14:paraId="5D913EFF">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污染物排放管控</w:t>
                  </w:r>
                </w:p>
              </w:tc>
              <w:tc>
                <w:tcPr>
                  <w:tcW w:w="3807" w:type="dxa"/>
                </w:tcPr>
                <w:p w14:paraId="441F74EC">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（2.1）废水：园区废水排水实行雨污分流。工业废水、生活污水经城西污水处理厂处理达标后外排至蒸水。</w:t>
                  </w:r>
                </w:p>
                <w:p w14:paraId="4F9E7BCD">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（2.2）废气：加强园区内企业管理，确保企业废气经处理达到相应排放标准。强化末端治理，加快推进包装印刷等行业企业VOCs治理，确保达标排放。汽车制造行业全面实施油性漆改水性漆，减少VOCs产生量。</w:t>
                  </w:r>
                </w:p>
                <w:p w14:paraId="568A3195">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2.3）固废：做好工业固体废物和生活垃圾的分类收集、转运、综合利用和无害化处理。推行清洁生产，减少固体废物产生量；加强固体废物的资源化进程，提高综合利用率；规范固体废物处理措施，对工业固废特别是危险固废应按国家有关规定综合利用或妥善处置，不得造成二次污染；生活垃圾集中由环卫部门及时清运处理。</w:t>
                  </w:r>
                </w:p>
              </w:tc>
              <w:tc>
                <w:tcPr>
                  <w:tcW w:w="1762" w:type="dxa"/>
                  <w:vAlign w:val="center"/>
                </w:tcPr>
                <w:p w14:paraId="01D29257">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本项目仅产生生活污水，依附园区污水处理系统，实行雨污分流；废气设置有废气处理系统，达标排放；一般固体废物和危险废物设置有专门的贮存间，且均委托有资质的第三方处理机构定时集中清运。</w:t>
                  </w:r>
                </w:p>
              </w:tc>
              <w:tc>
                <w:tcPr>
                  <w:tcW w:w="815" w:type="dxa"/>
                  <w:vAlign w:val="center"/>
                </w:tcPr>
                <w:p w14:paraId="664F58C0">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符合</w:t>
                  </w:r>
                </w:p>
              </w:tc>
            </w:tr>
            <w:tr w14:paraId="0A91A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14:paraId="7B02CEF9">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环境风险防控</w:t>
                  </w:r>
                </w:p>
              </w:tc>
              <w:tc>
                <w:tcPr>
                  <w:tcW w:w="3807" w:type="dxa"/>
                </w:tcPr>
                <w:p w14:paraId="7D420AEC">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（3.1）园区应建立健全环境风险防控体系，严格落实《衡阳市高新技术产业开发区突发环境事件应急预案》中提出的各项环境风险事故防范措施，严防环境风险事故发生，提高应急处置能力。</w:t>
                  </w:r>
                </w:p>
                <w:p w14:paraId="632E11CE">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3.2）园区可能发生突发环境事件的污染物排放企业，生产、储存、运输、使用危险化学品的企业，产生、收集、贮存、运输、利用、处置危险废物的企业等应当编制和实施环境应急预案；鼓励其他企业制定单独的环境应急预案，或在突发事件应急预案中制定环境应急预案专章，并备案。</w:t>
                  </w:r>
                </w:p>
                <w:p w14:paraId="714B913B">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3.3）建设用地土壤风险防控：结合土壤污染状况详查情况，根据建设用地土壤环境调查评估及现有重金属污染场地调查结果，逐步建立污染地块名录及其开发利用的负面清单，合理确定土地用途。土地开发利用必须符合土壤环境质量要求。各部门在编制土地利用总体规划、城市总体规划、控制性详细规划等相关规划时，应充分考虑污染地块的环境风险，合理确定土地用途。</w:t>
                  </w:r>
                </w:p>
                <w:p w14:paraId="620D02F0">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（3.4）农用地风险防控：</w:t>
                  </w:r>
                </w:p>
                <w:p w14:paraId="7ABDF244">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划定农用地土壤环境质量类别，加大农用地保护力度，禁止在优先保护类耕地集中区域新建有色金属冶炼、有色金属矿采选、化工、电解锰、电镀、制革、石油加工、农药生产、危险废物经营等行业企业。制定实施受污染耕地安全利用方案，采取农艺调控、化学阻控、替代种植等措施，降低农产品重金属超标风险。</w:t>
                  </w:r>
                </w:p>
              </w:tc>
              <w:tc>
                <w:tcPr>
                  <w:tcW w:w="1762" w:type="dxa"/>
                  <w:vAlign w:val="center"/>
                </w:tcPr>
                <w:p w14:paraId="6A9C82FA">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项目建成后将按照要求编制《突发环境事件应急预案》并备案，预案与园区突发环境事件应急预案相衔接。</w:t>
                  </w:r>
                </w:p>
              </w:tc>
              <w:tc>
                <w:tcPr>
                  <w:tcW w:w="815" w:type="dxa"/>
                  <w:vAlign w:val="center"/>
                </w:tcPr>
                <w:p w14:paraId="7AFAE37C">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符合</w:t>
                  </w:r>
                </w:p>
              </w:tc>
            </w:tr>
            <w:tr w14:paraId="333A3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14:paraId="0088FAA2">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资源开发效率要求</w:t>
                  </w:r>
                </w:p>
              </w:tc>
              <w:tc>
                <w:tcPr>
                  <w:tcW w:w="3807" w:type="dxa"/>
                </w:tcPr>
                <w:p w14:paraId="7D2F7975">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4.1）能源：开发区属于高污染燃料禁燃区，常规燃料按照《高污染燃料目录》“Ⅲ类（严格）”进行管控。进一步加快开发区内能源结构调整，全面推广天然气等清洁能源，提供燃气普及率，并积极扶持和推进太阳能、生物能等可再生能源的开发和利用。园区到2020年能耗总量当量值为31.5680万吨标煤，单位GDP能耗当量值为0.167吨标煤/万元；到2025年能耗控制目标为47.9031万吨标煤，单位GDP能耗为0.14吨标煤/万元。</w:t>
                  </w:r>
                </w:p>
                <w:p w14:paraId="62D1458C">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（4.2）水资源：强化工业节水，淘汰落后的用水技术、工艺、产品和设备，开展高耗水工业行业节水技术改造，开展水平衡测试和用水</w:t>
                  </w:r>
                </w:p>
                <w:p w14:paraId="78B74B86">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效率评估，大力推广工业水循环利用，推进节水型企业、节水型工业园区建设。实施最严格水资源管理制度考核，突出用水总量和强度控制目标，到2020年，蒸湘区万元工业增加值用水量比2015年下降32.7%，万元GDP用水量应比2015年下降30%。园区用水总量控制指标2020年为0.27亿立方米，2030年为0.27亿立方米。</w:t>
                  </w:r>
                </w:p>
                <w:p w14:paraId="48A49D13">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（4.3）土地资源：提高土地使用效率和节约集约程度，园区土地投资强度达到3750万元/公顷。严格执行土地使用标准，工业项目投资强度执行《湖南省建设用地指标》（2020版）六等区域控制指标要求。</w:t>
                  </w:r>
                </w:p>
              </w:tc>
              <w:tc>
                <w:tcPr>
                  <w:tcW w:w="1762" w:type="dxa"/>
                  <w:vAlign w:val="center"/>
                </w:tcPr>
                <w:p w14:paraId="5354932B">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项目生产过程加热采用电能等清洁能源，不涉及燃煤；项目租赁一栋现有厂房进行建设，不涉及新增占地。</w:t>
                  </w:r>
                </w:p>
              </w:tc>
              <w:tc>
                <w:tcPr>
                  <w:tcW w:w="815" w:type="dxa"/>
                  <w:vAlign w:val="center"/>
                </w:tcPr>
                <w:p w14:paraId="74D702C7">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符合</w:t>
                  </w:r>
                </w:p>
              </w:tc>
            </w:tr>
          </w:tbl>
          <w:p w14:paraId="29DB23A8">
            <w:pPr>
              <w:pStyle w:val="2"/>
              <w:keepNext w:val="0"/>
              <w:keepLines w:val="0"/>
              <w:pageBreakBefore w:val="0"/>
              <w:widowControl w:val="0"/>
              <w:kinsoku/>
              <w:wordWrap/>
              <w:overflowPunct/>
              <w:topLinePunct w:val="0"/>
              <w:autoSpaceDE/>
              <w:autoSpaceDN/>
              <w:bidi w:val="0"/>
              <w:adjustRightInd/>
              <w:snapToGrid/>
              <w:spacing w:before="0" w:after="0" w:line="400" w:lineRule="exact"/>
              <w:textAlignment w:val="auto"/>
              <w:rPr>
                <w:rFonts w:hint="default" w:ascii="Times New Roman" w:hAnsi="Times New Roman" w:eastAsia="宋体" w:cs="Times New Roman"/>
                <w:b w:val="0"/>
                <w:bCs w:val="0"/>
                <w:snapToGrid/>
                <w:color w:val="auto"/>
                <w:kern w:val="2"/>
                <w:sz w:val="24"/>
                <w:szCs w:val="24"/>
                <w:lang w:val="en-US" w:eastAsia="zh-CN" w:bidi="ar-SA"/>
              </w:rPr>
            </w:pPr>
            <w:r>
              <w:rPr>
                <w:rFonts w:hint="default" w:ascii="Times New Roman" w:hAnsi="Times New Roman" w:eastAsia="宋体" w:cs="Times New Roman"/>
                <w:b w:val="0"/>
                <w:bCs w:val="0"/>
                <w:snapToGrid/>
                <w:color w:val="auto"/>
                <w:kern w:val="2"/>
                <w:sz w:val="24"/>
                <w:szCs w:val="24"/>
                <w:lang w:val="en-US" w:eastAsia="zh-CN" w:bidi="ar-SA"/>
              </w:rPr>
              <w:t>（2）与衡阳市人民政府《关于实施“三线一单”生态环境分区管控的意见》符合性分析</w:t>
            </w:r>
          </w:p>
          <w:p w14:paraId="7D7BAC2E">
            <w:pPr>
              <w:pStyle w:val="2"/>
              <w:keepNext w:val="0"/>
              <w:keepLines w:val="0"/>
              <w:pageBreakBefore w:val="0"/>
              <w:widowControl w:val="0"/>
              <w:kinsoku/>
              <w:wordWrap/>
              <w:overflowPunct/>
              <w:topLinePunct w:val="0"/>
              <w:autoSpaceDE/>
              <w:autoSpaceDN/>
              <w:bidi w:val="0"/>
              <w:adjustRightInd/>
              <w:snapToGrid/>
              <w:spacing w:before="0" w:after="0" w:line="400" w:lineRule="exact"/>
              <w:textAlignment w:val="auto"/>
              <w:rPr>
                <w:rFonts w:hint="default" w:ascii="Times New Roman" w:hAnsi="Times New Roman" w:eastAsia="宋体" w:cs="Times New Roman"/>
                <w:b w:val="0"/>
                <w:bCs w:val="0"/>
                <w:snapToGrid/>
                <w:color w:val="auto"/>
                <w:kern w:val="2"/>
                <w:sz w:val="24"/>
                <w:szCs w:val="24"/>
                <w:lang w:val="en-US" w:eastAsia="zh-CN" w:bidi="ar-SA"/>
              </w:rPr>
            </w:pPr>
            <w:r>
              <w:rPr>
                <w:rFonts w:hint="default" w:ascii="Times New Roman" w:hAnsi="Times New Roman" w:eastAsia="宋体" w:cs="Times New Roman"/>
                <w:b w:val="0"/>
                <w:bCs w:val="0"/>
                <w:snapToGrid/>
                <w:color w:val="auto"/>
                <w:kern w:val="2"/>
                <w:sz w:val="24"/>
                <w:szCs w:val="24"/>
                <w:lang w:val="en-US" w:eastAsia="zh-CN" w:bidi="ar-SA"/>
              </w:rPr>
              <w:t>根据衡阳市生态环境局《关于发布衡阳市生态环境分区管控更新成果（2023年版）的通知》（衡环发〔2024〕194号），项目位于衡阳市雁峰区，属于重点管控单元（大气环境受体敏感重点管控区/大气环境高排放重点管控区），衡阳市雁峰区生态环境准入清单修相关要求及本项目符合性分析见下表。</w:t>
            </w:r>
          </w:p>
          <w:p w14:paraId="68DB1ECE">
            <w:pPr>
              <w:pStyle w:val="2"/>
              <w:keepNext w:val="0"/>
              <w:keepLines w:val="0"/>
              <w:pageBreakBefore w:val="0"/>
              <w:widowControl w:val="0"/>
              <w:kinsoku/>
              <w:wordWrap/>
              <w:overflowPunct/>
              <w:topLinePunct w:val="0"/>
              <w:autoSpaceDE/>
              <w:autoSpaceDN/>
              <w:bidi w:val="0"/>
              <w:adjustRightInd/>
              <w:snapToGrid/>
              <w:spacing w:before="0" w:after="0" w:line="400" w:lineRule="exact"/>
              <w:ind w:left="0" w:leftChars="0" w:firstLine="0" w:firstLineChars="0"/>
              <w:jc w:val="center"/>
              <w:textAlignment w:val="auto"/>
              <w:rPr>
                <w:rFonts w:hint="default" w:ascii="Times New Roman" w:hAnsi="Times New Roman" w:eastAsia="宋体" w:cs="Times New Roman"/>
                <w:b/>
                <w:bCs/>
                <w:snapToGrid/>
                <w:color w:val="auto"/>
                <w:kern w:val="2"/>
                <w:sz w:val="21"/>
                <w:szCs w:val="21"/>
                <w:lang w:val="en-US" w:eastAsia="zh-CN" w:bidi="ar-SA"/>
              </w:rPr>
            </w:pPr>
            <w:r>
              <w:rPr>
                <w:rFonts w:hint="default" w:ascii="Times New Roman" w:hAnsi="Times New Roman" w:eastAsia="宋体" w:cs="Times New Roman"/>
                <w:b/>
                <w:bCs/>
                <w:snapToGrid/>
                <w:color w:val="auto"/>
                <w:kern w:val="2"/>
                <w:sz w:val="21"/>
                <w:szCs w:val="21"/>
                <w:lang w:val="en-US" w:eastAsia="zh-CN" w:bidi="ar-SA"/>
              </w:rPr>
              <w:t>表1-4 衡阳市雁峰区生态环境准入清单相关要求及本项目符合性分析</w:t>
            </w:r>
          </w:p>
          <w:tbl>
            <w:tblPr>
              <w:tblStyle w:val="18"/>
              <w:tblW w:w="71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7"/>
              <w:gridCol w:w="4095"/>
              <w:gridCol w:w="1425"/>
              <w:gridCol w:w="797"/>
            </w:tblGrid>
            <w:tr w14:paraId="53B48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87" w:type="dxa"/>
                  <w:vAlign w:val="center"/>
                </w:tcPr>
                <w:p w14:paraId="2D0C9CDF">
                  <w:pPr>
                    <w:pStyle w:val="2"/>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管控维度</w:t>
                  </w:r>
                </w:p>
              </w:tc>
              <w:tc>
                <w:tcPr>
                  <w:tcW w:w="4095" w:type="dxa"/>
                  <w:vAlign w:val="center"/>
                </w:tcPr>
                <w:p w14:paraId="0500ACDB">
                  <w:pPr>
                    <w:pStyle w:val="2"/>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管控要求</w:t>
                  </w:r>
                </w:p>
              </w:tc>
              <w:tc>
                <w:tcPr>
                  <w:tcW w:w="1425" w:type="dxa"/>
                  <w:vAlign w:val="center"/>
                </w:tcPr>
                <w:p w14:paraId="1CD5EC97">
                  <w:pPr>
                    <w:pStyle w:val="2"/>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本项目情况</w:t>
                  </w:r>
                </w:p>
              </w:tc>
              <w:tc>
                <w:tcPr>
                  <w:tcW w:w="797" w:type="dxa"/>
                  <w:vAlign w:val="center"/>
                </w:tcPr>
                <w:p w14:paraId="43F6762D">
                  <w:pPr>
                    <w:pStyle w:val="2"/>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是否符合</w:t>
                  </w:r>
                </w:p>
              </w:tc>
            </w:tr>
            <w:tr w14:paraId="0C161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87" w:type="dxa"/>
                  <w:vAlign w:val="center"/>
                </w:tcPr>
                <w:p w14:paraId="6378646A">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空间布局</w:t>
                  </w:r>
                </w:p>
                <w:p w14:paraId="0643EBFB">
                  <w:pPr>
                    <w:pStyle w:val="2"/>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约束</w:t>
                  </w:r>
                </w:p>
              </w:tc>
              <w:tc>
                <w:tcPr>
                  <w:tcW w:w="4095" w:type="dxa"/>
                  <w:vAlign w:val="center"/>
                </w:tcPr>
                <w:p w14:paraId="1358FDBF">
                  <w:pPr>
                    <w:pStyle w:val="2"/>
                    <w:adjustRightInd/>
                    <w:snapToGrid/>
                    <w:spacing w:line="240" w:lineRule="auto"/>
                    <w:ind w:firstLine="0" w:firstLineChars="0"/>
                    <w:jc w:val="left"/>
                    <w:rPr>
                      <w:rFonts w:hint="default" w:ascii="Times New Roman" w:hAnsi="Times New Roman" w:eastAsia="宋体" w:cs="Times New Roman"/>
                      <w:b w:val="0"/>
                      <w:bCs w:val="0"/>
                      <w:snapToGrid/>
                      <w:color w:val="auto"/>
                      <w:kern w:val="2"/>
                      <w:szCs w:val="21"/>
                      <w:u w:val="none"/>
                      <w:lang w:val="en-US" w:eastAsia="zh-CN" w:bidi="ar-SA"/>
                    </w:rPr>
                  </w:pPr>
                  <w:r>
                    <w:rPr>
                      <w:rFonts w:hint="default" w:ascii="Times New Roman" w:hAnsi="Times New Roman" w:eastAsia="宋体" w:cs="Times New Roman"/>
                      <w:b w:val="0"/>
                      <w:bCs w:val="0"/>
                      <w:snapToGrid/>
                      <w:color w:val="auto"/>
                      <w:kern w:val="2"/>
                      <w:szCs w:val="21"/>
                      <w:u w:val="none"/>
                      <w:lang w:val="en-US" w:eastAsia="zh-CN" w:bidi="ar-SA"/>
                    </w:rPr>
                    <w:t>（1.1）建设</w:t>
                  </w:r>
                  <w:r>
                    <w:rPr>
                      <w:rFonts w:hint="default" w:ascii="Times New Roman" w:hAnsi="Times New Roman" w:eastAsia="宋体" w:cs="Times New Roman"/>
                      <w:b w:val="0"/>
                      <w:bCs w:val="0"/>
                      <w:snapToGrid/>
                      <w:color w:val="auto"/>
                      <w:kern w:val="2"/>
                      <w:szCs w:val="21"/>
                      <w:u w:val="none"/>
                      <w:lang w:val="en-US" w:bidi="ar-SA"/>
                    </w:rPr>
                    <w:t>湘江衡阳段、蒸水流域、耒水流域等重要片区河道防护林、农田防护林、水源涵养林等生态隔离带，实施水网连通工程，恢复重要湖滨带及河湖生态系统功能</w:t>
                  </w:r>
                  <w:r>
                    <w:rPr>
                      <w:rFonts w:hint="default" w:ascii="Times New Roman" w:hAnsi="Times New Roman" w:eastAsia="宋体" w:cs="Times New Roman"/>
                      <w:b w:val="0"/>
                      <w:bCs w:val="0"/>
                      <w:snapToGrid/>
                      <w:color w:val="auto"/>
                      <w:kern w:val="2"/>
                      <w:szCs w:val="21"/>
                      <w:u w:val="none"/>
                      <w:lang w:val="en-US" w:eastAsia="zh-CN" w:bidi="ar-SA"/>
                    </w:rPr>
                    <w:t>；</w:t>
                  </w:r>
                </w:p>
                <w:p w14:paraId="10AE8C81">
                  <w:pPr>
                    <w:pStyle w:val="2"/>
                    <w:adjustRightInd/>
                    <w:snapToGrid/>
                    <w:spacing w:before="0" w:after="0" w:line="240" w:lineRule="auto"/>
                    <w:ind w:firstLine="0" w:firstLineChars="0"/>
                    <w:jc w:val="left"/>
                    <w:rPr>
                      <w:rFonts w:hint="default" w:ascii="Times New Roman" w:hAnsi="Times New Roman" w:eastAsia="宋体" w:cs="Times New Roman"/>
                      <w:b w:val="0"/>
                      <w:bCs w:val="0"/>
                      <w:snapToGrid/>
                      <w:color w:val="auto"/>
                      <w:kern w:val="2"/>
                      <w:szCs w:val="21"/>
                      <w:u w:val="none"/>
                      <w:lang w:val="en-US" w:eastAsia="zh-CN" w:bidi="ar-SA"/>
                    </w:rPr>
                  </w:pPr>
                  <w:r>
                    <w:rPr>
                      <w:rFonts w:hint="default" w:ascii="Times New Roman" w:hAnsi="Times New Roman" w:eastAsia="宋体" w:cs="Times New Roman"/>
                      <w:b w:val="0"/>
                      <w:bCs w:val="0"/>
                      <w:snapToGrid/>
                      <w:color w:val="auto"/>
                      <w:kern w:val="2"/>
                      <w:szCs w:val="21"/>
                      <w:u w:val="none"/>
                      <w:lang w:val="en-US" w:eastAsia="zh-CN" w:bidi="ar-SA"/>
                    </w:rPr>
                    <w:t>（1.2）</w:t>
                  </w:r>
                  <w:r>
                    <w:rPr>
                      <w:rFonts w:hint="default" w:ascii="Times New Roman" w:hAnsi="Times New Roman" w:eastAsia="宋体" w:cs="Times New Roman"/>
                      <w:b w:val="0"/>
                      <w:bCs w:val="0"/>
                      <w:snapToGrid/>
                      <w:color w:val="auto"/>
                      <w:kern w:val="2"/>
                      <w:szCs w:val="21"/>
                      <w:u w:val="none"/>
                      <w:lang w:val="en-US" w:bidi="ar-SA"/>
                    </w:rPr>
                    <w:t>进一步优化产业结构和能源结构，积极引导低投入、低消耗、低排放和高效率的现代产业发展，抓好落后产能淘汰，全面推动重点行业和重点领域清洁生产、绿色化改造，走绿色低碳、高质量发展道路。继续推动城市建成区、城市主导风向、饮用水源上游等环境敏感区域内化工等重污染企业有序搬迁改造或关停退出</w:t>
                  </w:r>
                  <w:r>
                    <w:rPr>
                      <w:rFonts w:hint="default" w:ascii="Times New Roman" w:hAnsi="Times New Roman" w:eastAsia="宋体" w:cs="Times New Roman"/>
                      <w:b w:val="0"/>
                      <w:bCs w:val="0"/>
                      <w:snapToGrid/>
                      <w:color w:val="auto"/>
                      <w:kern w:val="2"/>
                      <w:szCs w:val="21"/>
                      <w:u w:val="none"/>
                      <w:lang w:val="en-US" w:eastAsia="zh-CN" w:bidi="ar-SA"/>
                    </w:rPr>
                    <w:t>。</w:t>
                  </w:r>
                </w:p>
                <w:p w14:paraId="4EE6AF3B">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left"/>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Cs w:val="21"/>
                      <w:u w:val="none"/>
                      <w:lang w:val="en-US" w:bidi="ar-SA"/>
                    </w:rPr>
                    <w:t>（1.</w:t>
                  </w:r>
                  <w:r>
                    <w:rPr>
                      <w:rFonts w:hint="default" w:ascii="Times New Roman" w:hAnsi="Times New Roman" w:eastAsia="宋体" w:cs="Times New Roman"/>
                      <w:b w:val="0"/>
                      <w:bCs w:val="0"/>
                      <w:snapToGrid/>
                      <w:color w:val="auto"/>
                      <w:kern w:val="2"/>
                      <w:szCs w:val="21"/>
                      <w:u w:val="none"/>
                      <w:lang w:val="en-US" w:eastAsia="zh-CN" w:bidi="ar-SA"/>
                    </w:rPr>
                    <w:t>3</w:t>
                  </w:r>
                  <w:r>
                    <w:rPr>
                      <w:rFonts w:hint="default" w:ascii="Times New Roman" w:hAnsi="Times New Roman" w:eastAsia="宋体" w:cs="Times New Roman"/>
                      <w:b w:val="0"/>
                      <w:bCs w:val="0"/>
                      <w:snapToGrid/>
                      <w:color w:val="auto"/>
                      <w:kern w:val="2"/>
                      <w:szCs w:val="21"/>
                      <w:u w:val="none"/>
                      <w:lang w:val="en-US" w:bidi="ar-SA"/>
                    </w:rPr>
                    <w:t>）</w:t>
                  </w:r>
                  <w:r>
                    <w:rPr>
                      <w:rFonts w:hint="default" w:ascii="Times New Roman" w:hAnsi="Times New Roman" w:eastAsia="宋体" w:cs="Times New Roman"/>
                      <w:b w:val="0"/>
                      <w:bCs w:val="0"/>
                      <w:snapToGrid/>
                      <w:color w:val="auto"/>
                      <w:kern w:val="2"/>
                      <w:szCs w:val="21"/>
                      <w:u w:val="none"/>
                      <w:lang w:val="en-US" w:eastAsia="zh-CN" w:bidi="ar-SA"/>
                    </w:rPr>
                    <w:t>饮用水源保护区按《湖南省饮用水水源保护条例》等要求管理。</w:t>
                  </w:r>
                  <w:r>
                    <w:rPr>
                      <w:rFonts w:hint="default" w:ascii="Times New Roman" w:hAnsi="Times New Roman" w:eastAsia="宋体" w:cs="Times New Roman"/>
                      <w:b w:val="0"/>
                      <w:bCs w:val="0"/>
                      <w:snapToGrid/>
                      <w:color w:val="auto"/>
                      <w:kern w:val="2"/>
                      <w:szCs w:val="21"/>
                      <w:u w:val="none"/>
                      <w:lang w:val="en-US" w:bidi="ar-SA"/>
                    </w:rPr>
                    <w:br w:type="textWrapping"/>
                  </w:r>
                  <w:r>
                    <w:rPr>
                      <w:rFonts w:hint="default" w:ascii="Times New Roman" w:hAnsi="Times New Roman" w:eastAsia="宋体" w:cs="Times New Roman"/>
                      <w:b w:val="0"/>
                      <w:bCs w:val="0"/>
                      <w:snapToGrid/>
                      <w:color w:val="auto"/>
                      <w:kern w:val="2"/>
                      <w:szCs w:val="21"/>
                      <w:u w:val="none"/>
                      <w:lang w:val="en-US" w:bidi="ar-SA"/>
                    </w:rPr>
                    <w:t>（1.</w:t>
                  </w:r>
                  <w:r>
                    <w:rPr>
                      <w:rFonts w:hint="default" w:ascii="Times New Roman" w:hAnsi="Times New Roman" w:eastAsia="宋体" w:cs="Times New Roman"/>
                      <w:b w:val="0"/>
                      <w:bCs w:val="0"/>
                      <w:snapToGrid/>
                      <w:color w:val="auto"/>
                      <w:kern w:val="2"/>
                      <w:szCs w:val="21"/>
                      <w:u w:val="none"/>
                      <w:lang w:val="en-US" w:eastAsia="zh-CN" w:bidi="ar-SA"/>
                    </w:rPr>
                    <w:t>4</w:t>
                  </w:r>
                  <w:r>
                    <w:rPr>
                      <w:rFonts w:hint="default" w:ascii="Times New Roman" w:hAnsi="Times New Roman" w:eastAsia="宋体" w:cs="Times New Roman"/>
                      <w:b w:val="0"/>
                      <w:bCs w:val="0"/>
                      <w:snapToGrid/>
                      <w:color w:val="auto"/>
                      <w:kern w:val="2"/>
                      <w:szCs w:val="21"/>
                      <w:u w:val="none"/>
                      <w:lang w:val="en-US" w:bidi="ar-SA"/>
                    </w:rPr>
                    <w:t>）水产种质资源保护区按《水产种质资源保护区管理暂行办法》要求管理。</w:t>
                  </w:r>
                </w:p>
              </w:tc>
              <w:tc>
                <w:tcPr>
                  <w:tcW w:w="1425" w:type="dxa"/>
                  <w:vAlign w:val="center"/>
                </w:tcPr>
                <w:p w14:paraId="0C9E208B">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本项目符合国家和地方产业政策要求，无生产废水排放，所在区域不涉及水产种质资源保护区。</w:t>
                  </w:r>
                </w:p>
              </w:tc>
              <w:tc>
                <w:tcPr>
                  <w:tcW w:w="797" w:type="dxa"/>
                  <w:vAlign w:val="center"/>
                </w:tcPr>
                <w:p w14:paraId="304FFFA2">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符合</w:t>
                  </w:r>
                </w:p>
              </w:tc>
            </w:tr>
            <w:tr w14:paraId="79D3E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87" w:type="dxa"/>
                  <w:vAlign w:val="center"/>
                </w:tcPr>
                <w:p w14:paraId="3B78CFBC">
                  <w:pPr>
                    <w:pStyle w:val="2"/>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污染物排放管控</w:t>
                  </w:r>
                </w:p>
              </w:tc>
              <w:tc>
                <w:tcPr>
                  <w:tcW w:w="4095" w:type="dxa"/>
                  <w:vAlign w:val="center"/>
                </w:tcPr>
                <w:p w14:paraId="1C76224B">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left"/>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2.1）按照“源头化、流域化、系统化”的治理思路，突出抓好控源截污、内源治理、生态修复、活水保质等工作，城区建成区黑臭水体控制率低于10%；加强已完成整治城区黑臭水体的日常监管，开展第二阶段“长治久清”整治效果评估工作。</w:t>
                  </w:r>
                </w:p>
                <w:p w14:paraId="04345629">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left"/>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2.2）以化工、工业涂装、包装印刷、油品储运销等行业为重点，实施企业VOCs原料替代、排放全过程控制。按照“分业施策、一行一策”的原则，加大低VOCs含量原辅材料的推广使用力度，加快化工、工业涂装、包装印刷等重点行业低VOCs含量原辅材料替代进度，从源头减少VOCs产生。加快推进VOCs重点监管企业“一企一策”综合整治方案的制定和实施。推进使用先进生产工艺设备，减少无组织排放。加强汽修行业VOCs综合治理。加大餐饮油烟污染治理力度，推进县级以上城市餐饮油烟治理全覆盖。</w:t>
                  </w:r>
                </w:p>
              </w:tc>
              <w:tc>
                <w:tcPr>
                  <w:tcW w:w="1425" w:type="dxa"/>
                  <w:vAlign w:val="center"/>
                </w:tcPr>
                <w:p w14:paraId="6E001AFF">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项目无生产废水产生和排放，废水主要为生活污水，经化粪池预处理后，达到《污水综合排放标准》（GB8978-1996）中三级排放标准，由园区排污管网统一纳入铜桥港污水处理厂集中深度处理；生产过程采取密闭过程、密闭场所，局部收集等措施，控制废气无组织排放。</w:t>
                  </w:r>
                </w:p>
              </w:tc>
              <w:tc>
                <w:tcPr>
                  <w:tcW w:w="797" w:type="dxa"/>
                  <w:vAlign w:val="center"/>
                </w:tcPr>
                <w:p w14:paraId="256C398C">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符合</w:t>
                  </w:r>
                </w:p>
              </w:tc>
            </w:tr>
            <w:tr w14:paraId="214C9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87" w:type="dxa"/>
                  <w:vAlign w:val="center"/>
                </w:tcPr>
                <w:p w14:paraId="39919DCF">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环境风险</w:t>
                  </w:r>
                </w:p>
                <w:p w14:paraId="5DF47B0E">
                  <w:pPr>
                    <w:pStyle w:val="2"/>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防控</w:t>
                  </w:r>
                </w:p>
              </w:tc>
              <w:tc>
                <w:tcPr>
                  <w:tcW w:w="4095" w:type="dxa"/>
                  <w:vAlign w:val="center"/>
                </w:tcPr>
                <w:p w14:paraId="7580D082">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left"/>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3.1）加强生态环境保护日常监管和线下监控，健全环境风险预警防控体系，推进重点流域、重要水源地风险防控；建立生态环境风险隐患排查制度和重大生态环境风险源数据库，实行动态跟踪监控和管理；设立生态环境风险监督员，及时核查核实群众举报、舆情反映等渠道获取的问题，建立问题清单和整改清单，消除环境风险。</w:t>
                  </w:r>
                </w:p>
                <w:p w14:paraId="71F87759">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left"/>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3.2）以用途变更为住宅、公共管理与公共服务用地的污染地块为重点，严格落实风险管控和修复。以重点地区危险化学品生产企业搬迁改造、化工污染整治等专项行动遗留地块为重点，加强腾退土地污染风险管控和治理修复。推进耕地土壤污染修复试点，以镉污染耕地为重点，因地制宜选择典型受污染耕地，在切断重金属等污染源的前提下，推进以降低土壤中污染物含量为目的的修复试点工作。</w:t>
                  </w:r>
                </w:p>
              </w:tc>
              <w:tc>
                <w:tcPr>
                  <w:tcW w:w="1425" w:type="dxa"/>
                  <w:vAlign w:val="center"/>
                </w:tcPr>
                <w:p w14:paraId="449D0047">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项目产生的一般固废由厂家回收或外售综合利用，危险废物分类收集，在危废间内分类分区暂存，委托有资质单位定期清运处置，生活垃圾由环卫部门清运处置。以上均按国家有关规定综合利用或妥善处置，不造成二次污染。</w:t>
                  </w:r>
                </w:p>
              </w:tc>
              <w:tc>
                <w:tcPr>
                  <w:tcW w:w="797" w:type="dxa"/>
                  <w:vAlign w:val="center"/>
                </w:tcPr>
                <w:p w14:paraId="62180C27">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符合</w:t>
                  </w:r>
                </w:p>
              </w:tc>
            </w:tr>
            <w:tr w14:paraId="5F04F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87" w:type="dxa"/>
                  <w:vAlign w:val="center"/>
                </w:tcPr>
                <w:p w14:paraId="1343BE0C">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资源开发</w:t>
                  </w:r>
                </w:p>
                <w:p w14:paraId="0FC278D4">
                  <w:pPr>
                    <w:pStyle w:val="2"/>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效率要求</w:t>
                  </w:r>
                </w:p>
              </w:tc>
              <w:tc>
                <w:tcPr>
                  <w:tcW w:w="4095" w:type="dxa"/>
                  <w:vAlign w:val="center"/>
                </w:tcPr>
                <w:p w14:paraId="5637EAE5">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left"/>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（4.1）能源：鼓励企业使用清洁能源，营造全社会节能减排和保护环境的良好氛围。激发用户侧可再生能源电力需求，鼓励用户绿色出行。</w:t>
                  </w:r>
                </w:p>
                <w:p w14:paraId="720633EE">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left"/>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4.2）水资源：落实水资源消耗总量和强度双控行动，推动经济社会发展布局与水资源承载能力相适应。到2025年，雁峰区用水总量0.8491亿立方米，万元地区生产总值用水量比2020年下降16.3%，万元工业增加值用水量比2020年下降12.0%，农业灌溉水有效利用系数0.624。</w:t>
                  </w:r>
                </w:p>
              </w:tc>
              <w:tc>
                <w:tcPr>
                  <w:tcW w:w="1425" w:type="dxa"/>
                  <w:vAlign w:val="center"/>
                </w:tcPr>
                <w:p w14:paraId="67CE27A4">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项目生产过程中主要能耗为电能，不涉及燃煤；不涉及需淘汰的落后用水技术、工艺、产品和设备。</w:t>
                  </w:r>
                </w:p>
              </w:tc>
              <w:tc>
                <w:tcPr>
                  <w:tcW w:w="797" w:type="dxa"/>
                  <w:vAlign w:val="center"/>
                </w:tcPr>
                <w:p w14:paraId="2AD34622">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snapToGrid/>
                      <w:color w:val="auto"/>
                      <w:kern w:val="2"/>
                      <w:sz w:val="21"/>
                      <w:szCs w:val="21"/>
                      <w:vertAlign w:val="baseline"/>
                      <w:lang w:val="en-US" w:eastAsia="zh-CN" w:bidi="ar-SA"/>
                    </w:rPr>
                  </w:pPr>
                  <w:r>
                    <w:rPr>
                      <w:rFonts w:hint="default" w:ascii="Times New Roman" w:hAnsi="Times New Roman" w:eastAsia="宋体" w:cs="Times New Roman"/>
                      <w:b w:val="0"/>
                      <w:bCs w:val="0"/>
                      <w:snapToGrid/>
                      <w:color w:val="auto"/>
                      <w:kern w:val="2"/>
                      <w:sz w:val="21"/>
                      <w:szCs w:val="21"/>
                      <w:vertAlign w:val="baseline"/>
                      <w:lang w:val="en-US" w:eastAsia="zh-CN" w:bidi="ar-SA"/>
                    </w:rPr>
                    <w:t>符合</w:t>
                  </w:r>
                </w:p>
              </w:tc>
            </w:tr>
          </w:tbl>
          <w:p w14:paraId="4A59992F">
            <w:pPr>
              <w:pStyle w:val="2"/>
              <w:keepNext w:val="0"/>
              <w:keepLines w:val="0"/>
              <w:pageBreakBefore w:val="0"/>
              <w:widowControl w:val="0"/>
              <w:kinsoku/>
              <w:wordWrap/>
              <w:overflowPunct/>
              <w:topLinePunct w:val="0"/>
              <w:autoSpaceDE/>
              <w:autoSpaceDN/>
              <w:bidi w:val="0"/>
              <w:adjustRightInd/>
              <w:snapToGrid/>
              <w:spacing w:before="0" w:after="0" w:line="400" w:lineRule="exact"/>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由上表可知，本项目的建设符合《关于发布衡阳市生态环境分区管控更新成果（2023年版）的通知》（衡环发〔2024〕194号）要求。</w:t>
            </w:r>
          </w:p>
          <w:p w14:paraId="74E875EE">
            <w:pPr>
              <w:pStyle w:val="2"/>
              <w:keepNext w:val="0"/>
              <w:keepLines w:val="0"/>
              <w:pageBreakBefore w:val="0"/>
              <w:widowControl w:val="0"/>
              <w:kinsoku/>
              <w:wordWrap/>
              <w:overflowPunct/>
              <w:topLinePunct w:val="0"/>
              <w:autoSpaceDE/>
              <w:autoSpaceDN/>
              <w:bidi w:val="0"/>
              <w:adjustRightInd/>
              <w:snapToGrid/>
              <w:spacing w:before="0" w:after="0" w:line="400" w:lineRule="exact"/>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综上所述，本项目的建设符合“三线一单”要求。</w:t>
            </w:r>
          </w:p>
          <w:p w14:paraId="768AFE7C">
            <w:pPr>
              <w:keepNext w:val="0"/>
              <w:keepLines w:val="0"/>
              <w:pageBreakBefore w:val="0"/>
              <w:widowControl w:val="0"/>
              <w:numPr>
                <w:ilvl w:val="0"/>
                <w:numId w:val="2"/>
              </w:numPr>
              <w:kinsoku/>
              <w:wordWrap/>
              <w:overflowPunct/>
              <w:topLinePunct w:val="0"/>
              <w:autoSpaceDE w:val="0"/>
              <w:autoSpaceDN w:val="0"/>
              <w:bidi w:val="0"/>
              <w:adjustRightInd w:val="0"/>
              <w:snapToGrid w:val="0"/>
              <w:spacing w:line="400" w:lineRule="exact"/>
              <w:ind w:firstLine="482" w:firstLineChars="200"/>
              <w:jc w:val="both"/>
              <w:textAlignment w:val="auto"/>
              <w:rPr>
                <w:rFonts w:hint="default" w:ascii="Times New Roman" w:hAnsi="Times New Roman" w:eastAsia="宋体" w:cs="Times New Roman"/>
                <w:b/>
                <w:bCs/>
                <w:color w:val="auto"/>
                <w:sz w:val="24"/>
                <w:szCs w:val="24"/>
                <w:u w:val="single"/>
                <w:lang w:val="en-US" w:eastAsia="zh-CN"/>
              </w:rPr>
            </w:pPr>
            <w:r>
              <w:rPr>
                <w:rFonts w:hint="default" w:ascii="Times New Roman" w:hAnsi="Times New Roman" w:eastAsia="宋体" w:cs="Times New Roman"/>
                <w:b/>
                <w:bCs/>
                <w:color w:val="auto"/>
                <w:sz w:val="24"/>
                <w:szCs w:val="24"/>
                <w:u w:val="single"/>
                <w:lang w:val="en-US" w:eastAsia="zh-CN"/>
              </w:rPr>
              <w:t>与《湖南省大气污染防治“守护蓝天”攻坚行动计划（2023-2025年）》符合性分析</w:t>
            </w:r>
          </w:p>
          <w:p w14:paraId="513F2D81">
            <w:pPr>
              <w:pStyle w:val="2"/>
              <w:keepNext w:val="0"/>
              <w:keepLines w:val="0"/>
              <w:pageBreakBefore w:val="0"/>
              <w:widowControl w:val="0"/>
              <w:kinsoku/>
              <w:wordWrap/>
              <w:overflowPunct/>
              <w:topLinePunct w:val="0"/>
              <w:autoSpaceDE/>
              <w:autoSpaceDN/>
              <w:bidi w:val="0"/>
              <w:adjustRightInd/>
              <w:snapToGrid/>
              <w:spacing w:before="0" w:after="0" w:line="400" w:lineRule="exact"/>
              <w:textAlignment w:val="auto"/>
              <w:rPr>
                <w:rFonts w:hint="default" w:ascii="Times New Roman" w:hAnsi="Times New Roman" w:eastAsia="宋体" w:cs="Times New Roman"/>
                <w:b w:val="0"/>
                <w:bCs w:val="0"/>
                <w:color w:val="auto"/>
                <w:sz w:val="24"/>
                <w:szCs w:val="24"/>
                <w:u w:val="single"/>
                <w:lang w:val="en-US" w:eastAsia="zh-CN"/>
              </w:rPr>
            </w:pPr>
            <w:r>
              <w:rPr>
                <w:rFonts w:hint="default" w:ascii="Times New Roman" w:hAnsi="Times New Roman" w:eastAsia="宋体" w:cs="Times New Roman"/>
                <w:b w:val="0"/>
                <w:bCs w:val="0"/>
                <w:color w:val="auto"/>
                <w:sz w:val="24"/>
                <w:szCs w:val="24"/>
                <w:u w:val="single"/>
                <w:lang w:val="en-US" w:eastAsia="zh-CN"/>
              </w:rPr>
              <w:t>《湖南省大气污染防治 “守护蓝天” 攻坚行动计划（2023 - 2025 年）》强调对挥发性有机物（VOCs）排放的严格管控。针对生产过程中产生VOCs的工艺，本项目设计安装了废气收集装置和两级活性炭处理装置。</w:t>
            </w:r>
            <w:r>
              <w:rPr>
                <w:rFonts w:hint="default" w:ascii="Times New Roman" w:hAnsi="Times New Roman" w:eastAsia="宋体" w:cs="Times New Roman"/>
                <w:b w:val="0"/>
                <w:bCs w:val="0"/>
                <w:color w:val="auto"/>
                <w:sz w:val="24"/>
                <w:szCs w:val="24"/>
                <w:highlight w:val="none"/>
                <w:u w:val="single"/>
                <w:lang w:val="en-US" w:eastAsia="zh-CN"/>
              </w:rPr>
              <w:t>执行《大气污染物综合排放标准》（GB16297-1996）标准</w:t>
            </w:r>
            <w:r>
              <w:rPr>
                <w:rFonts w:hint="default" w:ascii="Times New Roman" w:hAnsi="Times New Roman" w:eastAsia="宋体" w:cs="Times New Roman"/>
                <w:b w:val="0"/>
                <w:bCs w:val="0"/>
                <w:color w:val="auto"/>
                <w:sz w:val="24"/>
                <w:szCs w:val="24"/>
                <w:u w:val="single"/>
                <w:lang w:val="en-US" w:eastAsia="zh-CN"/>
              </w:rPr>
              <w:t>。</w:t>
            </w:r>
          </w:p>
          <w:p w14:paraId="36FDFD3C">
            <w:pPr>
              <w:pStyle w:val="2"/>
              <w:keepNext w:val="0"/>
              <w:keepLines w:val="0"/>
              <w:pageBreakBefore w:val="0"/>
              <w:widowControl w:val="0"/>
              <w:kinsoku/>
              <w:wordWrap/>
              <w:overflowPunct/>
              <w:topLinePunct w:val="0"/>
              <w:autoSpaceDE/>
              <w:autoSpaceDN/>
              <w:bidi w:val="0"/>
              <w:adjustRightInd/>
              <w:snapToGrid/>
              <w:spacing w:before="0" w:after="0" w:line="400" w:lineRule="exact"/>
              <w:textAlignment w:val="auto"/>
              <w:rPr>
                <w:rFonts w:hint="default" w:ascii="Times New Roman" w:hAnsi="Times New Roman" w:eastAsia="宋体" w:cs="Times New Roman"/>
                <w:b w:val="0"/>
                <w:bCs w:val="0"/>
                <w:color w:val="auto"/>
                <w:sz w:val="24"/>
                <w:szCs w:val="24"/>
                <w:u w:val="single"/>
                <w:lang w:val="en-US" w:eastAsia="zh-CN"/>
              </w:rPr>
            </w:pPr>
            <w:r>
              <w:rPr>
                <w:rFonts w:hint="default" w:ascii="Times New Roman" w:hAnsi="Times New Roman" w:eastAsia="宋体" w:cs="Times New Roman"/>
                <w:b w:val="0"/>
                <w:bCs w:val="0"/>
                <w:color w:val="auto"/>
                <w:sz w:val="24"/>
                <w:szCs w:val="24"/>
                <w:u w:val="single"/>
                <w:lang w:val="en-US" w:eastAsia="zh-CN"/>
              </w:rPr>
              <w:t>行动计划要求要加大低VOCs原辅材料替代力度。本项目使用的涂装、印刷和胶粘剂等材料均采用低VOCs产品，符合VOCs含量限值标准要求。</w:t>
            </w:r>
          </w:p>
          <w:p w14:paraId="7C795240">
            <w:pPr>
              <w:pStyle w:val="2"/>
              <w:keepNext w:val="0"/>
              <w:keepLines w:val="0"/>
              <w:pageBreakBefore w:val="0"/>
              <w:widowControl w:val="0"/>
              <w:kinsoku/>
              <w:wordWrap/>
              <w:overflowPunct/>
              <w:topLinePunct w:val="0"/>
              <w:autoSpaceDE/>
              <w:autoSpaceDN/>
              <w:bidi w:val="0"/>
              <w:adjustRightInd/>
              <w:snapToGrid/>
              <w:spacing w:before="0" w:after="0" w:line="40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b w:val="0"/>
                <w:bCs w:val="0"/>
                <w:color w:val="auto"/>
                <w:sz w:val="24"/>
                <w:szCs w:val="24"/>
                <w:u w:val="single"/>
                <w:lang w:val="en-US" w:eastAsia="zh-CN"/>
              </w:rPr>
              <w:t>综上所述，本项目的建设符合《湖南省大气污染防治“守护蓝天”攻坚行动计划（2023-2025年）》要求。</w:t>
            </w:r>
          </w:p>
        </w:tc>
      </w:tr>
    </w:tbl>
    <w:p w14:paraId="50A09E19">
      <w:pPr>
        <w:spacing w:line="360" w:lineRule="auto"/>
        <w:outlineLvl w:val="9"/>
        <w:rPr>
          <w:rFonts w:hint="default" w:ascii="Times New Roman" w:hAnsi="Times New Roman" w:eastAsia="宋体" w:cs="Times New Roman"/>
          <w:color w:val="auto"/>
          <w:sz w:val="30"/>
        </w:rPr>
        <w:sectPr>
          <w:footerReference r:id="rId7" w:type="default"/>
          <w:pgSz w:w="11906" w:h="16838"/>
          <w:pgMar w:top="1701" w:right="1531" w:bottom="1701" w:left="1531" w:header="851" w:footer="1077" w:gutter="0"/>
          <w:pgNumType w:fmt="decimal" w:start="1"/>
          <w:cols w:space="720" w:num="1"/>
          <w:docGrid w:linePitch="312" w:charSpace="0"/>
        </w:sectPr>
      </w:pPr>
    </w:p>
    <w:p w14:paraId="513CE63E">
      <w:pPr>
        <w:pStyle w:val="15"/>
        <w:jc w:val="center"/>
        <w:outlineLvl w:val="0"/>
        <w:rPr>
          <w:rFonts w:hint="default" w:ascii="Times New Roman" w:hAnsi="Times New Roman" w:eastAsia="宋体" w:cs="Times New Roman"/>
          <w:snapToGrid w:val="0"/>
          <w:color w:val="auto"/>
          <w:sz w:val="30"/>
          <w:szCs w:val="30"/>
        </w:rPr>
      </w:pPr>
      <w:bookmarkStart w:id="4" w:name="_Toc6952"/>
      <w:r>
        <w:rPr>
          <w:rFonts w:hint="default" w:ascii="Times New Roman" w:hAnsi="Times New Roman" w:eastAsia="宋体" w:cs="Times New Roman"/>
          <w:snapToGrid w:val="0"/>
          <w:color w:val="auto"/>
          <w:sz w:val="30"/>
          <w:szCs w:val="30"/>
        </w:rPr>
        <w:t>二、建设项目工程分析</w:t>
      </w:r>
      <w:bookmarkEnd w:id="4"/>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14:paraId="399035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3" w:hRule="atLeast"/>
          <w:jc w:val="center"/>
        </w:trPr>
        <w:tc>
          <w:tcPr>
            <w:tcW w:w="823" w:type="dxa"/>
            <w:vAlign w:val="center"/>
          </w:tcPr>
          <w:p w14:paraId="60C7BEEA">
            <w:pPr>
              <w:pStyle w:val="15"/>
              <w:adjustRightInd w:val="0"/>
              <w:snapToGrid w:val="0"/>
              <w:spacing w:before="0" w:beforeAutospacing="0" w:after="0" w:afterAutospacing="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4"/>
                <w:szCs w:val="24"/>
              </w:rPr>
              <w:t>建设内容</w:t>
            </w:r>
          </w:p>
        </w:tc>
        <w:tc>
          <w:tcPr>
            <w:tcW w:w="8161" w:type="dxa"/>
          </w:tcPr>
          <w:p w14:paraId="18A68DA9">
            <w:pPr>
              <w:pStyle w:val="2"/>
              <w:keepNext w:val="0"/>
              <w:keepLines w:val="0"/>
              <w:pageBreakBefore w:val="0"/>
              <w:widowControl w:val="0"/>
              <w:numPr>
                <w:ilvl w:val="0"/>
                <w:numId w:val="4"/>
              </w:numPr>
              <w:kinsoku/>
              <w:wordWrap/>
              <w:overflowPunct/>
              <w:topLinePunct w:val="0"/>
              <w:autoSpaceDE/>
              <w:autoSpaceDN/>
              <w:bidi w:val="0"/>
              <w:adjustRightInd/>
              <w:snapToGrid/>
              <w:ind w:left="0" w:firstLine="482" w:firstLineChars="200"/>
              <w:textAlignment w:val="auto"/>
              <w:rPr>
                <w:rFonts w:hint="default" w:ascii="Times New Roman" w:hAnsi="Times New Roman" w:eastAsia="宋体" w:cs="Times New Roman"/>
                <w:color w:val="auto"/>
                <w:sz w:val="24"/>
                <w:szCs w:val="36"/>
              </w:rPr>
            </w:pPr>
            <w:r>
              <w:rPr>
                <w:rFonts w:hint="default" w:ascii="Times New Roman" w:hAnsi="Times New Roman" w:eastAsia="宋体" w:cs="Times New Roman"/>
                <w:color w:val="auto"/>
                <w:sz w:val="24"/>
                <w:szCs w:val="36"/>
                <w:lang w:val="en-US" w:eastAsia="zh-CN"/>
              </w:rPr>
              <w:t>项目背景</w:t>
            </w:r>
          </w:p>
          <w:p w14:paraId="7D4682B3">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随着全球智能化、绿色化进程加速，消费电子、通信设备、新能源及工业控制等领域对高效、稳定的电源管理需求持续增长。电源线路板作为电力转换与分配的核心载体，其技术迭代与市场规模同步扩张。据行业研究，2023年全球PCB（印制电路板）市场规模已超800亿美元，其中电源类产品占比超20%，且受益于5G基站、数据中心、新能源汽车及光伏储能等新兴领域需求驱动，未来五年复合增长率预计达6.5%以上。</w:t>
            </w:r>
          </w:p>
          <w:p w14:paraId="1C71638C">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在此背景下，衡阳</w:t>
            </w:r>
            <w:r>
              <w:rPr>
                <w:rFonts w:hint="default" w:ascii="Times New Roman" w:hAnsi="Times New Roman" w:eastAsia="宋体" w:cs="Times New Roman"/>
                <w:color w:val="auto"/>
                <w:sz w:val="24"/>
                <w:szCs w:val="32"/>
                <w:highlight w:val="none"/>
                <w:lang w:val="en-US" w:eastAsia="zh-CN"/>
              </w:rPr>
              <w:t>铂科电子</w:t>
            </w:r>
            <w:r>
              <w:rPr>
                <w:rFonts w:hint="default" w:ascii="Times New Roman" w:hAnsi="Times New Roman" w:eastAsia="宋体" w:cs="Times New Roman"/>
                <w:color w:val="auto"/>
                <w:sz w:val="24"/>
                <w:szCs w:val="32"/>
                <w:highlight w:val="none"/>
              </w:rPr>
              <w:t>有限公司租赁</w:t>
            </w:r>
            <w:r>
              <w:rPr>
                <w:rFonts w:hint="default" w:ascii="Times New Roman" w:hAnsi="Times New Roman" w:eastAsia="宋体" w:cs="Times New Roman"/>
                <w:color w:val="auto"/>
                <w:sz w:val="24"/>
                <w:szCs w:val="32"/>
                <w:highlight w:val="none"/>
                <w:lang w:val="en-US" w:eastAsia="zh-CN"/>
              </w:rPr>
              <w:t>衡山科学城半导体产业园一期1#、</w:t>
            </w:r>
            <w:r>
              <w:rPr>
                <w:rFonts w:hint="default" w:ascii="Times New Roman" w:hAnsi="Times New Roman" w:eastAsia="宋体" w:cs="Times New Roman"/>
                <w:color w:val="auto"/>
                <w:sz w:val="24"/>
                <w:szCs w:val="32"/>
                <w:highlight w:val="none"/>
              </w:rPr>
              <w:t>6</w:t>
            </w:r>
            <w:r>
              <w:rPr>
                <w:rFonts w:hint="default" w:ascii="Times New Roman" w:hAnsi="Times New Roman" w:eastAsia="宋体" w:cs="Times New Roman"/>
                <w:color w:val="auto"/>
                <w:sz w:val="24"/>
                <w:szCs w:val="32"/>
                <w:highlight w:val="none"/>
                <w:lang w:val="en-US" w:eastAsia="zh-CN"/>
              </w:rPr>
              <w:t>#</w:t>
            </w:r>
            <w:r>
              <w:rPr>
                <w:rFonts w:hint="default" w:ascii="Times New Roman" w:hAnsi="Times New Roman" w:eastAsia="宋体" w:cs="Times New Roman"/>
                <w:color w:val="auto"/>
                <w:sz w:val="24"/>
                <w:szCs w:val="32"/>
                <w:highlight w:val="none"/>
              </w:rPr>
              <w:t>栋</w:t>
            </w:r>
            <w:r>
              <w:rPr>
                <w:rFonts w:hint="default" w:ascii="Times New Roman" w:hAnsi="Times New Roman" w:eastAsia="宋体" w:cs="Times New Roman"/>
                <w:color w:val="auto"/>
                <w:sz w:val="24"/>
                <w:szCs w:val="32"/>
                <w:highlight w:val="none"/>
                <w:lang w:val="en-US" w:eastAsia="zh-CN"/>
              </w:rPr>
              <w:t>两栋</w:t>
            </w:r>
            <w:r>
              <w:rPr>
                <w:rFonts w:hint="default" w:ascii="Times New Roman" w:hAnsi="Times New Roman" w:eastAsia="宋体" w:cs="Times New Roman"/>
                <w:color w:val="auto"/>
                <w:sz w:val="24"/>
                <w:szCs w:val="32"/>
                <w:highlight w:val="none"/>
              </w:rPr>
              <w:t>标准厂房进行建设，生产厂房总建筑面积</w:t>
            </w:r>
            <w:r>
              <w:rPr>
                <w:rFonts w:hint="default" w:ascii="Times New Roman" w:hAnsi="Times New Roman" w:eastAsia="宋体" w:cs="Times New Roman"/>
                <w:color w:val="auto"/>
                <w:sz w:val="24"/>
                <w:szCs w:val="32"/>
                <w:highlight w:val="none"/>
                <w:lang w:val="en-US" w:eastAsia="zh-CN"/>
              </w:rPr>
              <w:t>19458.95</w:t>
            </w:r>
            <w:r>
              <w:rPr>
                <w:rFonts w:hint="default" w:ascii="Times New Roman" w:hAnsi="Times New Roman" w:eastAsia="宋体" w:cs="Times New Roman"/>
                <w:color w:val="auto"/>
                <w:sz w:val="24"/>
                <w:szCs w:val="32"/>
                <w:highlight w:val="none"/>
              </w:rPr>
              <w:t>m</w:t>
            </w:r>
            <w:r>
              <w:rPr>
                <w:rFonts w:hint="default" w:ascii="Times New Roman" w:hAnsi="Times New Roman" w:eastAsia="宋体" w:cs="Times New Roman"/>
                <w:color w:val="auto"/>
                <w:sz w:val="24"/>
                <w:szCs w:val="32"/>
                <w:highlight w:val="none"/>
                <w:vertAlign w:val="superscript"/>
              </w:rPr>
              <w:t>2</w:t>
            </w:r>
            <w:r>
              <w:rPr>
                <w:rFonts w:hint="default" w:ascii="Times New Roman" w:hAnsi="Times New Roman" w:eastAsia="宋体" w:cs="Times New Roman"/>
                <w:color w:val="auto"/>
                <w:sz w:val="24"/>
                <w:szCs w:val="32"/>
              </w:rPr>
              <w:t>。项目主要建设8条SMT贴片生产线，7条DIP成品生产线，2条DIP小板线，2条NPI生产线（即DIP样品试制线）及</w:t>
            </w:r>
            <w:r>
              <w:rPr>
                <w:rFonts w:hint="default" w:ascii="Times New Roman" w:hAnsi="Times New Roman" w:eastAsia="宋体" w:cs="Times New Roman"/>
                <w:color w:val="auto"/>
                <w:sz w:val="24"/>
                <w:szCs w:val="32"/>
                <w:lang w:val="en-US" w:eastAsia="zh-CN"/>
              </w:rPr>
              <w:t>配套的公用辅助</w:t>
            </w:r>
            <w:r>
              <w:rPr>
                <w:rFonts w:hint="default" w:ascii="Times New Roman" w:hAnsi="Times New Roman" w:eastAsia="宋体" w:cs="Times New Roman"/>
                <w:color w:val="auto"/>
                <w:sz w:val="24"/>
                <w:szCs w:val="32"/>
              </w:rPr>
              <w:t>工程，年产</w:t>
            </w:r>
            <w:r>
              <w:rPr>
                <w:rFonts w:hint="default" w:ascii="Times New Roman" w:hAnsi="Times New Roman" w:eastAsia="宋体" w:cs="Times New Roman"/>
                <w:color w:val="auto"/>
                <w:sz w:val="24"/>
                <w:szCs w:val="32"/>
                <w:lang w:val="en-US" w:eastAsia="zh-CN"/>
              </w:rPr>
              <w:t>各类电源产品</w:t>
            </w:r>
            <w:r>
              <w:rPr>
                <w:rFonts w:hint="default" w:ascii="Times New Roman" w:hAnsi="Times New Roman" w:eastAsia="宋体" w:cs="Times New Roman"/>
                <w:color w:val="auto"/>
                <w:sz w:val="24"/>
                <w:szCs w:val="32"/>
                <w:lang w:eastAsia="zh-CN"/>
              </w:rPr>
              <w:t>（</w:t>
            </w:r>
            <w:r>
              <w:rPr>
                <w:rFonts w:hint="default" w:ascii="Times New Roman" w:hAnsi="Times New Roman" w:eastAsia="宋体" w:cs="Times New Roman"/>
                <w:color w:val="auto"/>
                <w:sz w:val="24"/>
                <w:szCs w:val="24"/>
                <w:lang w:eastAsia="zh-CN"/>
              </w:rPr>
              <w:t>算力电源、</w:t>
            </w:r>
            <w:r>
              <w:rPr>
                <w:rFonts w:hint="default" w:ascii="Times New Roman" w:hAnsi="Times New Roman" w:eastAsia="宋体" w:cs="Times New Roman"/>
                <w:color w:val="auto"/>
                <w:sz w:val="24"/>
                <w:szCs w:val="24"/>
              </w:rPr>
              <w:t>小型储能电源</w:t>
            </w:r>
            <w:r>
              <w:rPr>
                <w:rFonts w:hint="default" w:ascii="Times New Roman" w:hAnsi="Times New Roman" w:eastAsia="宋体" w:cs="Times New Roman"/>
                <w:color w:val="auto"/>
                <w:sz w:val="24"/>
                <w:szCs w:val="24"/>
                <w:lang w:eastAsia="zh-CN"/>
              </w:rPr>
              <w:t>、AI服务器电源、光储充电源</w:t>
            </w:r>
            <w:r>
              <w:rPr>
                <w:rFonts w:hint="default" w:ascii="Times New Roman" w:hAnsi="Times New Roman" w:eastAsia="宋体" w:cs="Times New Roman"/>
                <w:color w:val="auto"/>
                <w:sz w:val="24"/>
                <w:szCs w:val="32"/>
                <w:lang w:eastAsia="zh-CN"/>
              </w:rPr>
              <w:t>）</w:t>
            </w:r>
            <w:r>
              <w:rPr>
                <w:rFonts w:hint="default" w:ascii="Times New Roman" w:hAnsi="Times New Roman" w:eastAsia="宋体" w:cs="Times New Roman"/>
                <w:color w:val="auto"/>
                <w:sz w:val="24"/>
                <w:szCs w:val="32"/>
                <w:highlight w:val="none"/>
                <w:lang w:val="en-US" w:eastAsia="zh-CN"/>
              </w:rPr>
              <w:t>36</w:t>
            </w:r>
            <w:r>
              <w:rPr>
                <w:rFonts w:hint="default" w:ascii="Times New Roman" w:hAnsi="Times New Roman" w:eastAsia="宋体" w:cs="Times New Roman"/>
                <w:color w:val="auto"/>
                <w:sz w:val="24"/>
                <w:szCs w:val="32"/>
              </w:rPr>
              <w:t>万套。</w:t>
            </w:r>
          </w:p>
          <w:p w14:paraId="0AF266A2">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根据《中华人民共和国环境保护法》、《建设项目分类管理名录》的规定，本项目属于“</w:t>
            </w:r>
            <w:r>
              <w:rPr>
                <w:rFonts w:hint="default" w:ascii="Times New Roman" w:hAnsi="Times New Roman" w:eastAsia="宋体" w:cs="Times New Roman"/>
                <w:color w:val="auto"/>
                <w:sz w:val="24"/>
                <w:szCs w:val="32"/>
                <w:highlight w:val="none"/>
              </w:rPr>
              <w:t>三十五、电气机械和器材制造业 38—77.其他电气机械及器材制造 389</w:t>
            </w:r>
            <w:r>
              <w:rPr>
                <w:rFonts w:hint="default" w:ascii="Times New Roman" w:hAnsi="Times New Roman" w:eastAsia="宋体" w:cs="Times New Roman"/>
                <w:color w:val="auto"/>
                <w:sz w:val="24"/>
                <w:szCs w:val="32"/>
                <w:highlight w:val="none"/>
                <w:lang w:val="en-US" w:eastAsia="zh-CN"/>
              </w:rPr>
              <w:t>-其他</w:t>
            </w:r>
            <w:r>
              <w:rPr>
                <w:rFonts w:hint="default" w:ascii="Times New Roman" w:hAnsi="Times New Roman" w:eastAsia="宋体" w:cs="Times New Roman"/>
                <w:color w:val="auto"/>
                <w:sz w:val="24"/>
                <w:szCs w:val="32"/>
              </w:rPr>
              <w:t>”，本项目应编制环境影响报告表。因此，受建设单位委托，我公司承担该项目的环境影响评价工作。经过现场踏勘和资料收集，按照环评技术规范的相关要求，编制该项目的环境影响报告表，供建设单位报请环境保护行政主管部门审查。</w:t>
            </w:r>
          </w:p>
          <w:p w14:paraId="30199D15">
            <w:pPr>
              <w:pStyle w:val="2"/>
              <w:keepNext w:val="0"/>
              <w:keepLines w:val="0"/>
              <w:pageBreakBefore w:val="0"/>
              <w:widowControl w:val="0"/>
              <w:numPr>
                <w:ilvl w:val="0"/>
                <w:numId w:val="4"/>
              </w:numPr>
              <w:kinsoku/>
              <w:wordWrap/>
              <w:overflowPunct/>
              <w:topLinePunct w:val="0"/>
              <w:autoSpaceDE/>
              <w:autoSpaceDN/>
              <w:bidi w:val="0"/>
              <w:adjustRightInd/>
              <w:snapToGrid/>
              <w:ind w:left="0" w:firstLine="482" w:firstLineChars="200"/>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工程组成</w:t>
            </w:r>
          </w:p>
          <w:p w14:paraId="554871F0">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本项目租赁衡阳市高新区衡山科学城片区半导体产业园一期1#、6#栋两栋约19458.95m</w:t>
            </w:r>
            <w:r>
              <w:rPr>
                <w:rFonts w:hint="default" w:ascii="Times New Roman" w:hAnsi="Times New Roman" w:eastAsia="宋体" w:cs="Times New Roman"/>
                <w:color w:val="auto"/>
                <w:sz w:val="24"/>
                <w:szCs w:val="32"/>
                <w:vertAlign w:val="superscript"/>
                <w:lang w:val="en-US" w:eastAsia="zh-CN"/>
              </w:rPr>
              <w:t>2</w:t>
            </w:r>
            <w:r>
              <w:rPr>
                <w:rFonts w:hint="default" w:ascii="Times New Roman" w:hAnsi="Times New Roman" w:eastAsia="宋体" w:cs="Times New Roman"/>
                <w:color w:val="auto"/>
                <w:sz w:val="24"/>
                <w:szCs w:val="32"/>
                <w:lang w:val="en-US" w:eastAsia="zh-CN"/>
              </w:rPr>
              <w:t>高标准洁净厂房进行建设，其中1#共4层作为生产厂房，总建筑面积15458.95m</w:t>
            </w:r>
            <w:r>
              <w:rPr>
                <w:rFonts w:hint="default" w:ascii="Times New Roman" w:hAnsi="Times New Roman" w:eastAsia="宋体" w:cs="Times New Roman"/>
                <w:color w:val="auto"/>
                <w:sz w:val="24"/>
                <w:szCs w:val="32"/>
                <w:vertAlign w:val="superscript"/>
                <w:lang w:val="en-US" w:eastAsia="zh-CN"/>
              </w:rPr>
              <w:t>2</w:t>
            </w:r>
            <w:r>
              <w:rPr>
                <w:rFonts w:hint="default" w:ascii="Times New Roman" w:hAnsi="Times New Roman" w:eastAsia="宋体" w:cs="Times New Roman"/>
                <w:color w:val="auto"/>
                <w:sz w:val="24"/>
                <w:szCs w:val="32"/>
                <w:lang w:val="en-US" w:eastAsia="zh-CN"/>
              </w:rPr>
              <w:t>，6#为办公区、实验室和食堂，总建筑面积4000m</w:t>
            </w:r>
            <w:r>
              <w:rPr>
                <w:rFonts w:hint="default" w:ascii="Times New Roman" w:hAnsi="Times New Roman" w:eastAsia="宋体" w:cs="Times New Roman"/>
                <w:color w:val="auto"/>
                <w:sz w:val="24"/>
                <w:szCs w:val="32"/>
                <w:vertAlign w:val="superscript"/>
                <w:lang w:val="en-US" w:eastAsia="zh-CN"/>
              </w:rPr>
              <w:t>2</w:t>
            </w:r>
            <w:r>
              <w:rPr>
                <w:rFonts w:hint="default" w:ascii="Times New Roman" w:hAnsi="Times New Roman" w:eastAsia="宋体" w:cs="Times New Roman"/>
                <w:color w:val="auto"/>
                <w:sz w:val="24"/>
                <w:szCs w:val="32"/>
                <w:lang w:val="en-US" w:eastAsia="zh-CN"/>
              </w:rPr>
              <w:t>。本项目工程组成内容见表2-1。</w:t>
            </w:r>
          </w:p>
          <w:p w14:paraId="0C1F465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表2-1 项目工程内容组成</w:t>
            </w:r>
          </w:p>
          <w:tbl>
            <w:tblPr>
              <w:tblStyle w:val="18"/>
              <w:tblW w:w="79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3"/>
              <w:gridCol w:w="1059"/>
              <w:gridCol w:w="5633"/>
            </w:tblGrid>
            <w:tr w14:paraId="3820E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12" w:type="dxa"/>
                  <w:gridSpan w:val="2"/>
                  <w:vAlign w:val="center"/>
                </w:tcPr>
                <w:p w14:paraId="1099350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u w:val="single"/>
                      <w:vertAlign w:val="baseline"/>
                      <w:lang w:val="en-US" w:eastAsia="zh-CN"/>
                    </w:rPr>
                  </w:pPr>
                  <w:r>
                    <w:rPr>
                      <w:rFonts w:hint="default" w:ascii="Times New Roman" w:hAnsi="Times New Roman" w:eastAsia="宋体" w:cs="Times New Roman"/>
                      <w:b/>
                      <w:bCs/>
                      <w:color w:val="auto"/>
                      <w:u w:val="single"/>
                      <w:vertAlign w:val="baseline"/>
                      <w:lang w:val="en-US" w:eastAsia="zh-CN"/>
                    </w:rPr>
                    <w:t>项目组成</w:t>
                  </w:r>
                </w:p>
              </w:tc>
              <w:tc>
                <w:tcPr>
                  <w:tcW w:w="5633" w:type="dxa"/>
                  <w:vAlign w:val="center"/>
                </w:tcPr>
                <w:p w14:paraId="42AF42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u w:val="single"/>
                      <w:vertAlign w:val="baseline"/>
                      <w:lang w:val="en-US" w:eastAsia="zh-CN"/>
                    </w:rPr>
                  </w:pPr>
                  <w:r>
                    <w:rPr>
                      <w:rFonts w:hint="default" w:ascii="Times New Roman" w:hAnsi="Times New Roman" w:eastAsia="宋体" w:cs="Times New Roman"/>
                      <w:b/>
                      <w:bCs/>
                      <w:color w:val="auto"/>
                      <w:u w:val="single"/>
                      <w:vertAlign w:val="baseline"/>
                      <w:lang w:val="en-US" w:eastAsia="zh-CN"/>
                    </w:rPr>
                    <w:t>建设内容</w:t>
                  </w:r>
                </w:p>
              </w:tc>
            </w:tr>
            <w:tr w14:paraId="64AE6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9" w:hRule="atLeast"/>
                <w:jc w:val="center"/>
              </w:trPr>
              <w:tc>
                <w:tcPr>
                  <w:tcW w:w="1253" w:type="dxa"/>
                  <w:vMerge w:val="restart"/>
                  <w:vAlign w:val="center"/>
                </w:tcPr>
                <w:p w14:paraId="7438FA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主体工程</w:t>
                  </w:r>
                </w:p>
              </w:tc>
              <w:tc>
                <w:tcPr>
                  <w:tcW w:w="1059" w:type="dxa"/>
                  <w:vAlign w:val="center"/>
                </w:tcPr>
                <w:p w14:paraId="3F2D993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1#2楼</w:t>
                  </w:r>
                </w:p>
              </w:tc>
              <w:tc>
                <w:tcPr>
                  <w:tcW w:w="5633" w:type="dxa"/>
                  <w:vAlign w:val="center"/>
                </w:tcPr>
                <w:p w14:paraId="4D460DE2">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预加工间：尺寸：4.15*8.4m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，以防火挡板分隔</w:t>
                  </w:r>
                </w:p>
                <w:p w14:paraId="6D3DDB63">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小板线间：79.95*8.4m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，安装2条DIP小板生产线</w:t>
                  </w:r>
                </w:p>
                <w:p w14:paraId="001D29AD">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SMT车间：71.55*23.8m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，安装8条SMT生产线</w:t>
                  </w:r>
                </w:p>
                <w:p w14:paraId="6F20E6AD">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rPr>
                  </w:pPr>
                  <w:r>
                    <w:rPr>
                      <w:rFonts w:hint="default" w:ascii="Times New Roman" w:hAnsi="Times New Roman" w:eastAsia="宋体" w:cs="Times New Roman"/>
                      <w:color w:val="auto"/>
                      <w:u w:val="single"/>
                      <w:vertAlign w:val="baseline"/>
                      <w:lang w:val="en-US" w:eastAsia="zh-CN"/>
                    </w:rPr>
                    <w:t>镭雕/烧录间：12*8.4m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，以防火挡板分隔，主要是对产品的型号、序列号、生产日期等进行标记</w:t>
                  </w:r>
                </w:p>
              </w:tc>
            </w:tr>
            <w:tr w14:paraId="48245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4" w:hRule="atLeast"/>
                <w:jc w:val="center"/>
              </w:trPr>
              <w:tc>
                <w:tcPr>
                  <w:tcW w:w="1253" w:type="dxa"/>
                  <w:vMerge w:val="continue"/>
                  <w:vAlign w:val="center"/>
                </w:tcPr>
                <w:p w14:paraId="3A2552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p>
              </w:tc>
              <w:tc>
                <w:tcPr>
                  <w:tcW w:w="1059" w:type="dxa"/>
                  <w:vAlign w:val="center"/>
                </w:tcPr>
                <w:p w14:paraId="1BA303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1#3楼</w:t>
                  </w:r>
                </w:p>
              </w:tc>
              <w:tc>
                <w:tcPr>
                  <w:tcW w:w="5633" w:type="dxa"/>
                  <w:vAlign w:val="center"/>
                </w:tcPr>
                <w:p w14:paraId="0C4D91C6">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DIP车间：尺寸：96.7*23.8m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，安装4条DIP成品生产线</w:t>
                  </w:r>
                </w:p>
                <w:p w14:paraId="383F0BB7">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NPI车间：尺寸：96.7*11.8m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，安装2条产品试制生产线</w:t>
                  </w:r>
                </w:p>
                <w:p w14:paraId="1E63A7DF">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治具区：尺寸：31.45*7.8m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，以防火挡板分隔</w:t>
                  </w:r>
                </w:p>
                <w:p w14:paraId="177074B2">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rPr>
                  </w:pPr>
                  <w:r>
                    <w:rPr>
                      <w:rFonts w:hint="default" w:ascii="Times New Roman" w:hAnsi="Times New Roman" w:eastAsia="宋体" w:cs="Times New Roman"/>
                      <w:color w:val="auto"/>
                      <w:u w:val="single"/>
                      <w:vertAlign w:val="baseline"/>
                      <w:lang w:val="en-US" w:eastAsia="zh-CN"/>
                    </w:rPr>
                    <w:t>老化车间：尺寸：50.45*7.8m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，以防火挡板分隔</w:t>
                  </w:r>
                </w:p>
              </w:tc>
            </w:tr>
            <w:tr w14:paraId="68953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2" w:hRule="atLeast"/>
                <w:jc w:val="center"/>
              </w:trPr>
              <w:tc>
                <w:tcPr>
                  <w:tcW w:w="1253" w:type="dxa"/>
                  <w:vMerge w:val="continue"/>
                  <w:vAlign w:val="center"/>
                </w:tcPr>
                <w:p w14:paraId="647B6D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p>
              </w:tc>
              <w:tc>
                <w:tcPr>
                  <w:tcW w:w="1059" w:type="dxa"/>
                  <w:vAlign w:val="center"/>
                </w:tcPr>
                <w:p w14:paraId="57F3F2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1#4楼</w:t>
                  </w:r>
                </w:p>
              </w:tc>
              <w:tc>
                <w:tcPr>
                  <w:tcW w:w="5633" w:type="dxa"/>
                  <w:vAlign w:val="center"/>
                </w:tcPr>
                <w:p w14:paraId="64686A9E">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DIP车间：尺寸：96.7*12m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，安装3条DIP成品生产线</w:t>
                  </w:r>
                </w:p>
                <w:p w14:paraId="228ADB3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治具区：尺寸：8.7*8.2m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，以防火挡板分隔</w:t>
                  </w:r>
                </w:p>
                <w:p w14:paraId="009D4CF7">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老化车间：尺寸：27.75*7.8m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，以防火挡板分隔</w:t>
                  </w:r>
                </w:p>
                <w:p w14:paraId="0CC7D1B2">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rPr>
                  </w:pPr>
                  <w:r>
                    <w:rPr>
                      <w:rFonts w:hint="default" w:ascii="Times New Roman" w:hAnsi="Times New Roman" w:eastAsia="宋体" w:cs="Times New Roman"/>
                      <w:color w:val="auto"/>
                      <w:u w:val="single"/>
                      <w:vertAlign w:val="baseline"/>
                      <w:lang w:val="en-US" w:eastAsia="zh-CN"/>
                    </w:rPr>
                    <w:t>NPI老化车间：尺寸：18*8.2m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，以防火挡板分隔</w:t>
                  </w:r>
                </w:p>
              </w:tc>
            </w:tr>
            <w:tr w14:paraId="57EF9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1253" w:type="dxa"/>
                  <w:vMerge w:val="restart"/>
                  <w:vAlign w:val="center"/>
                </w:tcPr>
                <w:p w14:paraId="214988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储运工程</w:t>
                  </w:r>
                </w:p>
              </w:tc>
              <w:tc>
                <w:tcPr>
                  <w:tcW w:w="1059" w:type="dxa"/>
                  <w:vAlign w:val="center"/>
                </w:tcPr>
                <w:p w14:paraId="090217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rPr>
                  </w:pPr>
                  <w:r>
                    <w:rPr>
                      <w:rFonts w:hint="default" w:ascii="Times New Roman" w:hAnsi="Times New Roman" w:eastAsia="宋体" w:cs="Times New Roman"/>
                      <w:color w:val="auto"/>
                      <w:u w:val="single"/>
                      <w:vertAlign w:val="baseline"/>
                      <w:lang w:val="en-US" w:eastAsia="zh-CN"/>
                    </w:rPr>
                    <w:t>1#1楼</w:t>
                  </w:r>
                </w:p>
              </w:tc>
              <w:tc>
                <w:tcPr>
                  <w:tcW w:w="5633" w:type="dxa"/>
                  <w:vAlign w:val="center"/>
                </w:tcPr>
                <w:p w14:paraId="431B1094">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rPr>
                  </w:pPr>
                  <w:r>
                    <w:rPr>
                      <w:rFonts w:hint="default" w:ascii="Times New Roman" w:hAnsi="Times New Roman" w:eastAsia="宋体" w:cs="Times New Roman"/>
                      <w:color w:val="auto"/>
                      <w:u w:val="single"/>
                      <w:vertAlign w:val="baseline"/>
                      <w:lang w:val="en-US" w:eastAsia="zh-CN"/>
                    </w:rPr>
                    <w:t>物料仓库区：尺寸：79.95*31.6m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，以防火挡板分隔，主要存放元器件（SMD）、电路板（PCB）等生产原料</w:t>
                  </w:r>
                </w:p>
              </w:tc>
            </w:tr>
            <w:tr w14:paraId="5CAF0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1" w:hRule="atLeast"/>
                <w:jc w:val="center"/>
              </w:trPr>
              <w:tc>
                <w:tcPr>
                  <w:tcW w:w="1253" w:type="dxa"/>
                  <w:vMerge w:val="continue"/>
                  <w:vAlign w:val="center"/>
                </w:tcPr>
                <w:p w14:paraId="12A4FB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p>
              </w:tc>
              <w:tc>
                <w:tcPr>
                  <w:tcW w:w="1059" w:type="dxa"/>
                  <w:vAlign w:val="center"/>
                </w:tcPr>
                <w:p w14:paraId="2C0207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rPr>
                  </w:pPr>
                  <w:r>
                    <w:rPr>
                      <w:rFonts w:hint="default" w:ascii="Times New Roman" w:hAnsi="Times New Roman" w:eastAsia="宋体" w:cs="Times New Roman"/>
                      <w:color w:val="auto"/>
                      <w:u w:val="single"/>
                      <w:vertAlign w:val="baseline"/>
                      <w:lang w:val="en-US" w:eastAsia="zh-CN"/>
                    </w:rPr>
                    <w:t>1#2楼</w:t>
                  </w:r>
                </w:p>
              </w:tc>
              <w:tc>
                <w:tcPr>
                  <w:tcW w:w="5633" w:type="dxa"/>
                  <w:vAlign w:val="center"/>
                </w:tcPr>
                <w:p w14:paraId="716A8CB5">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成品仓库区：尺寸：54.15*8.2m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，以防火挡板分隔</w:t>
                  </w:r>
                </w:p>
                <w:p w14:paraId="1D385FCC">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危险废物暂存间：厂房外北侧，尺寸：6*3.5m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，以防火挡板分隔</w:t>
                  </w:r>
                </w:p>
                <w:p w14:paraId="29119293">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rPr>
                  </w:pPr>
                  <w:r>
                    <w:rPr>
                      <w:rFonts w:hint="default" w:ascii="Times New Roman" w:hAnsi="Times New Roman" w:eastAsia="宋体" w:cs="Times New Roman"/>
                      <w:color w:val="auto"/>
                      <w:u w:val="single"/>
                      <w:vertAlign w:val="baseline"/>
                      <w:lang w:val="en-US" w:eastAsia="zh-CN"/>
                    </w:rPr>
                    <w:t>危险化学品仓库（有机废气）：1#厂房外西南角12m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小房间，内设防爆柜</w:t>
                  </w:r>
                </w:p>
              </w:tc>
            </w:tr>
            <w:tr w14:paraId="54E24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1253" w:type="dxa"/>
                  <w:vMerge w:val="restart"/>
                  <w:vAlign w:val="center"/>
                </w:tcPr>
                <w:p w14:paraId="7408D7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辅助工程</w:t>
                  </w:r>
                </w:p>
              </w:tc>
              <w:tc>
                <w:tcPr>
                  <w:tcW w:w="1059" w:type="dxa"/>
                  <w:vAlign w:val="center"/>
                </w:tcPr>
                <w:p w14:paraId="211D29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u w:val="single"/>
                      <w:vertAlign w:val="baseline"/>
                      <w:lang w:val="en-US" w:eastAsia="zh-CN" w:bidi="ar-SA"/>
                    </w:rPr>
                  </w:pPr>
                  <w:r>
                    <w:rPr>
                      <w:rFonts w:hint="default" w:ascii="Times New Roman" w:hAnsi="Times New Roman" w:eastAsia="宋体" w:cs="Times New Roman"/>
                      <w:color w:val="auto"/>
                      <w:u w:val="single"/>
                      <w:vertAlign w:val="baseline"/>
                      <w:lang w:val="en-US" w:eastAsia="zh-CN"/>
                    </w:rPr>
                    <w:t>1#1楼</w:t>
                  </w:r>
                </w:p>
              </w:tc>
              <w:tc>
                <w:tcPr>
                  <w:tcW w:w="5633" w:type="dxa"/>
                  <w:vAlign w:val="center"/>
                </w:tcPr>
                <w:p w14:paraId="605C654E">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更衣室：尺寸：9*8.2m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，以防火挡板分隔</w:t>
                  </w:r>
                </w:p>
              </w:tc>
            </w:tr>
            <w:tr w14:paraId="432D7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3" w:hRule="atLeast"/>
                <w:jc w:val="center"/>
              </w:trPr>
              <w:tc>
                <w:tcPr>
                  <w:tcW w:w="1253" w:type="dxa"/>
                  <w:vMerge w:val="continue"/>
                  <w:vAlign w:val="center"/>
                </w:tcPr>
                <w:p w14:paraId="2B8396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p>
              </w:tc>
              <w:tc>
                <w:tcPr>
                  <w:tcW w:w="1059" w:type="dxa"/>
                  <w:vAlign w:val="center"/>
                </w:tcPr>
                <w:p w14:paraId="0EC3E0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u w:val="single"/>
                      <w:vertAlign w:val="baseline"/>
                      <w:lang w:val="en-US" w:eastAsia="zh-CN" w:bidi="ar-SA"/>
                    </w:rPr>
                  </w:pPr>
                  <w:r>
                    <w:rPr>
                      <w:rFonts w:hint="default" w:ascii="Times New Roman" w:hAnsi="Times New Roman" w:eastAsia="宋体" w:cs="Times New Roman"/>
                      <w:color w:val="auto"/>
                      <w:u w:val="single"/>
                      <w:vertAlign w:val="baseline"/>
                      <w:lang w:val="en-US" w:eastAsia="zh-CN"/>
                    </w:rPr>
                    <w:t>1#2楼</w:t>
                  </w:r>
                </w:p>
              </w:tc>
              <w:tc>
                <w:tcPr>
                  <w:tcW w:w="5633" w:type="dxa"/>
                  <w:vAlign w:val="center"/>
                </w:tcPr>
                <w:p w14:paraId="68CF5CC0">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清洗间：尺寸：5.8*8.4m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，以防火挡板分隔，主要是去除电路板表面残留的助焊剂、油污、灰尘等杂质</w:t>
                  </w:r>
                </w:p>
                <w:p w14:paraId="2A44303E">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维修间：尺寸：6*8.4m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，以防火挡板分隔</w:t>
                  </w:r>
                </w:p>
              </w:tc>
            </w:tr>
            <w:tr w14:paraId="424B3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1253" w:type="dxa"/>
                  <w:vMerge w:val="continue"/>
                  <w:vAlign w:val="center"/>
                </w:tcPr>
                <w:p w14:paraId="37D69F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p>
              </w:tc>
              <w:tc>
                <w:tcPr>
                  <w:tcW w:w="1059" w:type="dxa"/>
                  <w:vAlign w:val="center"/>
                </w:tcPr>
                <w:p w14:paraId="50800F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1#3楼</w:t>
                  </w:r>
                </w:p>
              </w:tc>
              <w:tc>
                <w:tcPr>
                  <w:tcW w:w="5633" w:type="dxa"/>
                  <w:vAlign w:val="center"/>
                </w:tcPr>
                <w:p w14:paraId="5C7EB3EC">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维修间：尺寸：14.8*7.8m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，以防火挡板分隔</w:t>
                  </w:r>
                </w:p>
              </w:tc>
            </w:tr>
            <w:tr w14:paraId="0C199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1253" w:type="dxa"/>
                  <w:vMerge w:val="continue"/>
                  <w:vAlign w:val="center"/>
                </w:tcPr>
                <w:p w14:paraId="348FEC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p>
              </w:tc>
              <w:tc>
                <w:tcPr>
                  <w:tcW w:w="1059" w:type="dxa"/>
                  <w:vAlign w:val="center"/>
                </w:tcPr>
                <w:p w14:paraId="62DB29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1#4楼</w:t>
                  </w:r>
                </w:p>
              </w:tc>
              <w:tc>
                <w:tcPr>
                  <w:tcW w:w="5633" w:type="dxa"/>
                  <w:vAlign w:val="center"/>
                </w:tcPr>
                <w:p w14:paraId="5AE6BB69">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维修间：尺寸：7.8*8.4m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，以防火挡板分隔</w:t>
                  </w:r>
                </w:p>
              </w:tc>
            </w:tr>
            <w:tr w14:paraId="77D08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1253" w:type="dxa"/>
                  <w:vMerge w:val="continue"/>
                  <w:vAlign w:val="center"/>
                </w:tcPr>
                <w:p w14:paraId="357C0B0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p>
              </w:tc>
              <w:tc>
                <w:tcPr>
                  <w:tcW w:w="1059" w:type="dxa"/>
                  <w:vAlign w:val="center"/>
                </w:tcPr>
                <w:p w14:paraId="7610A3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6#1楼、4楼</w:t>
                  </w:r>
                </w:p>
              </w:tc>
              <w:tc>
                <w:tcPr>
                  <w:tcW w:w="5633" w:type="dxa"/>
                  <w:vAlign w:val="center"/>
                </w:tcPr>
                <w:p w14:paraId="673125AE">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rPr>
                  </w:pPr>
                  <w:r>
                    <w:rPr>
                      <w:rFonts w:hint="default" w:ascii="Times New Roman" w:hAnsi="Times New Roman" w:eastAsia="宋体" w:cs="Times New Roman"/>
                      <w:color w:val="auto"/>
                      <w:u w:val="single"/>
                      <w:vertAlign w:val="baseline"/>
                      <w:lang w:val="en-US" w:eastAsia="zh-CN"/>
                    </w:rPr>
                    <w:t>实验室：共2000m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，产品设计研发和测试</w:t>
                  </w:r>
                </w:p>
              </w:tc>
            </w:tr>
            <w:tr w14:paraId="6E07E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1253" w:type="dxa"/>
                  <w:vMerge w:val="continue"/>
                  <w:vAlign w:val="center"/>
                </w:tcPr>
                <w:p w14:paraId="36BEEA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p>
              </w:tc>
              <w:tc>
                <w:tcPr>
                  <w:tcW w:w="1059" w:type="dxa"/>
                  <w:vAlign w:val="center"/>
                </w:tcPr>
                <w:p w14:paraId="3F2749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6#楼3楼</w:t>
                  </w:r>
                </w:p>
              </w:tc>
              <w:tc>
                <w:tcPr>
                  <w:tcW w:w="5633" w:type="dxa"/>
                  <w:vAlign w:val="center"/>
                </w:tcPr>
                <w:p w14:paraId="1FBF694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办公室：共1000m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，行政，技术、财务等办公场所</w:t>
                  </w:r>
                </w:p>
              </w:tc>
            </w:tr>
            <w:tr w14:paraId="2A9BE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1253" w:type="dxa"/>
                  <w:vMerge w:val="continue"/>
                  <w:vAlign w:val="center"/>
                </w:tcPr>
                <w:p w14:paraId="008796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p>
              </w:tc>
              <w:tc>
                <w:tcPr>
                  <w:tcW w:w="1059" w:type="dxa"/>
                  <w:vAlign w:val="center"/>
                </w:tcPr>
                <w:p w14:paraId="06751B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6#2楼</w:t>
                  </w:r>
                </w:p>
              </w:tc>
              <w:tc>
                <w:tcPr>
                  <w:tcW w:w="5633" w:type="dxa"/>
                  <w:vAlign w:val="center"/>
                </w:tcPr>
                <w:p w14:paraId="482217F9">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食堂：共1000m</w:t>
                  </w:r>
                  <w:r>
                    <w:rPr>
                      <w:rFonts w:hint="default" w:ascii="Times New Roman" w:hAnsi="Times New Roman" w:eastAsia="宋体" w:cs="Times New Roman"/>
                      <w:color w:val="auto"/>
                      <w:u w:val="single"/>
                      <w:vertAlign w:val="superscript"/>
                      <w:lang w:val="en-US" w:eastAsia="zh-CN"/>
                    </w:rPr>
                    <w:t>2</w:t>
                  </w:r>
                  <w:r>
                    <w:rPr>
                      <w:rFonts w:hint="default" w:ascii="Times New Roman" w:hAnsi="Times New Roman" w:eastAsia="宋体" w:cs="Times New Roman"/>
                      <w:color w:val="auto"/>
                      <w:u w:val="single"/>
                      <w:vertAlign w:val="baseline"/>
                      <w:lang w:val="en-US" w:eastAsia="zh-CN"/>
                    </w:rPr>
                    <w:t>，仅用于提供就餐场所，餐食外包</w:t>
                  </w:r>
                </w:p>
              </w:tc>
            </w:tr>
            <w:tr w14:paraId="621A2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3" w:type="dxa"/>
                  <w:vMerge w:val="restart"/>
                  <w:vAlign w:val="center"/>
                </w:tcPr>
                <w:p w14:paraId="5E5F9E6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公用工程</w:t>
                  </w:r>
                </w:p>
              </w:tc>
              <w:tc>
                <w:tcPr>
                  <w:tcW w:w="1059" w:type="dxa"/>
                  <w:vAlign w:val="center"/>
                </w:tcPr>
                <w:p w14:paraId="5C104C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供电</w:t>
                  </w:r>
                </w:p>
              </w:tc>
              <w:tc>
                <w:tcPr>
                  <w:tcW w:w="5633" w:type="dxa"/>
                  <w:vAlign w:val="center"/>
                </w:tcPr>
                <w:p w14:paraId="789C56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rPr>
                  </w:pPr>
                  <w:r>
                    <w:rPr>
                      <w:rFonts w:hint="default" w:ascii="Times New Roman" w:hAnsi="Times New Roman" w:eastAsia="宋体" w:cs="Times New Roman"/>
                      <w:color w:val="auto"/>
                      <w:u w:val="single"/>
                      <w:vertAlign w:val="baseline"/>
                    </w:rPr>
                    <w:t>由园区供电系统提供</w:t>
                  </w:r>
                </w:p>
              </w:tc>
            </w:tr>
            <w:tr w14:paraId="26C8C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3" w:type="dxa"/>
                  <w:vMerge w:val="continue"/>
                  <w:vAlign w:val="center"/>
                </w:tcPr>
                <w:p w14:paraId="43FDB5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p>
              </w:tc>
              <w:tc>
                <w:tcPr>
                  <w:tcW w:w="1059" w:type="dxa"/>
                  <w:vAlign w:val="center"/>
                </w:tcPr>
                <w:p w14:paraId="2A2820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供水</w:t>
                  </w:r>
                </w:p>
              </w:tc>
              <w:tc>
                <w:tcPr>
                  <w:tcW w:w="5633" w:type="dxa"/>
                  <w:vAlign w:val="center"/>
                </w:tcPr>
                <w:p w14:paraId="16CD20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rPr>
                  </w:pPr>
                  <w:r>
                    <w:rPr>
                      <w:rFonts w:hint="default" w:ascii="Times New Roman" w:hAnsi="Times New Roman" w:eastAsia="宋体" w:cs="Times New Roman"/>
                      <w:color w:val="auto"/>
                      <w:u w:val="single"/>
                      <w:vertAlign w:val="baseline"/>
                    </w:rPr>
                    <w:t>由园区供水管网提供</w:t>
                  </w:r>
                </w:p>
              </w:tc>
            </w:tr>
            <w:tr w14:paraId="6AE62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1253" w:type="dxa"/>
                  <w:vMerge w:val="restart"/>
                  <w:vAlign w:val="center"/>
                </w:tcPr>
                <w:p w14:paraId="133941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环保工程</w:t>
                  </w:r>
                </w:p>
              </w:tc>
              <w:tc>
                <w:tcPr>
                  <w:tcW w:w="1059" w:type="dxa"/>
                  <w:vAlign w:val="center"/>
                </w:tcPr>
                <w:p w14:paraId="6ABD37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废气</w:t>
                  </w:r>
                </w:p>
              </w:tc>
              <w:tc>
                <w:tcPr>
                  <w:tcW w:w="5633" w:type="dxa"/>
                  <w:vAlign w:val="center"/>
                </w:tcPr>
                <w:p w14:paraId="34E00C86">
                  <w:pPr>
                    <w:tabs>
                      <w:tab w:val="left" w:pos="3255"/>
                    </w:tabs>
                    <w:spacing w:line="240" w:lineRule="auto"/>
                    <w:jc w:val="left"/>
                    <w:rPr>
                      <w:rFonts w:hint="default" w:ascii="Times New Roman" w:hAnsi="Times New Roman" w:eastAsia="宋体" w:cs="Times New Roman"/>
                      <w:color w:val="auto"/>
                      <w:szCs w:val="21"/>
                      <w:highlight w:val="none"/>
                      <w:u w:val="single"/>
                      <w:lang w:val="en-US" w:eastAsia="zh-CN"/>
                    </w:rPr>
                  </w:pPr>
                  <w:r>
                    <w:rPr>
                      <w:rFonts w:hint="default" w:ascii="Times New Roman" w:hAnsi="Times New Roman" w:eastAsia="宋体" w:cs="Times New Roman"/>
                      <w:color w:val="auto"/>
                      <w:szCs w:val="21"/>
                      <w:highlight w:val="none"/>
                      <w:u w:val="single"/>
                      <w:lang w:val="en-US" w:eastAsia="zh-CN"/>
                    </w:rPr>
                    <w:t>涂胶有机废气：UV胶喷涂废气通过集气罩收集后经活性炭吸附后排放，其余灌封胶等采用车间通风</w:t>
                  </w:r>
                  <w:r>
                    <w:rPr>
                      <w:rFonts w:hint="default" w:ascii="Times New Roman" w:hAnsi="Times New Roman" w:eastAsia="宋体" w:cs="Times New Roman"/>
                      <w:color w:val="auto"/>
                      <w:u w:val="single"/>
                      <w:lang w:val="en-US" w:eastAsia="zh-CN"/>
                    </w:rPr>
                    <w:t>方式无组织排放。</w:t>
                  </w:r>
                </w:p>
                <w:p w14:paraId="21416843">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rPr>
                  </w:pPr>
                  <w:r>
                    <w:rPr>
                      <w:rFonts w:hint="default" w:ascii="Times New Roman" w:hAnsi="Times New Roman" w:eastAsia="宋体" w:cs="Times New Roman"/>
                      <w:color w:val="auto"/>
                      <w:szCs w:val="21"/>
                      <w:u w:val="single"/>
                      <w:lang w:val="en-US" w:eastAsia="zh-CN"/>
                    </w:rPr>
                    <w:t>焊接烟尘：主要为二氧化锡，管道收集经活性炭吸附装置过滤处理后排放。</w:t>
                  </w:r>
                </w:p>
              </w:tc>
            </w:tr>
            <w:tr w14:paraId="06F46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1" w:hRule="atLeast"/>
                <w:jc w:val="center"/>
              </w:trPr>
              <w:tc>
                <w:tcPr>
                  <w:tcW w:w="1253" w:type="dxa"/>
                  <w:vMerge w:val="continue"/>
                  <w:vAlign w:val="center"/>
                </w:tcPr>
                <w:p w14:paraId="24BA66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p>
              </w:tc>
              <w:tc>
                <w:tcPr>
                  <w:tcW w:w="1059" w:type="dxa"/>
                  <w:vAlign w:val="center"/>
                </w:tcPr>
                <w:p w14:paraId="782108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废水</w:t>
                  </w:r>
                </w:p>
              </w:tc>
              <w:tc>
                <w:tcPr>
                  <w:tcW w:w="5633" w:type="dxa"/>
                  <w:vAlign w:val="center"/>
                </w:tcPr>
                <w:p w14:paraId="361829EF">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rPr>
                  </w:pPr>
                  <w:r>
                    <w:rPr>
                      <w:rFonts w:hint="default" w:ascii="Times New Roman" w:hAnsi="Times New Roman" w:eastAsia="宋体" w:cs="Times New Roman"/>
                      <w:color w:val="auto"/>
                      <w:szCs w:val="21"/>
                      <w:u w:val="single"/>
                      <w:lang w:val="en-US" w:eastAsia="zh-CN"/>
                    </w:rPr>
                    <w:t>生产过程无工艺废水产生和排放，生活污水经化粪池预处理后，达到《污水综合排放标准》（GB8978-1996）中三级排放标准后通过园区污水管网，排入</w:t>
                  </w:r>
                  <w:r>
                    <w:rPr>
                      <w:rFonts w:hint="default" w:ascii="Times New Roman" w:hAnsi="Times New Roman" w:eastAsia="宋体" w:cs="Times New Roman"/>
                      <w:color w:val="auto"/>
                      <w:szCs w:val="21"/>
                      <w:highlight w:val="none"/>
                      <w:u w:val="single"/>
                      <w:lang w:val="en-US" w:eastAsia="zh-CN"/>
                    </w:rPr>
                    <w:t>铜桥港污水处理厂</w:t>
                  </w:r>
                  <w:r>
                    <w:rPr>
                      <w:rFonts w:hint="default" w:ascii="Times New Roman" w:hAnsi="Times New Roman" w:eastAsia="宋体" w:cs="Times New Roman"/>
                      <w:color w:val="auto"/>
                      <w:szCs w:val="21"/>
                      <w:u w:val="single"/>
                      <w:lang w:val="en-US" w:eastAsia="zh-CN"/>
                    </w:rPr>
                    <w:t>进一步处理。</w:t>
                  </w:r>
                </w:p>
              </w:tc>
            </w:tr>
            <w:tr w14:paraId="7E712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6" w:hRule="atLeast"/>
                <w:jc w:val="center"/>
              </w:trPr>
              <w:tc>
                <w:tcPr>
                  <w:tcW w:w="1253" w:type="dxa"/>
                  <w:vMerge w:val="continue"/>
                  <w:vAlign w:val="center"/>
                </w:tcPr>
                <w:p w14:paraId="7A726D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p>
              </w:tc>
              <w:tc>
                <w:tcPr>
                  <w:tcW w:w="1059" w:type="dxa"/>
                  <w:vAlign w:val="center"/>
                </w:tcPr>
                <w:p w14:paraId="6B86EE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噪声</w:t>
                  </w:r>
                </w:p>
              </w:tc>
              <w:tc>
                <w:tcPr>
                  <w:tcW w:w="5633" w:type="dxa"/>
                  <w:vAlign w:val="center"/>
                </w:tcPr>
                <w:p w14:paraId="5EEA77AB">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rPr>
                  </w:pPr>
                  <w:r>
                    <w:rPr>
                      <w:rFonts w:hint="default" w:ascii="Times New Roman" w:hAnsi="Times New Roman" w:eastAsia="宋体" w:cs="Times New Roman"/>
                      <w:color w:val="auto"/>
                      <w:szCs w:val="21"/>
                      <w:u w:val="single"/>
                      <w:lang w:val="en-US" w:eastAsia="zh-CN"/>
                    </w:rPr>
                    <w:t>选用低噪声设备，基础减振，厂房隔声</w:t>
                  </w:r>
                </w:p>
              </w:tc>
            </w:tr>
            <w:tr w14:paraId="1A930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4" w:hRule="atLeast"/>
                <w:jc w:val="center"/>
              </w:trPr>
              <w:tc>
                <w:tcPr>
                  <w:tcW w:w="1253" w:type="dxa"/>
                  <w:vMerge w:val="continue"/>
                  <w:vAlign w:val="center"/>
                </w:tcPr>
                <w:p w14:paraId="64DF80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p>
              </w:tc>
              <w:tc>
                <w:tcPr>
                  <w:tcW w:w="1059" w:type="dxa"/>
                  <w:vAlign w:val="center"/>
                </w:tcPr>
                <w:p w14:paraId="595AE5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固废</w:t>
                  </w:r>
                </w:p>
              </w:tc>
              <w:tc>
                <w:tcPr>
                  <w:tcW w:w="5633" w:type="dxa"/>
                  <w:vAlign w:val="center"/>
                </w:tcPr>
                <w:p w14:paraId="0E8DD9FE">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rPr>
                    <w:t>一般工业固废：</w:t>
                  </w:r>
                  <w:r>
                    <w:rPr>
                      <w:rFonts w:hint="default" w:ascii="Times New Roman" w:hAnsi="Times New Roman" w:eastAsia="宋体" w:cs="Times New Roman"/>
                      <w:color w:val="auto"/>
                      <w:sz w:val="21"/>
                      <w:szCs w:val="21"/>
                      <w:highlight w:val="none"/>
                      <w:u w:val="single"/>
                      <w:lang w:val="en-US" w:eastAsia="zh-CN"/>
                    </w:rPr>
                    <w:t>存于1#厂房外北侧的垃圾房（11.35*5m</w:t>
                  </w:r>
                  <w:r>
                    <w:rPr>
                      <w:rFonts w:hint="default" w:ascii="Times New Roman" w:hAnsi="Times New Roman" w:eastAsia="宋体" w:cs="Times New Roman"/>
                      <w:color w:val="auto"/>
                      <w:sz w:val="21"/>
                      <w:szCs w:val="21"/>
                      <w:highlight w:val="none"/>
                      <w:u w:val="single"/>
                      <w:vertAlign w:val="superscript"/>
                      <w:lang w:val="en-US" w:eastAsia="zh-CN"/>
                    </w:rPr>
                    <w:t>2</w:t>
                  </w:r>
                  <w:r>
                    <w:rPr>
                      <w:rFonts w:hint="default" w:ascii="Times New Roman" w:hAnsi="Times New Roman" w:eastAsia="宋体" w:cs="Times New Roman"/>
                      <w:color w:val="auto"/>
                      <w:sz w:val="21"/>
                      <w:szCs w:val="21"/>
                      <w:highlight w:val="none"/>
                      <w:u w:val="single"/>
                      <w:lang w:val="en-US" w:eastAsia="zh-CN"/>
                    </w:rPr>
                    <w:t>），主要固废有锡焊渣、废包装材料，均回收利用或出售；</w:t>
                  </w:r>
                </w:p>
                <w:p w14:paraId="4E57D800">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u w:val="single"/>
                      <w:vertAlign w:val="baseline"/>
                    </w:rPr>
                  </w:pPr>
                  <w:r>
                    <w:rPr>
                      <w:rFonts w:hint="default" w:ascii="Times New Roman" w:hAnsi="Times New Roman" w:eastAsia="宋体" w:cs="Times New Roman"/>
                      <w:color w:val="auto"/>
                      <w:sz w:val="21"/>
                      <w:szCs w:val="21"/>
                      <w:highlight w:val="none"/>
                      <w:u w:val="single"/>
                      <w:lang w:val="en-US" w:eastAsia="zh-CN"/>
                    </w:rPr>
                    <w:t>危险废物：存于1#厂房1F厂房外北侧，尺寸：6*3.5m</w:t>
                  </w:r>
                  <w:r>
                    <w:rPr>
                      <w:rFonts w:hint="default" w:ascii="Times New Roman" w:hAnsi="Times New Roman" w:eastAsia="宋体" w:cs="Times New Roman"/>
                      <w:color w:val="auto"/>
                      <w:sz w:val="21"/>
                      <w:szCs w:val="21"/>
                      <w:highlight w:val="none"/>
                      <w:u w:val="single"/>
                      <w:vertAlign w:val="superscript"/>
                      <w:lang w:val="en-US" w:eastAsia="zh-CN"/>
                    </w:rPr>
                    <w:t>2</w:t>
                  </w:r>
                  <w:r>
                    <w:rPr>
                      <w:rFonts w:hint="default" w:ascii="Times New Roman" w:hAnsi="Times New Roman" w:eastAsia="宋体" w:cs="Times New Roman"/>
                      <w:color w:val="auto"/>
                      <w:sz w:val="21"/>
                      <w:szCs w:val="21"/>
                      <w:highlight w:val="none"/>
                      <w:u w:val="single"/>
                      <w:lang w:val="en-US" w:eastAsia="zh-CN"/>
                    </w:rPr>
                    <w:t>；废活性炭、废化学品桶、废清洗剂等，主要通过请第三方有资质的机构进行定期处理，并保存转移联单。</w:t>
                  </w:r>
                </w:p>
              </w:tc>
            </w:tr>
          </w:tbl>
          <w:p w14:paraId="38E0922D">
            <w:pPr>
              <w:pStyle w:val="2"/>
              <w:keepNext w:val="0"/>
              <w:keepLines w:val="0"/>
              <w:pageBreakBefore w:val="0"/>
              <w:widowControl w:val="0"/>
              <w:numPr>
                <w:ilvl w:val="0"/>
                <w:numId w:val="4"/>
              </w:numPr>
              <w:kinsoku/>
              <w:wordWrap/>
              <w:overflowPunct/>
              <w:topLinePunct w:val="0"/>
              <w:autoSpaceDE/>
              <w:autoSpaceDN/>
              <w:bidi w:val="0"/>
              <w:adjustRightInd/>
              <w:snapToGrid/>
              <w:ind w:left="0" w:firstLine="482" w:firstLineChars="200"/>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产品方案及产能</w:t>
            </w:r>
          </w:p>
          <w:p w14:paraId="67816305">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本项目产品方案及产品规模见表2-2。</w:t>
            </w:r>
          </w:p>
          <w:p w14:paraId="2D8B66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表2-2 主要产品及产量</w:t>
            </w:r>
          </w:p>
          <w:tbl>
            <w:tblPr>
              <w:tblStyle w:val="1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8"/>
              <w:gridCol w:w="2229"/>
              <w:gridCol w:w="2632"/>
              <w:gridCol w:w="1983"/>
            </w:tblGrid>
            <w:tr w14:paraId="56326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vAlign w:val="center"/>
                </w:tcPr>
                <w:p w14:paraId="64DA5F24">
                  <w:pPr>
                    <w:pStyle w:val="7"/>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sz w:val="20"/>
                      <w:szCs w:val="21"/>
                      <w:vertAlign w:val="baseline"/>
                      <w:lang w:val="en-US" w:eastAsia="zh-CN"/>
                    </w:rPr>
                  </w:pPr>
                  <w:r>
                    <w:rPr>
                      <w:rFonts w:hint="default" w:ascii="Times New Roman" w:hAnsi="Times New Roman" w:eastAsia="宋体" w:cs="Times New Roman"/>
                      <w:color w:val="auto"/>
                      <w:sz w:val="20"/>
                      <w:szCs w:val="21"/>
                      <w:vertAlign w:val="baseline"/>
                      <w:lang w:val="en-US" w:eastAsia="zh-CN"/>
                    </w:rPr>
                    <w:t>序号</w:t>
                  </w:r>
                </w:p>
              </w:tc>
              <w:tc>
                <w:tcPr>
                  <w:tcW w:w="1405" w:type="pct"/>
                  <w:vAlign w:val="center"/>
                </w:tcPr>
                <w:p w14:paraId="30ABC909">
                  <w:pPr>
                    <w:pStyle w:val="7"/>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sz w:val="20"/>
                      <w:szCs w:val="21"/>
                      <w:vertAlign w:val="baseline"/>
                      <w:lang w:val="en-US" w:eastAsia="zh-CN"/>
                    </w:rPr>
                  </w:pPr>
                  <w:r>
                    <w:rPr>
                      <w:rFonts w:hint="default" w:ascii="Times New Roman" w:hAnsi="Times New Roman" w:eastAsia="宋体" w:cs="Times New Roman"/>
                      <w:color w:val="auto"/>
                      <w:sz w:val="20"/>
                      <w:szCs w:val="21"/>
                      <w:vertAlign w:val="baseline"/>
                      <w:lang w:val="en-US" w:eastAsia="zh-CN"/>
                    </w:rPr>
                    <w:t>名称</w:t>
                  </w:r>
                </w:p>
              </w:tc>
              <w:tc>
                <w:tcPr>
                  <w:tcW w:w="1659" w:type="pct"/>
                  <w:vAlign w:val="center"/>
                </w:tcPr>
                <w:p w14:paraId="747F0284">
                  <w:pPr>
                    <w:pStyle w:val="7"/>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sz w:val="20"/>
                      <w:szCs w:val="21"/>
                      <w:vertAlign w:val="baseline"/>
                      <w:lang w:val="en-US" w:eastAsia="zh-CN"/>
                    </w:rPr>
                  </w:pPr>
                  <w:r>
                    <w:rPr>
                      <w:rFonts w:hint="default" w:ascii="Times New Roman" w:hAnsi="Times New Roman" w:eastAsia="宋体" w:cs="Times New Roman"/>
                      <w:color w:val="auto"/>
                      <w:sz w:val="20"/>
                      <w:szCs w:val="21"/>
                      <w:vertAlign w:val="baseline"/>
                      <w:lang w:val="en-US" w:eastAsia="zh-CN"/>
                    </w:rPr>
                    <w:t>型号</w:t>
                  </w:r>
                </w:p>
              </w:tc>
              <w:tc>
                <w:tcPr>
                  <w:tcW w:w="1250" w:type="pct"/>
                  <w:vAlign w:val="center"/>
                </w:tcPr>
                <w:p w14:paraId="4DC9BD55">
                  <w:pPr>
                    <w:pStyle w:val="7"/>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sz w:val="20"/>
                      <w:szCs w:val="21"/>
                      <w:vertAlign w:val="baseline"/>
                      <w:lang w:val="en-US" w:eastAsia="zh-CN"/>
                    </w:rPr>
                  </w:pPr>
                  <w:r>
                    <w:rPr>
                      <w:rFonts w:hint="default" w:ascii="Times New Roman" w:hAnsi="Times New Roman" w:eastAsia="宋体" w:cs="Times New Roman"/>
                      <w:color w:val="auto"/>
                      <w:sz w:val="20"/>
                      <w:szCs w:val="21"/>
                      <w:vertAlign w:val="baseline"/>
                      <w:lang w:val="en-US" w:eastAsia="zh-CN"/>
                    </w:rPr>
                    <w:t>年产量（台）</w:t>
                  </w:r>
                </w:p>
              </w:tc>
            </w:tr>
            <w:tr w14:paraId="5E8D8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vMerge w:val="restart"/>
                  <w:vAlign w:val="center"/>
                </w:tcPr>
                <w:p w14:paraId="51F415D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u w:val="none" w:color="auto"/>
                      <w:vertAlign w:val="baseline"/>
                      <w:lang w:val="en-US" w:eastAsia="zh-CN" w:bidi="ar-SA"/>
                    </w:rPr>
                  </w:pPr>
                  <w:r>
                    <w:rPr>
                      <w:rFonts w:hint="default" w:ascii="Times New Roman" w:hAnsi="Times New Roman" w:eastAsia="宋体" w:cs="Times New Roman"/>
                      <w:color w:val="auto"/>
                      <w:sz w:val="21"/>
                      <w:szCs w:val="21"/>
                      <w:u w:val="none" w:color="auto"/>
                      <w:vertAlign w:val="baseline"/>
                      <w:lang w:val="en-US" w:eastAsia="zh-CN"/>
                    </w:rPr>
                    <w:t>1</w:t>
                  </w:r>
                </w:p>
              </w:tc>
              <w:tc>
                <w:tcPr>
                  <w:tcW w:w="1405" w:type="pct"/>
                  <w:vMerge w:val="restart"/>
                  <w:vAlign w:val="center"/>
                </w:tcPr>
                <w:p w14:paraId="028C0012">
                  <w:pPr>
                    <w:keepNext w:val="0"/>
                    <w:keepLines w:val="0"/>
                    <w:pageBreakBefore w:val="0"/>
                    <w:widowControl w:val="0"/>
                    <w:kinsoku/>
                    <w:wordWrap/>
                    <w:overflowPunct/>
                    <w:topLinePunct w:val="0"/>
                    <w:autoSpaceDE/>
                    <w:autoSpaceDN/>
                    <w:bidi w:val="0"/>
                    <w:adjustRightInd/>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算力电源</w:t>
                  </w:r>
                </w:p>
              </w:tc>
              <w:tc>
                <w:tcPr>
                  <w:tcW w:w="2632" w:type="dxa"/>
                  <w:vAlign w:val="center"/>
                </w:tcPr>
                <w:p w14:paraId="52E70F7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rPr>
                    <w:t>BCJ100002-01</w:t>
                  </w:r>
                </w:p>
              </w:tc>
              <w:tc>
                <w:tcPr>
                  <w:tcW w:w="1983" w:type="dxa"/>
                  <w:vAlign w:val="center"/>
                </w:tcPr>
                <w:p w14:paraId="78B266A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i w:val="0"/>
                      <w:iCs w:val="0"/>
                      <w:color w:val="auto"/>
                      <w:kern w:val="0"/>
                      <w:sz w:val="24"/>
                      <w:szCs w:val="24"/>
                      <w:u w:val="none"/>
                      <w:lang w:val="en-US" w:eastAsia="zh-CN"/>
                    </w:rPr>
                    <w:t>60000</w:t>
                  </w:r>
                </w:p>
              </w:tc>
            </w:tr>
            <w:tr w14:paraId="28631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vMerge w:val="continue"/>
                  <w:vAlign w:val="center"/>
                </w:tcPr>
                <w:p w14:paraId="366CEE9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u w:val="none" w:color="auto"/>
                      <w:vertAlign w:val="baseline"/>
                      <w:lang w:val="en-US" w:eastAsia="zh-CN" w:bidi="ar-SA"/>
                    </w:rPr>
                  </w:pPr>
                </w:p>
              </w:tc>
              <w:tc>
                <w:tcPr>
                  <w:tcW w:w="1405" w:type="pct"/>
                  <w:vMerge w:val="continue"/>
                  <w:vAlign w:val="center"/>
                </w:tcPr>
                <w:p w14:paraId="1F87E734">
                  <w:pPr>
                    <w:keepNext w:val="0"/>
                    <w:keepLines w:val="0"/>
                    <w:pageBreakBefore w:val="0"/>
                    <w:widowControl w:val="0"/>
                    <w:kinsoku/>
                    <w:wordWrap/>
                    <w:overflowPunct/>
                    <w:topLinePunct w:val="0"/>
                    <w:autoSpaceDE/>
                    <w:autoSpaceDN/>
                    <w:bidi w:val="0"/>
                    <w:adjustRightInd/>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p>
              </w:tc>
              <w:tc>
                <w:tcPr>
                  <w:tcW w:w="2632" w:type="dxa"/>
                  <w:vAlign w:val="center"/>
                </w:tcPr>
                <w:p w14:paraId="3202374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rPr>
                    <w:t>BCJ80002-01</w:t>
                  </w:r>
                </w:p>
              </w:tc>
              <w:tc>
                <w:tcPr>
                  <w:tcW w:w="1983" w:type="dxa"/>
                  <w:vAlign w:val="center"/>
                </w:tcPr>
                <w:p w14:paraId="606F49E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i w:val="0"/>
                      <w:iCs w:val="0"/>
                      <w:color w:val="auto"/>
                      <w:kern w:val="0"/>
                      <w:sz w:val="24"/>
                      <w:szCs w:val="24"/>
                      <w:u w:val="none"/>
                      <w:lang w:val="en-US" w:eastAsia="zh-CN"/>
                    </w:rPr>
                    <w:t>60000</w:t>
                  </w:r>
                </w:p>
              </w:tc>
            </w:tr>
            <w:tr w14:paraId="560EF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vMerge w:val="continue"/>
                  <w:vAlign w:val="center"/>
                </w:tcPr>
                <w:p w14:paraId="04389E0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none" w:color="auto"/>
                      <w:vertAlign w:val="baseline"/>
                      <w:lang w:val="en-US" w:eastAsia="zh-CN"/>
                    </w:rPr>
                  </w:pPr>
                </w:p>
              </w:tc>
              <w:tc>
                <w:tcPr>
                  <w:tcW w:w="1405" w:type="pct"/>
                  <w:vMerge w:val="continue"/>
                  <w:shd w:val="clear" w:color="auto" w:fill="auto"/>
                  <w:vAlign w:val="center"/>
                </w:tcPr>
                <w:p w14:paraId="6DF05689">
                  <w:pPr>
                    <w:keepNext w:val="0"/>
                    <w:keepLines w:val="0"/>
                    <w:pageBreakBefore w:val="0"/>
                    <w:widowControl w:val="0"/>
                    <w:kinsoku/>
                    <w:wordWrap/>
                    <w:overflowPunct/>
                    <w:topLinePunct w:val="0"/>
                    <w:autoSpaceDE/>
                    <w:autoSpaceDN/>
                    <w:bidi w:val="0"/>
                    <w:adjustRightInd/>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p>
              </w:tc>
              <w:tc>
                <w:tcPr>
                  <w:tcW w:w="2632" w:type="dxa"/>
                  <w:shd w:val="clear" w:color="auto" w:fill="auto"/>
                  <w:vAlign w:val="center"/>
                </w:tcPr>
                <w:p w14:paraId="14F03C3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rPr>
                    <w:t>BCJ750002-01</w:t>
                  </w:r>
                </w:p>
              </w:tc>
              <w:tc>
                <w:tcPr>
                  <w:tcW w:w="1983" w:type="dxa"/>
                  <w:shd w:val="clear" w:color="auto" w:fill="auto"/>
                  <w:vAlign w:val="center"/>
                </w:tcPr>
                <w:p w14:paraId="71FB1A1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i w:val="0"/>
                      <w:iCs w:val="0"/>
                      <w:color w:val="auto"/>
                      <w:kern w:val="0"/>
                      <w:sz w:val="24"/>
                      <w:szCs w:val="24"/>
                      <w:u w:val="none"/>
                      <w:lang w:val="en-US" w:eastAsia="zh-CN"/>
                    </w:rPr>
                    <w:t>30000</w:t>
                  </w:r>
                </w:p>
              </w:tc>
            </w:tr>
            <w:tr w14:paraId="6ACD1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vMerge w:val="continue"/>
                  <w:vAlign w:val="center"/>
                </w:tcPr>
                <w:p w14:paraId="0B78420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none" w:color="auto"/>
                      <w:vertAlign w:val="baseline"/>
                      <w:lang w:val="en-US" w:eastAsia="zh-CN"/>
                    </w:rPr>
                  </w:pPr>
                </w:p>
              </w:tc>
              <w:tc>
                <w:tcPr>
                  <w:tcW w:w="1405" w:type="pct"/>
                  <w:vMerge w:val="continue"/>
                  <w:shd w:val="clear" w:color="auto" w:fill="auto"/>
                  <w:vAlign w:val="center"/>
                </w:tcPr>
                <w:p w14:paraId="7421FF46">
                  <w:pPr>
                    <w:keepNext w:val="0"/>
                    <w:keepLines w:val="0"/>
                    <w:pageBreakBefore w:val="0"/>
                    <w:widowControl w:val="0"/>
                    <w:kinsoku/>
                    <w:wordWrap/>
                    <w:overflowPunct/>
                    <w:topLinePunct w:val="0"/>
                    <w:autoSpaceDE/>
                    <w:autoSpaceDN/>
                    <w:bidi w:val="0"/>
                    <w:adjustRightInd/>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p>
              </w:tc>
              <w:tc>
                <w:tcPr>
                  <w:tcW w:w="2632" w:type="dxa"/>
                  <w:shd w:val="clear" w:color="auto" w:fill="auto"/>
                  <w:vAlign w:val="center"/>
                </w:tcPr>
                <w:p w14:paraId="3161766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Style w:val="44"/>
                      <w:rFonts w:hint="default" w:ascii="Times New Roman" w:hAnsi="Times New Roman" w:eastAsia="宋体" w:cs="Times New Roman"/>
                      <w:color w:val="auto"/>
                      <w:lang w:val="en-US" w:eastAsia="zh-CN"/>
                    </w:rPr>
                    <w:t>BCJ90002-01</w:t>
                  </w:r>
                </w:p>
              </w:tc>
              <w:tc>
                <w:tcPr>
                  <w:tcW w:w="1983" w:type="dxa"/>
                  <w:shd w:val="clear" w:color="auto" w:fill="auto"/>
                  <w:vAlign w:val="center"/>
                </w:tcPr>
                <w:p w14:paraId="4B5D0F4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i w:val="0"/>
                      <w:iCs w:val="0"/>
                      <w:color w:val="auto"/>
                      <w:kern w:val="0"/>
                      <w:sz w:val="24"/>
                      <w:szCs w:val="24"/>
                      <w:u w:val="none"/>
                      <w:lang w:val="en-US" w:eastAsia="zh-CN"/>
                    </w:rPr>
                    <w:t>60000</w:t>
                  </w:r>
                </w:p>
              </w:tc>
            </w:tr>
            <w:tr w14:paraId="6BF24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vMerge w:val="continue"/>
                  <w:vAlign w:val="center"/>
                </w:tcPr>
                <w:p w14:paraId="15D76F5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none" w:color="auto"/>
                      <w:vertAlign w:val="baseline"/>
                      <w:lang w:val="en-US" w:eastAsia="zh-CN"/>
                    </w:rPr>
                  </w:pPr>
                </w:p>
              </w:tc>
              <w:tc>
                <w:tcPr>
                  <w:tcW w:w="1405" w:type="pct"/>
                  <w:vMerge w:val="continue"/>
                  <w:shd w:val="clear" w:color="auto" w:fill="auto"/>
                  <w:vAlign w:val="center"/>
                </w:tcPr>
                <w:p w14:paraId="74EDC506">
                  <w:pPr>
                    <w:keepNext w:val="0"/>
                    <w:keepLines w:val="0"/>
                    <w:pageBreakBefore w:val="0"/>
                    <w:widowControl w:val="0"/>
                    <w:kinsoku/>
                    <w:wordWrap/>
                    <w:overflowPunct/>
                    <w:topLinePunct w:val="0"/>
                    <w:autoSpaceDE/>
                    <w:autoSpaceDN/>
                    <w:bidi w:val="0"/>
                    <w:adjustRightInd/>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p>
              </w:tc>
              <w:tc>
                <w:tcPr>
                  <w:tcW w:w="2632" w:type="dxa"/>
                  <w:shd w:val="clear" w:color="auto" w:fill="auto"/>
                  <w:vAlign w:val="center"/>
                </w:tcPr>
                <w:p w14:paraId="3CBFB68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Style w:val="44"/>
                      <w:rFonts w:hint="default" w:ascii="Times New Roman" w:hAnsi="Times New Roman" w:eastAsia="宋体" w:cs="Times New Roman"/>
                      <w:color w:val="auto"/>
                      <w:lang w:val="en-US" w:eastAsia="zh-CN"/>
                    </w:rPr>
                    <w:t>BCJ36002-10</w:t>
                  </w:r>
                </w:p>
              </w:tc>
              <w:tc>
                <w:tcPr>
                  <w:tcW w:w="1983" w:type="dxa"/>
                  <w:shd w:val="clear" w:color="auto" w:fill="auto"/>
                  <w:vAlign w:val="center"/>
                </w:tcPr>
                <w:p w14:paraId="794AAF0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i w:val="0"/>
                      <w:iCs w:val="0"/>
                      <w:color w:val="auto"/>
                      <w:kern w:val="0"/>
                      <w:sz w:val="24"/>
                      <w:szCs w:val="24"/>
                      <w:u w:val="none"/>
                      <w:lang w:val="en-US" w:eastAsia="zh-CN"/>
                    </w:rPr>
                    <w:t>1446</w:t>
                  </w:r>
                </w:p>
              </w:tc>
            </w:tr>
            <w:tr w14:paraId="39199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vMerge w:val="continue"/>
                  <w:vAlign w:val="center"/>
                </w:tcPr>
                <w:p w14:paraId="4025EBA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none" w:color="auto"/>
                      <w:vertAlign w:val="baseline"/>
                      <w:lang w:val="en-US" w:eastAsia="zh-CN"/>
                    </w:rPr>
                  </w:pPr>
                </w:p>
              </w:tc>
              <w:tc>
                <w:tcPr>
                  <w:tcW w:w="1405" w:type="pct"/>
                  <w:vMerge w:val="continue"/>
                  <w:shd w:val="clear" w:color="auto" w:fill="auto"/>
                  <w:vAlign w:val="center"/>
                </w:tcPr>
                <w:p w14:paraId="0D81C974">
                  <w:pPr>
                    <w:keepNext w:val="0"/>
                    <w:keepLines w:val="0"/>
                    <w:pageBreakBefore w:val="0"/>
                    <w:widowControl w:val="0"/>
                    <w:kinsoku/>
                    <w:wordWrap/>
                    <w:overflowPunct/>
                    <w:topLinePunct w:val="0"/>
                    <w:autoSpaceDE/>
                    <w:autoSpaceDN/>
                    <w:bidi w:val="0"/>
                    <w:adjustRightInd/>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p>
              </w:tc>
              <w:tc>
                <w:tcPr>
                  <w:tcW w:w="1659" w:type="pct"/>
                  <w:shd w:val="clear" w:color="auto" w:fill="auto"/>
                  <w:vAlign w:val="center"/>
                </w:tcPr>
                <w:p w14:paraId="6CBB6F5B">
                  <w:pPr>
                    <w:keepNext w:val="0"/>
                    <w:keepLines w:val="0"/>
                    <w:pageBreakBefore w:val="0"/>
                    <w:widowControl w:val="0"/>
                    <w:kinsoku/>
                    <w:wordWrap/>
                    <w:overflowPunct/>
                    <w:topLinePunct w:val="0"/>
                    <w:autoSpaceDE/>
                    <w:autoSpaceDN/>
                    <w:bidi w:val="0"/>
                    <w:adjustRightInd/>
                    <w:snapToGrid w:val="0"/>
                    <w:spacing w:line="240" w:lineRule="auto"/>
                    <w:ind w:left="0" w:left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小计</w:t>
                  </w:r>
                </w:p>
              </w:tc>
              <w:tc>
                <w:tcPr>
                  <w:tcW w:w="1983" w:type="dxa"/>
                  <w:shd w:val="clear" w:color="auto" w:fill="auto"/>
                  <w:vAlign w:val="center"/>
                </w:tcPr>
                <w:p w14:paraId="7107780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b/>
                      <w:bCs/>
                      <w:i w:val="0"/>
                      <w:iCs w:val="0"/>
                      <w:color w:val="auto"/>
                      <w:kern w:val="0"/>
                      <w:sz w:val="21"/>
                      <w:szCs w:val="21"/>
                      <w:u w:val="none"/>
                      <w:lang w:val="en-US" w:eastAsia="zh-CN"/>
                    </w:rPr>
                    <w:t>211446</w:t>
                  </w:r>
                </w:p>
              </w:tc>
            </w:tr>
            <w:tr w14:paraId="7E620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vMerge w:val="restart"/>
                  <w:vAlign w:val="center"/>
                </w:tcPr>
                <w:p w14:paraId="028B8B7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u w:val="none" w:color="auto"/>
                      <w:vertAlign w:val="baseline"/>
                      <w:lang w:val="en-US" w:eastAsia="zh-CN" w:bidi="ar-SA"/>
                    </w:rPr>
                  </w:pPr>
                  <w:r>
                    <w:rPr>
                      <w:rFonts w:hint="default" w:ascii="Times New Roman" w:hAnsi="Times New Roman" w:eastAsia="宋体" w:cs="Times New Roman"/>
                      <w:color w:val="auto"/>
                      <w:sz w:val="21"/>
                      <w:szCs w:val="21"/>
                      <w:u w:val="none" w:color="auto"/>
                      <w:vertAlign w:val="baseline"/>
                      <w:lang w:val="en-US" w:eastAsia="zh-CN"/>
                    </w:rPr>
                    <w:t>2</w:t>
                  </w:r>
                </w:p>
              </w:tc>
              <w:tc>
                <w:tcPr>
                  <w:tcW w:w="1405" w:type="pct"/>
                  <w:vMerge w:val="restart"/>
                  <w:vAlign w:val="center"/>
                </w:tcPr>
                <w:p w14:paraId="4DA1BC45">
                  <w:pPr>
                    <w:keepNext w:val="0"/>
                    <w:keepLines w:val="0"/>
                    <w:pageBreakBefore w:val="0"/>
                    <w:widowControl w:val="0"/>
                    <w:kinsoku/>
                    <w:wordWrap/>
                    <w:overflowPunct/>
                    <w:topLinePunct w:val="0"/>
                    <w:autoSpaceDE/>
                    <w:autoSpaceDN/>
                    <w:bidi w:val="0"/>
                    <w:adjustRightInd/>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小型储能电源</w:t>
                  </w:r>
                </w:p>
              </w:tc>
              <w:tc>
                <w:tcPr>
                  <w:tcW w:w="2632" w:type="dxa"/>
                  <w:vAlign w:val="center"/>
                </w:tcPr>
                <w:p w14:paraId="39F545B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rPr>
                    <w:t>BSJ3622-01</w:t>
                  </w:r>
                </w:p>
              </w:tc>
              <w:tc>
                <w:tcPr>
                  <w:tcW w:w="1983" w:type="dxa"/>
                  <w:vAlign w:val="center"/>
                </w:tcPr>
                <w:p w14:paraId="51D2366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i w:val="0"/>
                      <w:iCs w:val="0"/>
                      <w:color w:val="auto"/>
                      <w:kern w:val="0"/>
                      <w:sz w:val="24"/>
                      <w:szCs w:val="24"/>
                      <w:u w:val="none"/>
                      <w:lang w:val="en-US" w:eastAsia="zh-CN"/>
                    </w:rPr>
                    <w:t>3367</w:t>
                  </w:r>
                </w:p>
              </w:tc>
            </w:tr>
            <w:tr w14:paraId="5C923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vMerge w:val="continue"/>
                  <w:vAlign w:val="center"/>
                </w:tcPr>
                <w:p w14:paraId="0A69C0D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u w:val="none" w:color="auto"/>
                      <w:vertAlign w:val="baseline"/>
                      <w:lang w:val="en-US" w:eastAsia="zh-CN" w:bidi="ar-SA"/>
                    </w:rPr>
                  </w:pPr>
                </w:p>
              </w:tc>
              <w:tc>
                <w:tcPr>
                  <w:tcW w:w="1405" w:type="pct"/>
                  <w:vMerge w:val="continue"/>
                  <w:vAlign w:val="center"/>
                </w:tcPr>
                <w:p w14:paraId="64143C53">
                  <w:pPr>
                    <w:keepNext w:val="0"/>
                    <w:keepLines w:val="0"/>
                    <w:pageBreakBefore w:val="0"/>
                    <w:widowControl w:val="0"/>
                    <w:kinsoku/>
                    <w:wordWrap/>
                    <w:overflowPunct/>
                    <w:topLinePunct w:val="0"/>
                    <w:autoSpaceDE/>
                    <w:autoSpaceDN/>
                    <w:bidi w:val="0"/>
                    <w:adjustRightInd/>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p>
              </w:tc>
              <w:tc>
                <w:tcPr>
                  <w:tcW w:w="2632" w:type="dxa"/>
                  <w:vAlign w:val="center"/>
                </w:tcPr>
                <w:p w14:paraId="2582D94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rPr>
                    <w:t>BBK6012-01</w:t>
                  </w:r>
                </w:p>
              </w:tc>
              <w:tc>
                <w:tcPr>
                  <w:tcW w:w="1983" w:type="dxa"/>
                  <w:vAlign w:val="center"/>
                </w:tcPr>
                <w:p w14:paraId="6C636EA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i w:val="0"/>
                      <w:iCs w:val="0"/>
                      <w:color w:val="auto"/>
                      <w:kern w:val="0"/>
                      <w:sz w:val="24"/>
                      <w:szCs w:val="24"/>
                      <w:u w:val="none"/>
                      <w:lang w:val="en-US" w:eastAsia="zh-CN"/>
                    </w:rPr>
                    <w:t>3075</w:t>
                  </w:r>
                </w:p>
              </w:tc>
            </w:tr>
            <w:tr w14:paraId="3EE7B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vMerge w:val="continue"/>
                  <w:vAlign w:val="center"/>
                </w:tcPr>
                <w:p w14:paraId="677B592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u w:val="none" w:color="auto"/>
                      <w:vertAlign w:val="baseline"/>
                      <w:lang w:val="en-US" w:eastAsia="zh-CN" w:bidi="ar-SA"/>
                    </w:rPr>
                  </w:pPr>
                </w:p>
              </w:tc>
              <w:tc>
                <w:tcPr>
                  <w:tcW w:w="1405" w:type="pct"/>
                  <w:vMerge w:val="continue"/>
                  <w:vAlign w:val="center"/>
                </w:tcPr>
                <w:p w14:paraId="56391D74">
                  <w:pPr>
                    <w:keepNext w:val="0"/>
                    <w:keepLines w:val="0"/>
                    <w:pageBreakBefore w:val="0"/>
                    <w:widowControl w:val="0"/>
                    <w:kinsoku/>
                    <w:wordWrap/>
                    <w:overflowPunct/>
                    <w:topLinePunct w:val="0"/>
                    <w:autoSpaceDE/>
                    <w:autoSpaceDN/>
                    <w:bidi w:val="0"/>
                    <w:adjustRightInd/>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p>
              </w:tc>
              <w:tc>
                <w:tcPr>
                  <w:tcW w:w="2632" w:type="dxa"/>
                  <w:shd w:val="clear" w:color="auto" w:fill="auto"/>
                  <w:vAlign w:val="center"/>
                </w:tcPr>
                <w:p w14:paraId="70844E1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rPr>
                    <w:t>B120SJ35-152FN</w:t>
                  </w:r>
                </w:p>
              </w:tc>
              <w:tc>
                <w:tcPr>
                  <w:tcW w:w="1983" w:type="dxa"/>
                  <w:shd w:val="clear" w:color="auto" w:fill="auto"/>
                  <w:vAlign w:val="center"/>
                </w:tcPr>
                <w:p w14:paraId="4087769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i w:val="0"/>
                      <w:iCs w:val="0"/>
                      <w:color w:val="auto"/>
                      <w:kern w:val="0"/>
                      <w:sz w:val="24"/>
                      <w:szCs w:val="24"/>
                      <w:u w:val="none"/>
                      <w:lang w:val="en-US" w:eastAsia="zh-CN"/>
                    </w:rPr>
                    <w:t>100000</w:t>
                  </w:r>
                </w:p>
              </w:tc>
            </w:tr>
            <w:tr w14:paraId="21B8A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vMerge w:val="continue"/>
                  <w:vAlign w:val="center"/>
                </w:tcPr>
                <w:p w14:paraId="6045093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u w:val="none" w:color="auto"/>
                      <w:vertAlign w:val="baseline"/>
                      <w:lang w:val="en-US" w:eastAsia="zh-CN" w:bidi="ar-SA"/>
                    </w:rPr>
                  </w:pPr>
                </w:p>
              </w:tc>
              <w:tc>
                <w:tcPr>
                  <w:tcW w:w="1405" w:type="pct"/>
                  <w:vMerge w:val="continue"/>
                  <w:vAlign w:val="center"/>
                </w:tcPr>
                <w:p w14:paraId="47FF3210">
                  <w:pPr>
                    <w:keepNext w:val="0"/>
                    <w:keepLines w:val="0"/>
                    <w:pageBreakBefore w:val="0"/>
                    <w:widowControl w:val="0"/>
                    <w:kinsoku/>
                    <w:wordWrap/>
                    <w:overflowPunct/>
                    <w:topLinePunct w:val="0"/>
                    <w:autoSpaceDE/>
                    <w:autoSpaceDN/>
                    <w:bidi w:val="0"/>
                    <w:adjustRightInd/>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p>
              </w:tc>
              <w:tc>
                <w:tcPr>
                  <w:tcW w:w="2632" w:type="dxa"/>
                  <w:shd w:val="clear" w:color="auto" w:fill="auto"/>
                  <w:vAlign w:val="center"/>
                </w:tcPr>
                <w:p w14:paraId="57F4444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rPr>
                    <w:t>B120SJ51-362FT</w:t>
                  </w:r>
                </w:p>
              </w:tc>
              <w:tc>
                <w:tcPr>
                  <w:tcW w:w="1983" w:type="dxa"/>
                  <w:shd w:val="clear" w:color="auto" w:fill="auto"/>
                  <w:vAlign w:val="center"/>
                </w:tcPr>
                <w:p w14:paraId="1C6A1D8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i w:val="0"/>
                      <w:iCs w:val="0"/>
                      <w:color w:val="auto"/>
                      <w:kern w:val="0"/>
                      <w:sz w:val="24"/>
                      <w:szCs w:val="24"/>
                      <w:u w:val="none"/>
                      <w:lang w:val="en-US" w:eastAsia="zh-CN"/>
                    </w:rPr>
                    <w:t>42500</w:t>
                  </w:r>
                </w:p>
              </w:tc>
            </w:tr>
            <w:tr w14:paraId="418CC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vMerge w:val="continue"/>
                  <w:vAlign w:val="center"/>
                </w:tcPr>
                <w:p w14:paraId="6D37EF6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u w:val="none" w:color="auto"/>
                      <w:vertAlign w:val="baseline"/>
                      <w:lang w:val="en-US" w:eastAsia="zh-CN" w:bidi="ar-SA"/>
                    </w:rPr>
                  </w:pPr>
                </w:p>
              </w:tc>
              <w:tc>
                <w:tcPr>
                  <w:tcW w:w="1405" w:type="pct"/>
                  <w:vMerge w:val="continue"/>
                  <w:vAlign w:val="center"/>
                </w:tcPr>
                <w:p w14:paraId="48E85DE1">
                  <w:pPr>
                    <w:keepNext w:val="0"/>
                    <w:keepLines w:val="0"/>
                    <w:pageBreakBefore w:val="0"/>
                    <w:widowControl w:val="0"/>
                    <w:kinsoku/>
                    <w:wordWrap/>
                    <w:overflowPunct/>
                    <w:topLinePunct w:val="0"/>
                    <w:autoSpaceDE/>
                    <w:autoSpaceDN/>
                    <w:bidi w:val="0"/>
                    <w:adjustRightInd/>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p>
              </w:tc>
              <w:tc>
                <w:tcPr>
                  <w:tcW w:w="1659" w:type="pct"/>
                  <w:vAlign w:val="center"/>
                </w:tcPr>
                <w:p w14:paraId="5FAA0760">
                  <w:pPr>
                    <w:keepNext w:val="0"/>
                    <w:keepLines w:val="0"/>
                    <w:pageBreakBefore w:val="0"/>
                    <w:widowControl w:val="0"/>
                    <w:kinsoku/>
                    <w:wordWrap/>
                    <w:overflowPunct/>
                    <w:topLinePunct w:val="0"/>
                    <w:autoSpaceDE/>
                    <w:autoSpaceDN/>
                    <w:bidi w:val="0"/>
                    <w:adjustRightInd/>
                    <w:snapToGrid w:val="0"/>
                    <w:spacing w:line="240" w:lineRule="auto"/>
                    <w:ind w:left="0" w:left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小计</w:t>
                  </w:r>
                </w:p>
              </w:tc>
              <w:tc>
                <w:tcPr>
                  <w:tcW w:w="1983" w:type="dxa"/>
                  <w:vAlign w:val="center"/>
                </w:tcPr>
                <w:p w14:paraId="5570039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i w:val="0"/>
                      <w:iCs w:val="0"/>
                      <w:color w:val="auto"/>
                      <w:kern w:val="0"/>
                      <w:sz w:val="24"/>
                      <w:szCs w:val="24"/>
                      <w:u w:val="none"/>
                      <w:lang w:val="en-US" w:eastAsia="zh-CN"/>
                    </w:rPr>
                    <w:t>148942</w:t>
                  </w:r>
                </w:p>
              </w:tc>
            </w:tr>
            <w:tr w14:paraId="332D7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vAlign w:val="center"/>
                </w:tcPr>
                <w:p w14:paraId="1259082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3</w:t>
                  </w:r>
                </w:p>
              </w:tc>
              <w:tc>
                <w:tcPr>
                  <w:tcW w:w="1405" w:type="pct"/>
                  <w:vAlign w:val="center"/>
                </w:tcPr>
                <w:p w14:paraId="6BC6698A">
                  <w:pPr>
                    <w:keepNext w:val="0"/>
                    <w:keepLines w:val="0"/>
                    <w:pageBreakBefore w:val="0"/>
                    <w:widowControl w:val="0"/>
                    <w:kinsoku/>
                    <w:wordWrap/>
                    <w:overflowPunct/>
                    <w:topLinePunct w:val="0"/>
                    <w:autoSpaceDE/>
                    <w:autoSpaceDN/>
                    <w:bidi w:val="0"/>
                    <w:adjustRightInd/>
                    <w:snapToGrid w:val="0"/>
                    <w:spacing w:line="240" w:lineRule="auto"/>
                    <w:ind w:left="0" w:lef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AI服务器电源</w:t>
                  </w:r>
                </w:p>
              </w:tc>
              <w:tc>
                <w:tcPr>
                  <w:tcW w:w="1659" w:type="pct"/>
                  <w:vAlign w:val="center"/>
                </w:tcPr>
                <w:p w14:paraId="1B24B0B3">
                  <w:pPr>
                    <w:keepNext w:val="0"/>
                    <w:keepLines w:val="0"/>
                    <w:pageBreakBefore w:val="0"/>
                    <w:widowControl w:val="0"/>
                    <w:kinsoku/>
                    <w:wordWrap/>
                    <w:overflowPunct/>
                    <w:topLinePunct w:val="0"/>
                    <w:autoSpaceDE/>
                    <w:autoSpaceDN/>
                    <w:bidi w:val="0"/>
                    <w:adjustRightInd/>
                    <w:snapToGrid w:val="0"/>
                    <w:spacing w:line="240" w:lineRule="auto"/>
                    <w:ind w:left="0" w:lef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BCSE550AP-12E00</w:t>
                  </w:r>
                </w:p>
              </w:tc>
              <w:tc>
                <w:tcPr>
                  <w:tcW w:w="1983" w:type="dxa"/>
                  <w:vAlign w:val="center"/>
                </w:tcPr>
                <w:p w14:paraId="1B49AAD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i w:val="0"/>
                      <w:iCs w:val="0"/>
                      <w:color w:val="auto"/>
                      <w:kern w:val="0"/>
                      <w:sz w:val="24"/>
                      <w:szCs w:val="24"/>
                      <w:u w:val="none"/>
                      <w:lang w:val="en-US" w:eastAsia="zh-CN"/>
                    </w:rPr>
                    <w:t>3000</w:t>
                  </w:r>
                </w:p>
              </w:tc>
            </w:tr>
            <w:tr w14:paraId="04CD7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vAlign w:val="center"/>
                </w:tcPr>
                <w:p w14:paraId="0B88AC0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4</w:t>
                  </w:r>
                </w:p>
              </w:tc>
              <w:tc>
                <w:tcPr>
                  <w:tcW w:w="1405" w:type="pct"/>
                  <w:vAlign w:val="center"/>
                </w:tcPr>
                <w:p w14:paraId="40886231">
                  <w:pPr>
                    <w:keepNext w:val="0"/>
                    <w:keepLines w:val="0"/>
                    <w:pageBreakBefore w:val="0"/>
                    <w:widowControl w:val="0"/>
                    <w:kinsoku/>
                    <w:wordWrap/>
                    <w:overflowPunct/>
                    <w:topLinePunct w:val="0"/>
                    <w:autoSpaceDE/>
                    <w:autoSpaceDN/>
                    <w:bidi w:val="0"/>
                    <w:adjustRightInd/>
                    <w:snapToGrid w:val="0"/>
                    <w:spacing w:line="240" w:lineRule="auto"/>
                    <w:ind w:left="0" w:lef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光储充电源</w:t>
                  </w:r>
                </w:p>
              </w:tc>
              <w:tc>
                <w:tcPr>
                  <w:tcW w:w="1659" w:type="pct"/>
                  <w:vAlign w:val="center"/>
                </w:tcPr>
                <w:p w14:paraId="385D3C90">
                  <w:pPr>
                    <w:keepNext w:val="0"/>
                    <w:keepLines w:val="0"/>
                    <w:pageBreakBefore w:val="0"/>
                    <w:widowControl w:val="0"/>
                    <w:kinsoku/>
                    <w:wordWrap/>
                    <w:overflowPunct/>
                    <w:topLinePunct w:val="0"/>
                    <w:autoSpaceDE/>
                    <w:autoSpaceDN/>
                    <w:bidi w:val="0"/>
                    <w:adjustRightInd/>
                    <w:snapToGrid w:val="0"/>
                    <w:spacing w:line="240" w:lineRule="auto"/>
                    <w:ind w:left="0" w:lef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P240SJ115-2001FT</w:t>
                  </w:r>
                </w:p>
              </w:tc>
              <w:tc>
                <w:tcPr>
                  <w:tcW w:w="1983" w:type="dxa"/>
                  <w:vAlign w:val="center"/>
                </w:tcPr>
                <w:p w14:paraId="78C0957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i w:val="0"/>
                      <w:iCs w:val="0"/>
                      <w:color w:val="auto"/>
                      <w:kern w:val="0"/>
                      <w:sz w:val="24"/>
                      <w:szCs w:val="24"/>
                      <w:u w:val="none"/>
                      <w:lang w:val="en-US" w:eastAsia="zh-CN"/>
                    </w:rPr>
                    <w:t>2555</w:t>
                  </w:r>
                </w:p>
              </w:tc>
            </w:tr>
            <w:tr w14:paraId="69EE4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750" w:type="pct"/>
                  <w:gridSpan w:val="3"/>
                  <w:vAlign w:val="center"/>
                </w:tcPr>
                <w:p w14:paraId="36383ADB">
                  <w:pPr>
                    <w:keepNext w:val="0"/>
                    <w:keepLines w:val="0"/>
                    <w:pageBreakBefore w:val="0"/>
                    <w:widowControl w:val="0"/>
                    <w:kinsoku/>
                    <w:wordWrap/>
                    <w:overflowPunct/>
                    <w:topLinePunct w:val="0"/>
                    <w:autoSpaceDE/>
                    <w:autoSpaceDN/>
                    <w:bidi w:val="0"/>
                    <w:adjustRightInd/>
                    <w:snapToGrid w:val="0"/>
                    <w:spacing w:line="240" w:lineRule="auto"/>
                    <w:ind w:left="0" w:left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合计</w:t>
                  </w:r>
                </w:p>
              </w:tc>
              <w:tc>
                <w:tcPr>
                  <w:tcW w:w="1983" w:type="dxa"/>
                  <w:vAlign w:val="center"/>
                </w:tcPr>
                <w:p w14:paraId="5ACD55D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i w:val="0"/>
                      <w:iCs w:val="0"/>
                      <w:color w:val="auto"/>
                      <w:kern w:val="0"/>
                      <w:sz w:val="24"/>
                      <w:szCs w:val="24"/>
                      <w:u w:val="none"/>
                      <w:lang w:val="en-US" w:eastAsia="zh-CN"/>
                    </w:rPr>
                    <w:t>365943</w:t>
                  </w:r>
                </w:p>
              </w:tc>
            </w:tr>
          </w:tbl>
          <w:p w14:paraId="6B2F5D90">
            <w:pPr>
              <w:pStyle w:val="2"/>
              <w:keepNext w:val="0"/>
              <w:keepLines w:val="0"/>
              <w:pageBreakBefore w:val="0"/>
              <w:widowControl w:val="0"/>
              <w:numPr>
                <w:ilvl w:val="0"/>
                <w:numId w:val="4"/>
              </w:numPr>
              <w:kinsoku/>
              <w:wordWrap/>
              <w:overflowPunct/>
              <w:topLinePunct w:val="0"/>
              <w:autoSpaceDE/>
              <w:autoSpaceDN/>
              <w:bidi w:val="0"/>
              <w:adjustRightInd/>
              <w:snapToGrid/>
              <w:ind w:left="0" w:firstLine="482" w:firstLineChars="200"/>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主要生产设备</w:t>
            </w:r>
          </w:p>
          <w:p w14:paraId="0F263803">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本项目主要设备清单见表2-3。</w:t>
            </w:r>
          </w:p>
          <w:p w14:paraId="4D5517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表2-3 主要设备清单</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6"/>
              <w:gridCol w:w="2003"/>
              <w:gridCol w:w="1843"/>
              <w:gridCol w:w="1843"/>
              <w:gridCol w:w="754"/>
              <w:gridCol w:w="773"/>
            </w:tblGrid>
            <w:tr w14:paraId="4A78D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51" w:type="pct"/>
                  <w:vAlign w:val="center"/>
                </w:tcPr>
                <w:p w14:paraId="7652948B">
                  <w:pPr>
                    <w:pStyle w:val="40"/>
                    <w:keepNext w:val="0"/>
                    <w:keepLines w:val="0"/>
                    <w:pageBreakBefore w:val="0"/>
                    <w:kinsoku/>
                    <w:wordWrap/>
                    <w:overflowPunct/>
                    <w:topLinePunct w:val="0"/>
                    <w:autoSpaceDE/>
                    <w:autoSpaceDN/>
                    <w:bidi w:val="0"/>
                    <w:spacing w:line="240" w:lineRule="exact"/>
                    <w:ind w:right="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序号</w:t>
                  </w:r>
                </w:p>
              </w:tc>
              <w:tc>
                <w:tcPr>
                  <w:tcW w:w="1262" w:type="pct"/>
                  <w:vAlign w:val="center"/>
                </w:tcPr>
                <w:p w14:paraId="02EF3E0E">
                  <w:pPr>
                    <w:pStyle w:val="40"/>
                    <w:keepNext w:val="0"/>
                    <w:keepLines w:val="0"/>
                    <w:pageBreakBefore w:val="0"/>
                    <w:kinsoku/>
                    <w:wordWrap/>
                    <w:overflowPunct/>
                    <w:topLinePunct w:val="0"/>
                    <w:autoSpaceDE/>
                    <w:autoSpaceDN/>
                    <w:bidi w:val="0"/>
                    <w:spacing w:line="240" w:lineRule="exact"/>
                    <w:ind w:right="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设备名称</w:t>
                  </w:r>
                </w:p>
              </w:tc>
              <w:tc>
                <w:tcPr>
                  <w:tcW w:w="1161" w:type="pct"/>
                  <w:vAlign w:val="center"/>
                </w:tcPr>
                <w:p w14:paraId="58527645">
                  <w:pPr>
                    <w:pStyle w:val="40"/>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lang w:val="en-US" w:eastAsia="zh-CN"/>
                    </w:rPr>
                    <w:t>设备使用</w:t>
                  </w:r>
                  <w:r>
                    <w:rPr>
                      <w:rFonts w:hint="default" w:ascii="Times New Roman" w:hAnsi="Times New Roman" w:eastAsia="宋体" w:cs="Times New Roman"/>
                      <w:color w:val="auto"/>
                      <w:sz w:val="21"/>
                      <w:szCs w:val="21"/>
                      <w:u w:val="single"/>
                      <w:lang w:eastAsia="zh-CN"/>
                    </w:rPr>
                    <w:t>工序</w:t>
                  </w:r>
                </w:p>
              </w:tc>
              <w:tc>
                <w:tcPr>
                  <w:tcW w:w="1161" w:type="pct"/>
                  <w:vAlign w:val="center"/>
                </w:tcPr>
                <w:p w14:paraId="6FE887E9">
                  <w:pPr>
                    <w:pStyle w:val="40"/>
                    <w:keepNext w:val="0"/>
                    <w:keepLines w:val="0"/>
                    <w:pageBreakBefore w:val="0"/>
                    <w:kinsoku/>
                    <w:wordWrap/>
                    <w:overflowPunct/>
                    <w:topLinePunct w:val="0"/>
                    <w:autoSpaceDE/>
                    <w:autoSpaceDN/>
                    <w:bidi w:val="0"/>
                    <w:spacing w:line="240" w:lineRule="exact"/>
                    <w:ind w:right="0"/>
                    <w:jc w:val="center"/>
                    <w:textAlignment w:val="auto"/>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sz w:val="21"/>
                      <w:szCs w:val="21"/>
                      <w:u w:val="single"/>
                      <w:lang w:eastAsia="zh-CN"/>
                    </w:rPr>
                    <w:t>型号</w:t>
                  </w:r>
                </w:p>
              </w:tc>
              <w:tc>
                <w:tcPr>
                  <w:tcW w:w="475" w:type="pct"/>
                  <w:vAlign w:val="center"/>
                </w:tcPr>
                <w:p w14:paraId="17F83A93">
                  <w:pPr>
                    <w:pStyle w:val="40"/>
                    <w:keepNext w:val="0"/>
                    <w:keepLines w:val="0"/>
                    <w:pageBreakBefore w:val="0"/>
                    <w:kinsoku/>
                    <w:wordWrap/>
                    <w:overflowPunct/>
                    <w:topLinePunct w:val="0"/>
                    <w:autoSpaceDE/>
                    <w:autoSpaceDN/>
                    <w:bidi w:val="0"/>
                    <w:spacing w:line="240" w:lineRule="exact"/>
                    <w:ind w:right="0"/>
                    <w:jc w:val="center"/>
                    <w:textAlignment w:val="auto"/>
                    <w:rPr>
                      <w:rFonts w:hint="default" w:ascii="Times New Roman" w:hAnsi="Times New Roman" w:eastAsia="宋体" w:cs="Times New Roman"/>
                      <w:color w:val="auto"/>
                      <w:sz w:val="21"/>
                      <w:szCs w:val="21"/>
                      <w:u w:val="single"/>
                      <w:lang w:eastAsia="zh-CN"/>
                    </w:rPr>
                  </w:pPr>
                  <w:r>
                    <w:rPr>
                      <w:rFonts w:hint="default" w:ascii="Times New Roman" w:hAnsi="Times New Roman" w:eastAsia="宋体" w:cs="Times New Roman"/>
                      <w:color w:val="auto"/>
                      <w:sz w:val="21"/>
                      <w:szCs w:val="21"/>
                      <w:u w:val="single"/>
                      <w:lang w:eastAsia="zh-CN"/>
                    </w:rPr>
                    <w:t>单位</w:t>
                  </w:r>
                </w:p>
              </w:tc>
              <w:tc>
                <w:tcPr>
                  <w:tcW w:w="487" w:type="pct"/>
                  <w:vAlign w:val="center"/>
                </w:tcPr>
                <w:p w14:paraId="17E49E9F">
                  <w:pPr>
                    <w:pStyle w:val="40"/>
                    <w:keepNext w:val="0"/>
                    <w:keepLines w:val="0"/>
                    <w:pageBreakBefore w:val="0"/>
                    <w:kinsoku/>
                    <w:wordWrap/>
                    <w:overflowPunct/>
                    <w:topLinePunct w:val="0"/>
                    <w:autoSpaceDE/>
                    <w:autoSpaceDN/>
                    <w:bidi w:val="0"/>
                    <w:spacing w:line="240" w:lineRule="exact"/>
                    <w:ind w:right="0"/>
                    <w:jc w:val="center"/>
                    <w:textAlignment w:val="auto"/>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sz w:val="21"/>
                      <w:szCs w:val="21"/>
                      <w:u w:val="single"/>
                    </w:rPr>
                    <w:t>数量</w:t>
                  </w:r>
                </w:p>
              </w:tc>
            </w:tr>
            <w:tr w14:paraId="657CF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30464482">
                  <w:pPr>
                    <w:pStyle w:val="40"/>
                    <w:keepNext w:val="0"/>
                    <w:keepLines w:val="0"/>
                    <w:pageBreakBefore w:val="0"/>
                    <w:kinsoku/>
                    <w:wordWrap/>
                    <w:overflowPunct/>
                    <w:topLinePunct w:val="0"/>
                    <w:autoSpaceDE/>
                    <w:autoSpaceDN/>
                    <w:bidi w:val="0"/>
                    <w:spacing w:line="240" w:lineRule="exact"/>
                    <w:ind w:right="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1</w:t>
                  </w:r>
                </w:p>
              </w:tc>
              <w:tc>
                <w:tcPr>
                  <w:tcW w:w="1262" w:type="pct"/>
                  <w:vAlign w:val="center"/>
                </w:tcPr>
                <w:p w14:paraId="4DB256A6">
                  <w:pPr>
                    <w:pStyle w:val="7"/>
                    <w:keepNext w:val="0"/>
                    <w:keepLines w:val="0"/>
                    <w:pageBreakBefore w:val="0"/>
                    <w:kinsoku/>
                    <w:wordWrap/>
                    <w:overflowPunct/>
                    <w:topLinePunct w:val="0"/>
                    <w:autoSpaceDE/>
                    <w:autoSpaceDN/>
                    <w:bidi w:val="0"/>
                    <w:snapToGrid w:val="0"/>
                    <w:spacing w:before="0" w:after="0" w:line="240" w:lineRule="exact"/>
                    <w:ind w:right="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snapToGrid w:val="0"/>
                      <w:color w:val="auto"/>
                      <w:sz w:val="21"/>
                      <w:szCs w:val="21"/>
                      <w:u w:val="single"/>
                      <w:lang w:val="en-US" w:eastAsia="zh-CN"/>
                    </w:rPr>
                    <w:t>全自动锡膏印刷机</w:t>
                  </w:r>
                </w:p>
              </w:tc>
              <w:tc>
                <w:tcPr>
                  <w:tcW w:w="1161" w:type="pct"/>
                  <w:vAlign w:val="center"/>
                </w:tcPr>
                <w:p w14:paraId="172FC2CD">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印刷焊料</w:t>
                  </w:r>
                </w:p>
              </w:tc>
              <w:tc>
                <w:tcPr>
                  <w:tcW w:w="1161" w:type="pct"/>
                  <w:vAlign w:val="center"/>
                </w:tcPr>
                <w:p w14:paraId="27415F4C">
                  <w:pPr>
                    <w:keepNext w:val="0"/>
                    <w:keepLines w:val="0"/>
                    <w:pageBreakBefore w:val="0"/>
                    <w:kinsoku/>
                    <w:wordWrap/>
                    <w:overflowPunct/>
                    <w:topLinePunct w:val="0"/>
                    <w:autoSpaceDE/>
                    <w:autoSpaceDN/>
                    <w:bidi w:val="0"/>
                    <w:spacing w:line="240" w:lineRule="exact"/>
                    <w:ind w:right="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GKG GSE</w:t>
                  </w:r>
                </w:p>
              </w:tc>
              <w:tc>
                <w:tcPr>
                  <w:tcW w:w="475" w:type="pct"/>
                  <w:vAlign w:val="center"/>
                </w:tcPr>
                <w:p w14:paraId="24B0D3C5">
                  <w:pPr>
                    <w:keepNext w:val="0"/>
                    <w:keepLines w:val="0"/>
                    <w:pageBreakBefore w:val="0"/>
                    <w:widowControl w:val="0"/>
                    <w:kinsoku/>
                    <w:wordWrap/>
                    <w:overflowPunct/>
                    <w:topLinePunct w:val="0"/>
                    <w:autoSpaceDE/>
                    <w:autoSpaceDN/>
                    <w:bidi w:val="0"/>
                    <w:spacing w:line="240" w:lineRule="exact"/>
                    <w:ind w:left="0" w:leftChars="0" w:right="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0E6D3217">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i w:val="0"/>
                      <w:iCs w:val="0"/>
                      <w:color w:val="auto"/>
                      <w:kern w:val="0"/>
                      <w:sz w:val="21"/>
                      <w:szCs w:val="21"/>
                      <w:u w:val="single"/>
                      <w:lang w:val="en-US" w:eastAsia="zh-CN"/>
                    </w:rPr>
                    <w:t>8</w:t>
                  </w:r>
                </w:p>
              </w:tc>
            </w:tr>
            <w:tr w14:paraId="24EE1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2071A962">
                  <w:pPr>
                    <w:pStyle w:val="40"/>
                    <w:keepNext w:val="0"/>
                    <w:keepLines w:val="0"/>
                    <w:pageBreakBefore w:val="0"/>
                    <w:kinsoku/>
                    <w:wordWrap/>
                    <w:overflowPunct/>
                    <w:topLinePunct w:val="0"/>
                    <w:autoSpaceDE/>
                    <w:autoSpaceDN/>
                    <w:bidi w:val="0"/>
                    <w:spacing w:line="240" w:lineRule="exact"/>
                    <w:ind w:right="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2</w:t>
                  </w:r>
                </w:p>
              </w:tc>
              <w:tc>
                <w:tcPr>
                  <w:tcW w:w="1262" w:type="pct"/>
                  <w:vAlign w:val="center"/>
                </w:tcPr>
                <w:p w14:paraId="3B4522C8">
                  <w:pPr>
                    <w:pStyle w:val="7"/>
                    <w:keepNext w:val="0"/>
                    <w:keepLines w:val="0"/>
                    <w:pageBreakBefore w:val="0"/>
                    <w:kinsoku/>
                    <w:wordWrap/>
                    <w:overflowPunct/>
                    <w:topLinePunct w:val="0"/>
                    <w:autoSpaceDE/>
                    <w:autoSpaceDN/>
                    <w:bidi w:val="0"/>
                    <w:snapToGrid w:val="0"/>
                    <w:spacing w:before="0" w:after="0" w:line="240" w:lineRule="exact"/>
                    <w:ind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snapToGrid w:val="0"/>
                      <w:color w:val="auto"/>
                      <w:sz w:val="21"/>
                      <w:szCs w:val="21"/>
                      <w:u w:val="single"/>
                      <w:lang w:val="en-US" w:eastAsia="zh-CN"/>
                    </w:rPr>
                    <w:t>在线型3D锡膏检测仪-SPI</w:t>
                  </w:r>
                </w:p>
              </w:tc>
              <w:tc>
                <w:tcPr>
                  <w:tcW w:w="1161" w:type="pct"/>
                  <w:vAlign w:val="center"/>
                </w:tcPr>
                <w:p w14:paraId="5E91B03B">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光学检查</w:t>
                  </w:r>
                </w:p>
              </w:tc>
              <w:tc>
                <w:tcPr>
                  <w:tcW w:w="1161" w:type="pct"/>
                  <w:vAlign w:val="center"/>
                </w:tcPr>
                <w:p w14:paraId="6F93450E">
                  <w:pPr>
                    <w:keepNext w:val="0"/>
                    <w:keepLines w:val="0"/>
                    <w:pageBreakBefore w:val="0"/>
                    <w:widowControl/>
                    <w:suppressLineNumbers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kern w:val="0"/>
                      <w:sz w:val="21"/>
                      <w:szCs w:val="21"/>
                      <w:u w:val="single"/>
                      <w:lang w:val="en-US" w:eastAsia="zh-CN"/>
                    </w:rPr>
                    <w:t>VCTA-S860L</w:t>
                  </w:r>
                </w:p>
              </w:tc>
              <w:tc>
                <w:tcPr>
                  <w:tcW w:w="475" w:type="pct"/>
                  <w:vAlign w:val="center"/>
                </w:tcPr>
                <w:p w14:paraId="481A4756">
                  <w:pPr>
                    <w:keepNext w:val="0"/>
                    <w:keepLines w:val="0"/>
                    <w:pageBreakBefore w:val="0"/>
                    <w:widowControl w:val="0"/>
                    <w:kinsoku/>
                    <w:wordWrap/>
                    <w:overflowPunct/>
                    <w:topLinePunct w:val="0"/>
                    <w:autoSpaceDE/>
                    <w:autoSpaceDN/>
                    <w:bidi w:val="0"/>
                    <w:spacing w:line="240" w:lineRule="exact"/>
                    <w:ind w:left="0" w:leftChars="0" w:right="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176A5DFF">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i w:val="0"/>
                      <w:iCs w:val="0"/>
                      <w:color w:val="auto"/>
                      <w:kern w:val="0"/>
                      <w:sz w:val="21"/>
                      <w:szCs w:val="21"/>
                      <w:u w:val="single"/>
                      <w:lang w:val="en-US" w:eastAsia="zh-CN"/>
                    </w:rPr>
                    <w:t>8</w:t>
                  </w:r>
                </w:p>
              </w:tc>
            </w:tr>
            <w:tr w14:paraId="39CD4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121854C2">
                  <w:pPr>
                    <w:pStyle w:val="40"/>
                    <w:keepNext w:val="0"/>
                    <w:keepLines w:val="0"/>
                    <w:pageBreakBefore w:val="0"/>
                    <w:kinsoku/>
                    <w:wordWrap/>
                    <w:overflowPunct/>
                    <w:topLinePunct w:val="0"/>
                    <w:autoSpaceDE/>
                    <w:autoSpaceDN/>
                    <w:bidi w:val="0"/>
                    <w:spacing w:line="240" w:lineRule="exact"/>
                    <w:ind w:right="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w:t>
                  </w:r>
                </w:p>
              </w:tc>
              <w:tc>
                <w:tcPr>
                  <w:tcW w:w="1262" w:type="pct"/>
                  <w:vAlign w:val="center"/>
                </w:tcPr>
                <w:p w14:paraId="382BA5DC">
                  <w:pPr>
                    <w:pStyle w:val="7"/>
                    <w:keepNext w:val="0"/>
                    <w:keepLines w:val="0"/>
                    <w:pageBreakBefore w:val="0"/>
                    <w:kinsoku/>
                    <w:wordWrap/>
                    <w:overflowPunct/>
                    <w:topLinePunct w:val="0"/>
                    <w:autoSpaceDE/>
                    <w:autoSpaceDN/>
                    <w:bidi w:val="0"/>
                    <w:snapToGrid w:val="0"/>
                    <w:spacing w:before="0" w:after="0" w:line="240" w:lineRule="exact"/>
                    <w:ind w:right="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snapToGrid w:val="0"/>
                      <w:color w:val="auto"/>
                      <w:sz w:val="21"/>
                      <w:szCs w:val="21"/>
                      <w:u w:val="single"/>
                      <w:lang w:val="en-US" w:eastAsia="zh-CN"/>
                    </w:rPr>
                    <w:t>贴片机</w:t>
                  </w:r>
                </w:p>
              </w:tc>
              <w:tc>
                <w:tcPr>
                  <w:tcW w:w="1161" w:type="pct"/>
                  <w:vAlign w:val="center"/>
                </w:tcPr>
                <w:p w14:paraId="2D544D53">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电子器件贴装</w:t>
                  </w:r>
                </w:p>
              </w:tc>
              <w:tc>
                <w:tcPr>
                  <w:tcW w:w="1161" w:type="pct"/>
                  <w:vAlign w:val="center"/>
                </w:tcPr>
                <w:p w14:paraId="176B8B54">
                  <w:pPr>
                    <w:keepNext w:val="0"/>
                    <w:keepLines w:val="0"/>
                    <w:pageBreakBefore w:val="0"/>
                    <w:kinsoku/>
                    <w:wordWrap/>
                    <w:overflowPunct/>
                    <w:topLinePunct w:val="0"/>
                    <w:autoSpaceDE/>
                    <w:autoSpaceDN/>
                    <w:bidi w:val="0"/>
                    <w:spacing w:line="240" w:lineRule="exact"/>
                    <w:ind w:right="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YSM20 2100kg</w:t>
                  </w:r>
                </w:p>
              </w:tc>
              <w:tc>
                <w:tcPr>
                  <w:tcW w:w="475" w:type="pct"/>
                  <w:vAlign w:val="center"/>
                </w:tcPr>
                <w:p w14:paraId="3BFA1D22">
                  <w:pPr>
                    <w:keepNext w:val="0"/>
                    <w:keepLines w:val="0"/>
                    <w:pageBreakBefore w:val="0"/>
                    <w:widowControl w:val="0"/>
                    <w:kinsoku/>
                    <w:wordWrap/>
                    <w:overflowPunct/>
                    <w:topLinePunct w:val="0"/>
                    <w:autoSpaceDE/>
                    <w:autoSpaceDN/>
                    <w:bidi w:val="0"/>
                    <w:spacing w:line="240" w:lineRule="exact"/>
                    <w:ind w:left="0" w:leftChars="0" w:right="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4AD39403">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i w:val="0"/>
                      <w:iCs w:val="0"/>
                      <w:color w:val="auto"/>
                      <w:kern w:val="0"/>
                      <w:sz w:val="21"/>
                      <w:szCs w:val="21"/>
                      <w:u w:val="single"/>
                      <w:lang w:val="en-US" w:eastAsia="zh-CN"/>
                    </w:rPr>
                    <w:t>8</w:t>
                  </w:r>
                </w:p>
              </w:tc>
            </w:tr>
            <w:tr w14:paraId="289B4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71CDA6F7">
                  <w:pPr>
                    <w:pStyle w:val="40"/>
                    <w:keepNext w:val="0"/>
                    <w:keepLines w:val="0"/>
                    <w:pageBreakBefore w:val="0"/>
                    <w:kinsoku/>
                    <w:wordWrap/>
                    <w:overflowPunct/>
                    <w:topLinePunct w:val="0"/>
                    <w:autoSpaceDE/>
                    <w:autoSpaceDN/>
                    <w:bidi w:val="0"/>
                    <w:spacing w:line="240" w:lineRule="exact"/>
                    <w:ind w:right="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4</w:t>
                  </w:r>
                </w:p>
              </w:tc>
              <w:tc>
                <w:tcPr>
                  <w:tcW w:w="1262" w:type="pct"/>
                  <w:vAlign w:val="center"/>
                </w:tcPr>
                <w:p w14:paraId="402340DF">
                  <w:pPr>
                    <w:pStyle w:val="7"/>
                    <w:keepNext w:val="0"/>
                    <w:keepLines w:val="0"/>
                    <w:pageBreakBefore w:val="0"/>
                    <w:kinsoku/>
                    <w:wordWrap/>
                    <w:overflowPunct/>
                    <w:topLinePunct w:val="0"/>
                    <w:autoSpaceDE/>
                    <w:autoSpaceDN/>
                    <w:bidi w:val="0"/>
                    <w:snapToGrid w:val="0"/>
                    <w:spacing w:before="0" w:after="0" w:line="240" w:lineRule="exact"/>
                    <w:ind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snapToGrid w:val="0"/>
                      <w:color w:val="auto"/>
                      <w:sz w:val="21"/>
                      <w:szCs w:val="21"/>
                      <w:u w:val="single"/>
                      <w:lang w:val="en-US" w:eastAsia="zh-CN"/>
                    </w:rPr>
                    <w:t>回流焊</w:t>
                  </w:r>
                </w:p>
              </w:tc>
              <w:tc>
                <w:tcPr>
                  <w:tcW w:w="1161" w:type="pct"/>
                  <w:vAlign w:val="center"/>
                </w:tcPr>
                <w:p w14:paraId="5331B427">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焊料加热再熔</w:t>
                  </w:r>
                </w:p>
              </w:tc>
              <w:tc>
                <w:tcPr>
                  <w:tcW w:w="1161" w:type="pct"/>
                  <w:vAlign w:val="center"/>
                </w:tcPr>
                <w:p w14:paraId="22CA5B82">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RNS-1040/MR933</w:t>
                  </w:r>
                </w:p>
              </w:tc>
              <w:tc>
                <w:tcPr>
                  <w:tcW w:w="475" w:type="pct"/>
                  <w:vAlign w:val="center"/>
                </w:tcPr>
                <w:p w14:paraId="083E1063">
                  <w:pPr>
                    <w:keepNext w:val="0"/>
                    <w:keepLines w:val="0"/>
                    <w:pageBreakBefore w:val="0"/>
                    <w:widowControl w:val="0"/>
                    <w:kinsoku/>
                    <w:wordWrap/>
                    <w:overflowPunct/>
                    <w:topLinePunct w:val="0"/>
                    <w:autoSpaceDE/>
                    <w:autoSpaceDN/>
                    <w:bidi w:val="0"/>
                    <w:spacing w:line="240" w:lineRule="exact"/>
                    <w:ind w:left="0" w:leftChars="0" w:right="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2794615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i w:val="0"/>
                      <w:iCs w:val="0"/>
                      <w:color w:val="auto"/>
                      <w:kern w:val="0"/>
                      <w:sz w:val="21"/>
                      <w:szCs w:val="21"/>
                      <w:u w:val="single"/>
                      <w:lang w:val="en-US" w:eastAsia="zh-CN"/>
                    </w:rPr>
                    <w:t>8</w:t>
                  </w:r>
                </w:p>
              </w:tc>
            </w:tr>
            <w:tr w14:paraId="41222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7C50E32C">
                  <w:pPr>
                    <w:pStyle w:val="40"/>
                    <w:keepNext w:val="0"/>
                    <w:keepLines w:val="0"/>
                    <w:pageBreakBefore w:val="0"/>
                    <w:kinsoku/>
                    <w:wordWrap/>
                    <w:overflowPunct/>
                    <w:topLinePunct w:val="0"/>
                    <w:autoSpaceDE/>
                    <w:autoSpaceDN/>
                    <w:bidi w:val="0"/>
                    <w:spacing w:line="240" w:lineRule="exact"/>
                    <w:ind w:right="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w:t>
                  </w:r>
                </w:p>
              </w:tc>
              <w:tc>
                <w:tcPr>
                  <w:tcW w:w="1262" w:type="pct"/>
                  <w:vAlign w:val="center"/>
                </w:tcPr>
                <w:p w14:paraId="0A02CDA3">
                  <w:pPr>
                    <w:pStyle w:val="7"/>
                    <w:keepNext w:val="0"/>
                    <w:keepLines w:val="0"/>
                    <w:pageBreakBefore w:val="0"/>
                    <w:kinsoku/>
                    <w:wordWrap/>
                    <w:overflowPunct/>
                    <w:topLinePunct w:val="0"/>
                    <w:autoSpaceDE/>
                    <w:autoSpaceDN/>
                    <w:bidi w:val="0"/>
                    <w:snapToGrid w:val="0"/>
                    <w:spacing w:before="0" w:after="0" w:line="240" w:lineRule="exact"/>
                    <w:ind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snapToGrid w:val="0"/>
                      <w:color w:val="auto"/>
                      <w:sz w:val="21"/>
                      <w:szCs w:val="21"/>
                      <w:u w:val="single"/>
                      <w:lang w:val="en-US" w:eastAsia="zh-CN"/>
                    </w:rPr>
                    <w:t>在线型自动光学检测仪-AOI</w:t>
                  </w:r>
                </w:p>
              </w:tc>
              <w:tc>
                <w:tcPr>
                  <w:tcW w:w="1161" w:type="pct"/>
                  <w:vAlign w:val="center"/>
                </w:tcPr>
                <w:p w14:paraId="679BB051">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光学检查</w:t>
                  </w:r>
                </w:p>
              </w:tc>
              <w:tc>
                <w:tcPr>
                  <w:tcW w:w="1161" w:type="pct"/>
                  <w:vAlign w:val="center"/>
                </w:tcPr>
                <w:p w14:paraId="023374A0">
                  <w:pPr>
                    <w:keepNext w:val="0"/>
                    <w:keepLines w:val="0"/>
                    <w:pageBreakBefore w:val="0"/>
                    <w:widowControl/>
                    <w:suppressLineNumbers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kern w:val="0"/>
                      <w:sz w:val="21"/>
                      <w:szCs w:val="21"/>
                      <w:u w:val="single"/>
                      <w:lang w:val="en-US" w:eastAsia="zh-CN"/>
                    </w:rPr>
                    <w:t>VCTA-S820L</w:t>
                  </w:r>
                </w:p>
              </w:tc>
              <w:tc>
                <w:tcPr>
                  <w:tcW w:w="475" w:type="pct"/>
                  <w:vAlign w:val="center"/>
                </w:tcPr>
                <w:p w14:paraId="64C73817">
                  <w:pPr>
                    <w:keepNext w:val="0"/>
                    <w:keepLines w:val="0"/>
                    <w:pageBreakBefore w:val="0"/>
                    <w:widowControl w:val="0"/>
                    <w:kinsoku/>
                    <w:wordWrap/>
                    <w:overflowPunct/>
                    <w:topLinePunct w:val="0"/>
                    <w:autoSpaceDE/>
                    <w:autoSpaceDN/>
                    <w:bidi w:val="0"/>
                    <w:spacing w:line="240" w:lineRule="exact"/>
                    <w:ind w:left="0" w:leftChars="0" w:right="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6AC3130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i w:val="0"/>
                      <w:iCs w:val="0"/>
                      <w:color w:val="auto"/>
                      <w:kern w:val="0"/>
                      <w:sz w:val="21"/>
                      <w:szCs w:val="21"/>
                      <w:u w:val="single"/>
                      <w:lang w:val="en-US" w:eastAsia="zh-CN"/>
                    </w:rPr>
                    <w:t>8</w:t>
                  </w:r>
                </w:p>
              </w:tc>
            </w:tr>
            <w:tr w14:paraId="39EC5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7873277F">
                  <w:pPr>
                    <w:pStyle w:val="40"/>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6</w:t>
                  </w:r>
                </w:p>
              </w:tc>
              <w:tc>
                <w:tcPr>
                  <w:tcW w:w="1262" w:type="pct"/>
                  <w:vAlign w:val="center"/>
                </w:tcPr>
                <w:p w14:paraId="3D9D6079">
                  <w:pPr>
                    <w:pStyle w:val="7"/>
                    <w:keepNext w:val="0"/>
                    <w:keepLines w:val="0"/>
                    <w:pageBreakBefore w:val="0"/>
                    <w:kinsoku/>
                    <w:wordWrap/>
                    <w:overflowPunct/>
                    <w:topLinePunct w:val="0"/>
                    <w:autoSpaceDE/>
                    <w:autoSpaceDN/>
                    <w:bidi w:val="0"/>
                    <w:snapToGrid w:val="0"/>
                    <w:spacing w:before="0" w:after="0" w:line="240" w:lineRule="exact"/>
                    <w:ind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snapToGrid w:val="0"/>
                      <w:color w:val="auto"/>
                      <w:sz w:val="21"/>
                      <w:szCs w:val="21"/>
                      <w:u w:val="single"/>
                      <w:lang w:val="en-US" w:eastAsia="zh-CN"/>
                    </w:rPr>
                    <w:t>镭雕+烧录设备</w:t>
                  </w:r>
                </w:p>
              </w:tc>
              <w:tc>
                <w:tcPr>
                  <w:tcW w:w="1161" w:type="pct"/>
                  <w:vAlign w:val="center"/>
                </w:tcPr>
                <w:p w14:paraId="2597FF0F">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烧录</w:t>
                  </w:r>
                </w:p>
              </w:tc>
              <w:tc>
                <w:tcPr>
                  <w:tcW w:w="1161" w:type="pct"/>
                  <w:vAlign w:val="center"/>
                </w:tcPr>
                <w:p w14:paraId="24FC3F44">
                  <w:pPr>
                    <w:keepNext w:val="0"/>
                    <w:keepLines w:val="0"/>
                    <w:pageBreakBefore w:val="0"/>
                    <w:widowControl/>
                    <w:suppressLineNumbers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0"/>
                      <w:sz w:val="21"/>
                      <w:szCs w:val="21"/>
                      <w:u w:val="single"/>
                      <w:lang w:val="en-US" w:eastAsia="zh-CN"/>
                    </w:rPr>
                  </w:pPr>
                  <w:r>
                    <w:rPr>
                      <w:rFonts w:hint="default" w:ascii="Times New Roman" w:hAnsi="Times New Roman" w:eastAsia="宋体" w:cs="Times New Roman"/>
                      <w:color w:val="auto"/>
                      <w:kern w:val="0"/>
                      <w:sz w:val="21"/>
                      <w:szCs w:val="21"/>
                      <w:u w:val="single"/>
                      <w:lang w:val="en-US" w:eastAsia="zh-CN"/>
                    </w:rPr>
                    <w:t>/</w:t>
                  </w:r>
                </w:p>
              </w:tc>
              <w:tc>
                <w:tcPr>
                  <w:tcW w:w="475" w:type="pct"/>
                  <w:vAlign w:val="center"/>
                </w:tcPr>
                <w:p w14:paraId="14C730BF">
                  <w:pPr>
                    <w:keepNext w:val="0"/>
                    <w:keepLines w:val="0"/>
                    <w:pageBreakBefore w:val="0"/>
                    <w:widowControl w:val="0"/>
                    <w:kinsoku/>
                    <w:wordWrap/>
                    <w:overflowPunct/>
                    <w:topLinePunct w:val="0"/>
                    <w:autoSpaceDE/>
                    <w:autoSpaceDN/>
                    <w:bidi w:val="0"/>
                    <w:spacing w:line="240" w:lineRule="exact"/>
                    <w:ind w:left="0" w:leftChars="0" w:right="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套</w:t>
                  </w:r>
                </w:p>
              </w:tc>
              <w:tc>
                <w:tcPr>
                  <w:tcW w:w="487" w:type="pct"/>
                  <w:vAlign w:val="center"/>
                </w:tcPr>
                <w:p w14:paraId="7F800D2D">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i w:val="0"/>
                      <w:iCs w:val="0"/>
                      <w:color w:val="auto"/>
                      <w:kern w:val="0"/>
                      <w:sz w:val="21"/>
                      <w:szCs w:val="21"/>
                      <w:u w:val="single"/>
                      <w:lang w:val="en-US" w:eastAsia="zh-CN"/>
                    </w:rPr>
                    <w:t>2</w:t>
                  </w:r>
                </w:p>
              </w:tc>
            </w:tr>
            <w:tr w14:paraId="2A4C6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31027BFD">
                  <w:pPr>
                    <w:pStyle w:val="40"/>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7</w:t>
                  </w:r>
                </w:p>
              </w:tc>
              <w:tc>
                <w:tcPr>
                  <w:tcW w:w="1262" w:type="pct"/>
                  <w:vAlign w:val="center"/>
                </w:tcPr>
                <w:p w14:paraId="33354215">
                  <w:pPr>
                    <w:pStyle w:val="7"/>
                    <w:keepNext w:val="0"/>
                    <w:keepLines w:val="0"/>
                    <w:pageBreakBefore w:val="0"/>
                    <w:kinsoku/>
                    <w:wordWrap/>
                    <w:overflowPunct/>
                    <w:topLinePunct w:val="0"/>
                    <w:autoSpaceDE/>
                    <w:autoSpaceDN/>
                    <w:bidi w:val="0"/>
                    <w:snapToGrid w:val="0"/>
                    <w:spacing w:before="0" w:after="0" w:line="240" w:lineRule="exact"/>
                    <w:ind w:right="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snapToGrid w:val="0"/>
                      <w:color w:val="auto"/>
                      <w:sz w:val="21"/>
                      <w:szCs w:val="21"/>
                      <w:u w:val="single"/>
                      <w:lang w:val="en-US" w:eastAsia="zh-CN"/>
                    </w:rPr>
                    <w:t>智能视觉检测设备AOI炉前</w:t>
                  </w:r>
                </w:p>
              </w:tc>
              <w:tc>
                <w:tcPr>
                  <w:tcW w:w="1161" w:type="pct"/>
                  <w:vAlign w:val="center"/>
                </w:tcPr>
                <w:p w14:paraId="7281BC25">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光学检查</w:t>
                  </w:r>
                </w:p>
              </w:tc>
              <w:tc>
                <w:tcPr>
                  <w:tcW w:w="1161" w:type="pct"/>
                  <w:vAlign w:val="center"/>
                </w:tcPr>
                <w:p w14:paraId="5C6C3D77">
                  <w:pPr>
                    <w:keepNext w:val="0"/>
                    <w:keepLines w:val="0"/>
                    <w:pageBreakBefore w:val="0"/>
                    <w:kinsoku/>
                    <w:wordWrap/>
                    <w:overflowPunct/>
                    <w:topLinePunct w:val="0"/>
                    <w:autoSpaceDE/>
                    <w:autoSpaceDN/>
                    <w:bidi w:val="0"/>
                    <w:spacing w:line="240" w:lineRule="exact"/>
                    <w:ind w:right="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AIVS-D13</w:t>
                  </w:r>
                </w:p>
              </w:tc>
              <w:tc>
                <w:tcPr>
                  <w:tcW w:w="475" w:type="pct"/>
                  <w:vAlign w:val="center"/>
                </w:tcPr>
                <w:p w14:paraId="1854184B">
                  <w:pPr>
                    <w:keepNext w:val="0"/>
                    <w:keepLines w:val="0"/>
                    <w:pageBreakBefore w:val="0"/>
                    <w:widowControl w:val="0"/>
                    <w:kinsoku/>
                    <w:wordWrap/>
                    <w:overflowPunct/>
                    <w:topLinePunct w:val="0"/>
                    <w:autoSpaceDE/>
                    <w:autoSpaceDN/>
                    <w:bidi w:val="0"/>
                    <w:spacing w:line="240" w:lineRule="exact"/>
                    <w:ind w:left="0" w:leftChars="0" w:right="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0E72F7EF">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i w:val="0"/>
                      <w:iCs w:val="0"/>
                      <w:color w:val="auto"/>
                      <w:kern w:val="0"/>
                      <w:sz w:val="21"/>
                      <w:szCs w:val="21"/>
                      <w:u w:val="single"/>
                      <w:lang w:val="en-US" w:eastAsia="zh-CN"/>
                    </w:rPr>
                    <w:t>7</w:t>
                  </w:r>
                </w:p>
              </w:tc>
            </w:tr>
            <w:tr w14:paraId="164B6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28630596">
                  <w:pPr>
                    <w:pStyle w:val="40"/>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8</w:t>
                  </w:r>
                </w:p>
              </w:tc>
              <w:tc>
                <w:tcPr>
                  <w:tcW w:w="1262" w:type="pct"/>
                  <w:vAlign w:val="center"/>
                </w:tcPr>
                <w:p w14:paraId="78BB4D48">
                  <w:pPr>
                    <w:pStyle w:val="7"/>
                    <w:keepNext w:val="0"/>
                    <w:keepLines w:val="0"/>
                    <w:pageBreakBefore w:val="0"/>
                    <w:kinsoku/>
                    <w:wordWrap/>
                    <w:overflowPunct/>
                    <w:topLinePunct w:val="0"/>
                    <w:autoSpaceDE/>
                    <w:autoSpaceDN/>
                    <w:bidi w:val="0"/>
                    <w:snapToGrid w:val="0"/>
                    <w:spacing w:before="0" w:after="0" w:line="240" w:lineRule="exact"/>
                    <w:ind w:right="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snapToGrid w:val="0"/>
                      <w:color w:val="auto"/>
                      <w:sz w:val="21"/>
                      <w:szCs w:val="21"/>
                      <w:u w:val="single"/>
                      <w:lang w:val="en-US" w:eastAsia="zh-CN"/>
                    </w:rPr>
                    <w:t>智能视觉检测设备AOI炉后</w:t>
                  </w:r>
                </w:p>
              </w:tc>
              <w:tc>
                <w:tcPr>
                  <w:tcW w:w="1161" w:type="pct"/>
                  <w:vAlign w:val="center"/>
                </w:tcPr>
                <w:p w14:paraId="78EDC367">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光学检查</w:t>
                  </w:r>
                </w:p>
              </w:tc>
              <w:tc>
                <w:tcPr>
                  <w:tcW w:w="1161" w:type="pct"/>
                  <w:vAlign w:val="center"/>
                </w:tcPr>
                <w:p w14:paraId="3F4BCEF1">
                  <w:pPr>
                    <w:keepNext w:val="0"/>
                    <w:keepLines w:val="0"/>
                    <w:pageBreakBefore w:val="0"/>
                    <w:kinsoku/>
                    <w:wordWrap/>
                    <w:overflowPunct/>
                    <w:topLinePunct w:val="0"/>
                    <w:autoSpaceDE/>
                    <w:autoSpaceDN/>
                    <w:bidi w:val="0"/>
                    <w:spacing w:line="240" w:lineRule="exact"/>
                    <w:ind w:right="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AIVS-DI510</w:t>
                  </w:r>
                </w:p>
              </w:tc>
              <w:tc>
                <w:tcPr>
                  <w:tcW w:w="475" w:type="pct"/>
                  <w:vAlign w:val="center"/>
                </w:tcPr>
                <w:p w14:paraId="4F6F2236">
                  <w:pPr>
                    <w:keepNext w:val="0"/>
                    <w:keepLines w:val="0"/>
                    <w:pageBreakBefore w:val="0"/>
                    <w:widowControl w:val="0"/>
                    <w:kinsoku/>
                    <w:wordWrap/>
                    <w:overflowPunct/>
                    <w:topLinePunct w:val="0"/>
                    <w:autoSpaceDE/>
                    <w:autoSpaceDN/>
                    <w:bidi w:val="0"/>
                    <w:spacing w:line="240" w:lineRule="exact"/>
                    <w:ind w:left="0" w:leftChars="0" w:right="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217958F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i w:val="0"/>
                      <w:iCs w:val="0"/>
                      <w:color w:val="auto"/>
                      <w:kern w:val="0"/>
                      <w:sz w:val="21"/>
                      <w:szCs w:val="21"/>
                      <w:u w:val="single"/>
                      <w:lang w:val="en-US" w:eastAsia="zh-CN"/>
                    </w:rPr>
                    <w:t>7</w:t>
                  </w:r>
                </w:p>
              </w:tc>
            </w:tr>
            <w:tr w14:paraId="3A2C1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33BDBF19">
                  <w:pPr>
                    <w:pStyle w:val="40"/>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9</w:t>
                  </w:r>
                </w:p>
              </w:tc>
              <w:tc>
                <w:tcPr>
                  <w:tcW w:w="1262" w:type="pct"/>
                  <w:vAlign w:val="center"/>
                </w:tcPr>
                <w:p w14:paraId="714D7152">
                  <w:pPr>
                    <w:pStyle w:val="7"/>
                    <w:keepNext w:val="0"/>
                    <w:keepLines w:val="0"/>
                    <w:pageBreakBefore w:val="0"/>
                    <w:kinsoku/>
                    <w:wordWrap/>
                    <w:overflowPunct/>
                    <w:topLinePunct w:val="0"/>
                    <w:autoSpaceDE/>
                    <w:autoSpaceDN/>
                    <w:bidi w:val="0"/>
                    <w:snapToGrid w:val="0"/>
                    <w:spacing w:before="0" w:after="0" w:line="240" w:lineRule="exact"/>
                    <w:ind w:right="0" w:rightChars="0"/>
                    <w:jc w:val="center"/>
                    <w:textAlignment w:val="auto"/>
                    <w:rPr>
                      <w:rFonts w:hint="default" w:ascii="Times New Roman" w:hAnsi="Times New Roman" w:eastAsia="宋体" w:cs="Times New Roman"/>
                      <w:snapToGrid w:val="0"/>
                      <w:color w:val="auto"/>
                      <w:kern w:val="2"/>
                      <w:sz w:val="21"/>
                      <w:szCs w:val="21"/>
                      <w:u w:val="single"/>
                      <w:lang w:val="en-US" w:eastAsia="zh-CN" w:bidi="ar-SA"/>
                    </w:rPr>
                  </w:pPr>
                  <w:r>
                    <w:rPr>
                      <w:rFonts w:hint="default" w:ascii="Times New Roman" w:hAnsi="Times New Roman" w:eastAsia="宋体" w:cs="Times New Roman"/>
                      <w:snapToGrid w:val="0"/>
                      <w:color w:val="auto"/>
                      <w:sz w:val="21"/>
                      <w:szCs w:val="21"/>
                      <w:u w:val="single"/>
                      <w:lang w:val="en-US" w:eastAsia="zh-CN"/>
                    </w:rPr>
                    <w:t>无铅波峰焊</w:t>
                  </w:r>
                </w:p>
              </w:tc>
              <w:tc>
                <w:tcPr>
                  <w:tcW w:w="1161" w:type="pct"/>
                  <w:vAlign w:val="center"/>
                </w:tcPr>
                <w:p w14:paraId="21C55ED2">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焊料加热再熔</w:t>
                  </w:r>
                </w:p>
              </w:tc>
              <w:tc>
                <w:tcPr>
                  <w:tcW w:w="1161" w:type="pct"/>
                  <w:vAlign w:val="center"/>
                </w:tcPr>
                <w:p w14:paraId="79534D2A">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SELL-450-CB</w:t>
                  </w:r>
                </w:p>
              </w:tc>
              <w:tc>
                <w:tcPr>
                  <w:tcW w:w="475" w:type="pct"/>
                  <w:vAlign w:val="center"/>
                </w:tcPr>
                <w:p w14:paraId="5A556645">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2D0A6BE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i w:val="0"/>
                      <w:iCs w:val="0"/>
                      <w:color w:val="auto"/>
                      <w:kern w:val="0"/>
                      <w:sz w:val="21"/>
                      <w:szCs w:val="21"/>
                      <w:u w:val="single"/>
                      <w:lang w:val="en-US" w:eastAsia="zh-CN"/>
                    </w:rPr>
                    <w:t>11</w:t>
                  </w:r>
                </w:p>
              </w:tc>
            </w:tr>
            <w:tr w14:paraId="2B8AB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2619CBD4">
                  <w:pPr>
                    <w:pStyle w:val="40"/>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10</w:t>
                  </w:r>
                </w:p>
              </w:tc>
              <w:tc>
                <w:tcPr>
                  <w:tcW w:w="1262" w:type="pct"/>
                  <w:vAlign w:val="center"/>
                </w:tcPr>
                <w:p w14:paraId="355D87C0">
                  <w:pPr>
                    <w:pStyle w:val="7"/>
                    <w:keepNext w:val="0"/>
                    <w:keepLines w:val="0"/>
                    <w:pageBreakBefore w:val="0"/>
                    <w:kinsoku/>
                    <w:wordWrap/>
                    <w:overflowPunct/>
                    <w:topLinePunct w:val="0"/>
                    <w:autoSpaceDE/>
                    <w:autoSpaceDN/>
                    <w:bidi w:val="0"/>
                    <w:snapToGrid w:val="0"/>
                    <w:spacing w:before="0" w:after="0" w:line="240" w:lineRule="exact"/>
                    <w:ind w:right="0" w:rightChars="0"/>
                    <w:jc w:val="center"/>
                    <w:textAlignment w:val="auto"/>
                    <w:rPr>
                      <w:rFonts w:hint="default" w:ascii="Times New Roman" w:hAnsi="Times New Roman" w:eastAsia="宋体" w:cs="Times New Roman"/>
                      <w:snapToGrid w:val="0"/>
                      <w:color w:val="auto"/>
                      <w:kern w:val="2"/>
                      <w:sz w:val="21"/>
                      <w:szCs w:val="21"/>
                      <w:u w:val="single"/>
                      <w:lang w:val="en-US" w:eastAsia="zh-CN" w:bidi="ar-SA"/>
                    </w:rPr>
                  </w:pPr>
                  <w:r>
                    <w:rPr>
                      <w:rFonts w:hint="default" w:ascii="Times New Roman" w:hAnsi="Times New Roman" w:eastAsia="宋体" w:cs="Times New Roman"/>
                      <w:snapToGrid w:val="0"/>
                      <w:color w:val="auto"/>
                      <w:sz w:val="21"/>
                      <w:szCs w:val="21"/>
                      <w:u w:val="single"/>
                      <w:lang w:val="en-US" w:eastAsia="zh-CN"/>
                    </w:rPr>
                    <w:t>UV固化炉</w:t>
                  </w:r>
                </w:p>
              </w:tc>
              <w:tc>
                <w:tcPr>
                  <w:tcW w:w="1161" w:type="pct"/>
                  <w:vAlign w:val="center"/>
                </w:tcPr>
                <w:p w14:paraId="3DCC1A96">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UV胶固化</w:t>
                  </w:r>
                </w:p>
              </w:tc>
              <w:tc>
                <w:tcPr>
                  <w:tcW w:w="1161" w:type="pct"/>
                  <w:vAlign w:val="center"/>
                </w:tcPr>
                <w:p w14:paraId="0F936832">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HT-UV180</w:t>
                  </w:r>
                </w:p>
              </w:tc>
              <w:tc>
                <w:tcPr>
                  <w:tcW w:w="475" w:type="pct"/>
                  <w:vAlign w:val="center"/>
                </w:tcPr>
                <w:p w14:paraId="3D26FC90">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449298D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i w:val="0"/>
                      <w:iCs w:val="0"/>
                      <w:color w:val="auto"/>
                      <w:kern w:val="0"/>
                      <w:sz w:val="21"/>
                      <w:szCs w:val="21"/>
                      <w:u w:val="single"/>
                      <w:lang w:val="en-US" w:eastAsia="zh-CN"/>
                    </w:rPr>
                    <w:t>6</w:t>
                  </w:r>
                </w:p>
              </w:tc>
            </w:tr>
            <w:tr w14:paraId="6BA07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5BA4CCCA">
                  <w:pPr>
                    <w:pStyle w:val="40"/>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11</w:t>
                  </w:r>
                </w:p>
              </w:tc>
              <w:tc>
                <w:tcPr>
                  <w:tcW w:w="1262" w:type="pct"/>
                  <w:vAlign w:val="center"/>
                </w:tcPr>
                <w:p w14:paraId="72814212">
                  <w:pPr>
                    <w:pStyle w:val="7"/>
                    <w:keepNext w:val="0"/>
                    <w:keepLines w:val="0"/>
                    <w:pageBreakBefore w:val="0"/>
                    <w:kinsoku/>
                    <w:wordWrap/>
                    <w:overflowPunct/>
                    <w:topLinePunct w:val="0"/>
                    <w:autoSpaceDE/>
                    <w:autoSpaceDN/>
                    <w:bidi w:val="0"/>
                    <w:snapToGrid w:val="0"/>
                    <w:spacing w:before="0" w:after="0" w:line="240" w:lineRule="exact"/>
                    <w:ind w:right="0" w:rightChars="0"/>
                    <w:jc w:val="center"/>
                    <w:textAlignment w:val="auto"/>
                    <w:rPr>
                      <w:rFonts w:hint="default" w:ascii="Times New Roman" w:hAnsi="Times New Roman" w:eastAsia="宋体" w:cs="Times New Roman"/>
                      <w:snapToGrid w:val="0"/>
                      <w:color w:val="auto"/>
                      <w:kern w:val="2"/>
                      <w:sz w:val="21"/>
                      <w:szCs w:val="21"/>
                      <w:u w:val="single"/>
                      <w:lang w:val="en-US" w:eastAsia="zh-CN" w:bidi="ar-SA"/>
                    </w:rPr>
                  </w:pPr>
                  <w:r>
                    <w:rPr>
                      <w:rFonts w:hint="default" w:ascii="Times New Roman" w:hAnsi="Times New Roman" w:eastAsia="宋体" w:cs="Times New Roman"/>
                      <w:snapToGrid w:val="0"/>
                      <w:color w:val="auto"/>
                      <w:sz w:val="21"/>
                      <w:szCs w:val="21"/>
                      <w:u w:val="single"/>
                      <w:lang w:val="en-US" w:eastAsia="zh-CN"/>
                    </w:rPr>
                    <w:t>UV固化炉</w:t>
                  </w:r>
                </w:p>
              </w:tc>
              <w:tc>
                <w:tcPr>
                  <w:tcW w:w="1161" w:type="pct"/>
                  <w:vAlign w:val="center"/>
                </w:tcPr>
                <w:p w14:paraId="78C79CF8">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UV胶固化</w:t>
                  </w:r>
                </w:p>
              </w:tc>
              <w:tc>
                <w:tcPr>
                  <w:tcW w:w="1161" w:type="pct"/>
                  <w:vAlign w:val="center"/>
                </w:tcPr>
                <w:p w14:paraId="02B98D55">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HT-UV1</w:t>
                  </w:r>
                </w:p>
              </w:tc>
              <w:tc>
                <w:tcPr>
                  <w:tcW w:w="475" w:type="pct"/>
                  <w:vAlign w:val="center"/>
                </w:tcPr>
                <w:p w14:paraId="4F1C743D">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5C8EC02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i w:val="0"/>
                      <w:iCs w:val="0"/>
                      <w:color w:val="auto"/>
                      <w:kern w:val="0"/>
                      <w:sz w:val="21"/>
                      <w:szCs w:val="21"/>
                      <w:u w:val="single"/>
                      <w:lang w:val="en-US" w:eastAsia="zh-CN"/>
                    </w:rPr>
                    <w:t>3</w:t>
                  </w:r>
                </w:p>
              </w:tc>
            </w:tr>
            <w:tr w14:paraId="48D47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7BCBE69D">
                  <w:pPr>
                    <w:pStyle w:val="40"/>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12</w:t>
                  </w:r>
                </w:p>
              </w:tc>
              <w:tc>
                <w:tcPr>
                  <w:tcW w:w="1262" w:type="pct"/>
                  <w:vAlign w:val="center"/>
                </w:tcPr>
                <w:p w14:paraId="16748243">
                  <w:pPr>
                    <w:pStyle w:val="7"/>
                    <w:keepNext w:val="0"/>
                    <w:keepLines w:val="0"/>
                    <w:pageBreakBefore w:val="0"/>
                    <w:kinsoku/>
                    <w:wordWrap/>
                    <w:overflowPunct/>
                    <w:topLinePunct w:val="0"/>
                    <w:autoSpaceDE/>
                    <w:autoSpaceDN/>
                    <w:bidi w:val="0"/>
                    <w:snapToGrid w:val="0"/>
                    <w:spacing w:before="0" w:after="0" w:line="240" w:lineRule="exact"/>
                    <w:ind w:right="0" w:rightChars="0"/>
                    <w:jc w:val="center"/>
                    <w:textAlignment w:val="auto"/>
                    <w:rPr>
                      <w:rFonts w:hint="default" w:ascii="Times New Roman" w:hAnsi="Times New Roman" w:eastAsia="宋体" w:cs="Times New Roman"/>
                      <w:snapToGrid w:val="0"/>
                      <w:color w:val="auto"/>
                      <w:kern w:val="2"/>
                      <w:sz w:val="21"/>
                      <w:szCs w:val="21"/>
                      <w:u w:val="single"/>
                      <w:lang w:val="en-US" w:eastAsia="zh-CN" w:bidi="ar-SA"/>
                    </w:rPr>
                  </w:pPr>
                  <w:r>
                    <w:rPr>
                      <w:rFonts w:hint="default" w:ascii="Times New Roman" w:hAnsi="Times New Roman" w:eastAsia="宋体" w:cs="Times New Roman"/>
                      <w:snapToGrid w:val="0"/>
                      <w:color w:val="auto"/>
                      <w:sz w:val="21"/>
                      <w:szCs w:val="21"/>
                      <w:u w:val="single"/>
                      <w:lang w:val="en-US" w:eastAsia="zh-CN"/>
                    </w:rPr>
                    <w:t>UV检测台</w:t>
                  </w:r>
                </w:p>
              </w:tc>
              <w:tc>
                <w:tcPr>
                  <w:tcW w:w="1161" w:type="pct"/>
                  <w:vAlign w:val="center"/>
                </w:tcPr>
                <w:p w14:paraId="30AF73BE">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UV胶紫光检测</w:t>
                  </w:r>
                </w:p>
              </w:tc>
              <w:tc>
                <w:tcPr>
                  <w:tcW w:w="1161" w:type="pct"/>
                  <w:vAlign w:val="center"/>
                </w:tcPr>
                <w:p w14:paraId="0CE328E0">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HT-UV60</w:t>
                  </w:r>
                </w:p>
              </w:tc>
              <w:tc>
                <w:tcPr>
                  <w:tcW w:w="475" w:type="pct"/>
                  <w:vAlign w:val="center"/>
                </w:tcPr>
                <w:p w14:paraId="12B68132">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0616739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i w:val="0"/>
                      <w:iCs w:val="0"/>
                      <w:color w:val="auto"/>
                      <w:kern w:val="0"/>
                      <w:sz w:val="21"/>
                      <w:szCs w:val="21"/>
                      <w:u w:val="single"/>
                      <w:lang w:val="en-US" w:eastAsia="zh-CN"/>
                    </w:rPr>
                    <w:t>9</w:t>
                  </w:r>
                </w:p>
              </w:tc>
            </w:tr>
            <w:tr w14:paraId="0F7EC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1F63EBD4">
                  <w:pPr>
                    <w:pStyle w:val="40"/>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13</w:t>
                  </w:r>
                </w:p>
              </w:tc>
              <w:tc>
                <w:tcPr>
                  <w:tcW w:w="1262" w:type="pct"/>
                  <w:vAlign w:val="center"/>
                </w:tcPr>
                <w:p w14:paraId="7E8D73F3">
                  <w:pPr>
                    <w:pStyle w:val="7"/>
                    <w:keepNext w:val="0"/>
                    <w:keepLines w:val="0"/>
                    <w:pageBreakBefore w:val="0"/>
                    <w:kinsoku/>
                    <w:wordWrap/>
                    <w:overflowPunct/>
                    <w:topLinePunct w:val="0"/>
                    <w:autoSpaceDE/>
                    <w:autoSpaceDN/>
                    <w:bidi w:val="0"/>
                    <w:snapToGrid w:val="0"/>
                    <w:spacing w:before="0" w:after="0" w:line="240" w:lineRule="exact"/>
                    <w:ind w:right="0" w:rightChars="0"/>
                    <w:jc w:val="center"/>
                    <w:textAlignment w:val="auto"/>
                    <w:rPr>
                      <w:rFonts w:hint="default" w:ascii="Times New Roman" w:hAnsi="Times New Roman" w:eastAsia="宋体" w:cs="Times New Roman"/>
                      <w:snapToGrid w:val="0"/>
                      <w:color w:val="auto"/>
                      <w:kern w:val="2"/>
                      <w:sz w:val="21"/>
                      <w:szCs w:val="21"/>
                      <w:u w:val="single"/>
                      <w:lang w:val="en-US" w:eastAsia="zh-CN" w:bidi="ar-SA"/>
                    </w:rPr>
                  </w:pPr>
                  <w:r>
                    <w:rPr>
                      <w:rFonts w:hint="default" w:ascii="Times New Roman" w:hAnsi="Times New Roman" w:eastAsia="宋体" w:cs="Times New Roman"/>
                      <w:snapToGrid w:val="0"/>
                      <w:color w:val="auto"/>
                      <w:sz w:val="21"/>
                      <w:szCs w:val="21"/>
                      <w:u w:val="single"/>
                      <w:lang w:val="en-US" w:eastAsia="zh-CN"/>
                    </w:rPr>
                    <w:t>红外固化炉</w:t>
                  </w:r>
                </w:p>
              </w:tc>
              <w:tc>
                <w:tcPr>
                  <w:tcW w:w="1161" w:type="pct"/>
                  <w:vAlign w:val="center"/>
                </w:tcPr>
                <w:p w14:paraId="6E03A3D0">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UV胶固化</w:t>
                  </w:r>
                </w:p>
              </w:tc>
              <w:tc>
                <w:tcPr>
                  <w:tcW w:w="1161" w:type="pct"/>
                  <w:vAlign w:val="center"/>
                </w:tcPr>
                <w:p w14:paraId="5F056836">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HT-IR2000</w:t>
                  </w:r>
                </w:p>
              </w:tc>
              <w:tc>
                <w:tcPr>
                  <w:tcW w:w="475" w:type="pct"/>
                  <w:vAlign w:val="center"/>
                </w:tcPr>
                <w:p w14:paraId="03D81CBB">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02930F3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i w:val="0"/>
                      <w:iCs w:val="0"/>
                      <w:color w:val="auto"/>
                      <w:kern w:val="0"/>
                      <w:sz w:val="21"/>
                      <w:szCs w:val="21"/>
                      <w:u w:val="single"/>
                      <w:lang w:val="en-US" w:eastAsia="zh-CN"/>
                    </w:rPr>
                    <w:t>2</w:t>
                  </w:r>
                </w:p>
              </w:tc>
            </w:tr>
            <w:tr w14:paraId="66652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0662EC92">
                  <w:pPr>
                    <w:pStyle w:val="40"/>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14</w:t>
                  </w:r>
                </w:p>
              </w:tc>
              <w:tc>
                <w:tcPr>
                  <w:tcW w:w="1262" w:type="pct"/>
                  <w:vAlign w:val="center"/>
                </w:tcPr>
                <w:p w14:paraId="6316AE2E">
                  <w:pPr>
                    <w:pStyle w:val="7"/>
                    <w:keepNext w:val="0"/>
                    <w:keepLines w:val="0"/>
                    <w:pageBreakBefore w:val="0"/>
                    <w:kinsoku/>
                    <w:wordWrap/>
                    <w:overflowPunct/>
                    <w:topLinePunct w:val="0"/>
                    <w:autoSpaceDE/>
                    <w:autoSpaceDN/>
                    <w:bidi w:val="0"/>
                    <w:snapToGrid w:val="0"/>
                    <w:spacing w:before="0" w:after="0" w:line="240" w:lineRule="exact"/>
                    <w:ind w:right="0" w:rightChars="0"/>
                    <w:jc w:val="center"/>
                    <w:textAlignment w:val="auto"/>
                    <w:rPr>
                      <w:rFonts w:hint="default" w:ascii="Times New Roman" w:hAnsi="Times New Roman" w:eastAsia="宋体" w:cs="Times New Roman"/>
                      <w:snapToGrid w:val="0"/>
                      <w:color w:val="auto"/>
                      <w:kern w:val="2"/>
                      <w:sz w:val="21"/>
                      <w:szCs w:val="21"/>
                      <w:u w:val="single"/>
                      <w:lang w:val="en-US" w:eastAsia="zh-CN" w:bidi="ar-SA"/>
                    </w:rPr>
                  </w:pPr>
                  <w:r>
                    <w:rPr>
                      <w:rFonts w:hint="default" w:ascii="Times New Roman" w:hAnsi="Times New Roman" w:eastAsia="宋体" w:cs="Times New Roman"/>
                      <w:snapToGrid w:val="0"/>
                      <w:color w:val="auto"/>
                      <w:sz w:val="21"/>
                      <w:szCs w:val="21"/>
                      <w:u w:val="single"/>
                      <w:lang w:val="en-US" w:eastAsia="zh-CN"/>
                    </w:rPr>
                    <w:t>AT1测试设备</w:t>
                  </w:r>
                </w:p>
              </w:tc>
              <w:tc>
                <w:tcPr>
                  <w:tcW w:w="1161" w:type="pct"/>
                  <w:vAlign w:val="center"/>
                </w:tcPr>
                <w:p w14:paraId="104D668F">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全自动电源测试系统</w:t>
                  </w:r>
                </w:p>
              </w:tc>
              <w:tc>
                <w:tcPr>
                  <w:tcW w:w="1161" w:type="pct"/>
                  <w:vAlign w:val="center"/>
                </w:tcPr>
                <w:p w14:paraId="1AD5A620">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Chroma 组合设备</w:t>
                  </w:r>
                </w:p>
              </w:tc>
              <w:tc>
                <w:tcPr>
                  <w:tcW w:w="475" w:type="pct"/>
                  <w:vAlign w:val="center"/>
                </w:tcPr>
                <w:p w14:paraId="0A0A167C">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500ABDB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i w:val="0"/>
                      <w:iCs w:val="0"/>
                      <w:color w:val="auto"/>
                      <w:kern w:val="0"/>
                      <w:sz w:val="21"/>
                      <w:szCs w:val="21"/>
                      <w:u w:val="single"/>
                      <w:lang w:val="en-US" w:eastAsia="zh-CN"/>
                    </w:rPr>
                    <w:t>30</w:t>
                  </w:r>
                </w:p>
              </w:tc>
            </w:tr>
            <w:tr w14:paraId="2A2E4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24C2AE82">
                  <w:pPr>
                    <w:pStyle w:val="40"/>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15</w:t>
                  </w:r>
                </w:p>
              </w:tc>
              <w:tc>
                <w:tcPr>
                  <w:tcW w:w="1262" w:type="pct"/>
                  <w:vAlign w:val="center"/>
                </w:tcPr>
                <w:p w14:paraId="064C12F0">
                  <w:pPr>
                    <w:pStyle w:val="7"/>
                    <w:keepNext w:val="0"/>
                    <w:keepLines w:val="0"/>
                    <w:pageBreakBefore w:val="0"/>
                    <w:kinsoku/>
                    <w:wordWrap/>
                    <w:overflowPunct/>
                    <w:topLinePunct w:val="0"/>
                    <w:autoSpaceDE/>
                    <w:autoSpaceDN/>
                    <w:bidi w:val="0"/>
                    <w:snapToGrid w:val="0"/>
                    <w:spacing w:before="0" w:after="0" w:line="240" w:lineRule="exact"/>
                    <w:ind w:right="0" w:rightChars="0"/>
                    <w:jc w:val="center"/>
                    <w:textAlignment w:val="auto"/>
                    <w:rPr>
                      <w:rFonts w:hint="default" w:ascii="Times New Roman" w:hAnsi="Times New Roman" w:eastAsia="宋体" w:cs="Times New Roman"/>
                      <w:snapToGrid w:val="0"/>
                      <w:color w:val="auto"/>
                      <w:kern w:val="2"/>
                      <w:sz w:val="21"/>
                      <w:szCs w:val="21"/>
                      <w:u w:val="single"/>
                      <w:lang w:val="en-US" w:eastAsia="zh-CN" w:bidi="ar-SA"/>
                    </w:rPr>
                  </w:pPr>
                  <w:r>
                    <w:rPr>
                      <w:rFonts w:hint="default" w:ascii="Times New Roman" w:hAnsi="Times New Roman" w:eastAsia="宋体" w:cs="Times New Roman"/>
                      <w:snapToGrid w:val="0"/>
                      <w:color w:val="auto"/>
                      <w:sz w:val="21"/>
                      <w:szCs w:val="21"/>
                      <w:u w:val="single"/>
                      <w:lang w:val="en-US" w:eastAsia="zh-CN"/>
                    </w:rPr>
                    <w:t>双平台点胶系统</w:t>
                  </w:r>
                </w:p>
              </w:tc>
              <w:tc>
                <w:tcPr>
                  <w:tcW w:w="1161" w:type="pct"/>
                  <w:vAlign w:val="center"/>
                </w:tcPr>
                <w:p w14:paraId="38A533E5">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自动灌胶系统</w:t>
                  </w:r>
                </w:p>
              </w:tc>
              <w:tc>
                <w:tcPr>
                  <w:tcW w:w="1161" w:type="pct"/>
                  <w:vAlign w:val="center"/>
                </w:tcPr>
                <w:p w14:paraId="4A4463F2">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JSJ-6441</w:t>
                  </w:r>
                </w:p>
              </w:tc>
              <w:tc>
                <w:tcPr>
                  <w:tcW w:w="475" w:type="pct"/>
                  <w:vAlign w:val="center"/>
                </w:tcPr>
                <w:p w14:paraId="489806C1">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2AC0FED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i w:val="0"/>
                      <w:iCs w:val="0"/>
                      <w:color w:val="auto"/>
                      <w:kern w:val="0"/>
                      <w:sz w:val="21"/>
                      <w:szCs w:val="21"/>
                      <w:u w:val="single"/>
                      <w:lang w:val="en-US" w:eastAsia="zh-CN"/>
                    </w:rPr>
                    <w:t>7</w:t>
                  </w:r>
                </w:p>
              </w:tc>
            </w:tr>
            <w:tr w14:paraId="101E5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4295353B">
                  <w:pPr>
                    <w:pStyle w:val="40"/>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16</w:t>
                  </w:r>
                </w:p>
              </w:tc>
              <w:tc>
                <w:tcPr>
                  <w:tcW w:w="1262" w:type="pct"/>
                  <w:vAlign w:val="center"/>
                </w:tcPr>
                <w:p w14:paraId="39662878">
                  <w:pPr>
                    <w:pStyle w:val="7"/>
                    <w:keepNext w:val="0"/>
                    <w:keepLines w:val="0"/>
                    <w:pageBreakBefore w:val="0"/>
                    <w:kinsoku/>
                    <w:wordWrap/>
                    <w:overflowPunct/>
                    <w:topLinePunct w:val="0"/>
                    <w:autoSpaceDE/>
                    <w:autoSpaceDN/>
                    <w:bidi w:val="0"/>
                    <w:snapToGrid w:val="0"/>
                    <w:spacing w:before="0" w:after="0" w:line="240" w:lineRule="exact"/>
                    <w:ind w:right="0" w:rightChars="0"/>
                    <w:jc w:val="center"/>
                    <w:textAlignment w:val="auto"/>
                    <w:rPr>
                      <w:rFonts w:hint="default" w:ascii="Times New Roman" w:hAnsi="Times New Roman" w:eastAsia="宋体" w:cs="Times New Roman"/>
                      <w:snapToGrid w:val="0"/>
                      <w:color w:val="auto"/>
                      <w:kern w:val="2"/>
                      <w:sz w:val="21"/>
                      <w:szCs w:val="21"/>
                      <w:u w:val="single"/>
                      <w:lang w:val="en-US" w:eastAsia="zh-CN" w:bidi="ar-SA"/>
                    </w:rPr>
                  </w:pPr>
                  <w:r>
                    <w:rPr>
                      <w:rFonts w:hint="default" w:ascii="Times New Roman" w:hAnsi="Times New Roman" w:eastAsia="宋体" w:cs="Times New Roman"/>
                      <w:snapToGrid w:val="0"/>
                      <w:color w:val="auto"/>
                      <w:sz w:val="21"/>
                      <w:szCs w:val="21"/>
                      <w:u w:val="single"/>
                      <w:lang w:val="en-US" w:eastAsia="zh-CN"/>
                    </w:rPr>
                    <w:t>视觉跟随点胶机</w:t>
                  </w:r>
                </w:p>
              </w:tc>
              <w:tc>
                <w:tcPr>
                  <w:tcW w:w="1161" w:type="pct"/>
                  <w:vAlign w:val="center"/>
                </w:tcPr>
                <w:p w14:paraId="5347A443">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点胶</w:t>
                  </w:r>
                </w:p>
              </w:tc>
              <w:tc>
                <w:tcPr>
                  <w:tcW w:w="1161" w:type="pct"/>
                  <w:vAlign w:val="center"/>
                </w:tcPr>
                <w:p w14:paraId="3D5948CE">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RX-21嵌入式</w:t>
                  </w:r>
                </w:p>
              </w:tc>
              <w:tc>
                <w:tcPr>
                  <w:tcW w:w="475" w:type="pct"/>
                  <w:vAlign w:val="center"/>
                </w:tcPr>
                <w:p w14:paraId="33B25503">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6826CDB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i w:val="0"/>
                      <w:iCs w:val="0"/>
                      <w:color w:val="auto"/>
                      <w:kern w:val="0"/>
                      <w:sz w:val="21"/>
                      <w:szCs w:val="21"/>
                      <w:u w:val="single"/>
                      <w:lang w:val="en-US" w:eastAsia="zh-CN"/>
                    </w:rPr>
                    <w:t>2</w:t>
                  </w:r>
                </w:p>
              </w:tc>
            </w:tr>
            <w:tr w14:paraId="2068C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62635F48">
                  <w:pPr>
                    <w:pStyle w:val="40"/>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17</w:t>
                  </w:r>
                </w:p>
              </w:tc>
              <w:tc>
                <w:tcPr>
                  <w:tcW w:w="1262" w:type="pct"/>
                  <w:vAlign w:val="center"/>
                </w:tcPr>
                <w:p w14:paraId="39A17695">
                  <w:pPr>
                    <w:pStyle w:val="7"/>
                    <w:keepNext w:val="0"/>
                    <w:keepLines w:val="0"/>
                    <w:pageBreakBefore w:val="0"/>
                    <w:kinsoku/>
                    <w:wordWrap/>
                    <w:overflowPunct/>
                    <w:topLinePunct w:val="0"/>
                    <w:autoSpaceDE/>
                    <w:autoSpaceDN/>
                    <w:bidi w:val="0"/>
                    <w:snapToGrid w:val="0"/>
                    <w:spacing w:before="0" w:after="0" w:line="240" w:lineRule="exact"/>
                    <w:ind w:right="0" w:rightChars="0"/>
                    <w:jc w:val="center"/>
                    <w:textAlignment w:val="auto"/>
                    <w:rPr>
                      <w:rFonts w:hint="default" w:ascii="Times New Roman" w:hAnsi="Times New Roman" w:eastAsia="宋体" w:cs="Times New Roman"/>
                      <w:snapToGrid w:val="0"/>
                      <w:color w:val="auto"/>
                      <w:kern w:val="2"/>
                      <w:sz w:val="21"/>
                      <w:szCs w:val="21"/>
                      <w:u w:val="single"/>
                      <w:lang w:val="en-US" w:eastAsia="zh-CN" w:bidi="ar-SA"/>
                    </w:rPr>
                  </w:pPr>
                  <w:r>
                    <w:rPr>
                      <w:rFonts w:hint="default" w:ascii="Times New Roman" w:hAnsi="Times New Roman" w:eastAsia="宋体" w:cs="Times New Roman"/>
                      <w:snapToGrid w:val="0"/>
                      <w:color w:val="auto"/>
                      <w:sz w:val="21"/>
                      <w:szCs w:val="21"/>
                      <w:u w:val="single"/>
                      <w:lang w:val="en-US" w:eastAsia="zh-CN"/>
                    </w:rPr>
                    <w:t>节能老化柜</w:t>
                  </w:r>
                </w:p>
              </w:tc>
              <w:tc>
                <w:tcPr>
                  <w:tcW w:w="1161" w:type="pct"/>
                  <w:vAlign w:val="center"/>
                </w:tcPr>
                <w:p w14:paraId="520CB43A">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老化测试使用</w:t>
                  </w:r>
                </w:p>
              </w:tc>
              <w:tc>
                <w:tcPr>
                  <w:tcW w:w="1161" w:type="pct"/>
                  <w:vAlign w:val="center"/>
                </w:tcPr>
                <w:p w14:paraId="5F5CA7F2">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CPET-ME80036T</w:t>
                  </w:r>
                </w:p>
              </w:tc>
              <w:tc>
                <w:tcPr>
                  <w:tcW w:w="475" w:type="pct"/>
                  <w:vAlign w:val="center"/>
                </w:tcPr>
                <w:p w14:paraId="284D826D">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308F9DF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i w:val="0"/>
                      <w:iCs w:val="0"/>
                      <w:color w:val="auto"/>
                      <w:kern w:val="0"/>
                      <w:sz w:val="21"/>
                      <w:szCs w:val="21"/>
                      <w:u w:val="single"/>
                      <w:lang w:val="en-US" w:eastAsia="zh-CN"/>
                    </w:rPr>
                    <w:t>24</w:t>
                  </w:r>
                </w:p>
              </w:tc>
            </w:tr>
            <w:tr w14:paraId="3DD00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7E1257D0">
                  <w:pPr>
                    <w:pStyle w:val="40"/>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18</w:t>
                  </w:r>
                </w:p>
              </w:tc>
              <w:tc>
                <w:tcPr>
                  <w:tcW w:w="1262" w:type="pct"/>
                  <w:vAlign w:val="center"/>
                </w:tcPr>
                <w:p w14:paraId="372C0DBC">
                  <w:pPr>
                    <w:pStyle w:val="7"/>
                    <w:keepNext w:val="0"/>
                    <w:keepLines w:val="0"/>
                    <w:pageBreakBefore w:val="0"/>
                    <w:kinsoku/>
                    <w:wordWrap/>
                    <w:overflowPunct/>
                    <w:topLinePunct w:val="0"/>
                    <w:autoSpaceDE/>
                    <w:autoSpaceDN/>
                    <w:bidi w:val="0"/>
                    <w:snapToGrid w:val="0"/>
                    <w:spacing w:before="0" w:after="0" w:line="240" w:lineRule="exact"/>
                    <w:ind w:right="0" w:rightChars="0"/>
                    <w:jc w:val="center"/>
                    <w:textAlignment w:val="auto"/>
                    <w:rPr>
                      <w:rFonts w:hint="default" w:ascii="Times New Roman" w:hAnsi="Times New Roman" w:eastAsia="宋体" w:cs="Times New Roman"/>
                      <w:snapToGrid w:val="0"/>
                      <w:color w:val="auto"/>
                      <w:kern w:val="2"/>
                      <w:sz w:val="21"/>
                      <w:szCs w:val="21"/>
                      <w:u w:val="single"/>
                      <w:lang w:val="en-US" w:eastAsia="zh-CN" w:bidi="ar-SA"/>
                    </w:rPr>
                  </w:pPr>
                  <w:r>
                    <w:rPr>
                      <w:rFonts w:hint="default" w:ascii="Times New Roman" w:hAnsi="Times New Roman" w:eastAsia="宋体" w:cs="Times New Roman"/>
                      <w:snapToGrid w:val="0"/>
                      <w:color w:val="auto"/>
                      <w:sz w:val="21"/>
                      <w:szCs w:val="21"/>
                      <w:u w:val="single"/>
                      <w:lang w:val="en-US" w:eastAsia="zh-CN"/>
                    </w:rPr>
                    <w:t>AT2测试设备</w:t>
                  </w:r>
                </w:p>
              </w:tc>
              <w:tc>
                <w:tcPr>
                  <w:tcW w:w="1161" w:type="pct"/>
                  <w:vAlign w:val="center"/>
                </w:tcPr>
                <w:p w14:paraId="018C5B2B">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全自动电源测试系统</w:t>
                  </w:r>
                </w:p>
              </w:tc>
              <w:tc>
                <w:tcPr>
                  <w:tcW w:w="1161" w:type="pct"/>
                  <w:vAlign w:val="center"/>
                </w:tcPr>
                <w:p w14:paraId="78C033BF">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Chroma 组合设备</w:t>
                  </w:r>
                </w:p>
              </w:tc>
              <w:tc>
                <w:tcPr>
                  <w:tcW w:w="475" w:type="pct"/>
                  <w:vAlign w:val="center"/>
                </w:tcPr>
                <w:p w14:paraId="19E23D73">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3FE1893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30</w:t>
                  </w:r>
                </w:p>
              </w:tc>
            </w:tr>
            <w:tr w14:paraId="75AEA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6ED911B9">
                  <w:pPr>
                    <w:pStyle w:val="40"/>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19</w:t>
                  </w:r>
                </w:p>
              </w:tc>
              <w:tc>
                <w:tcPr>
                  <w:tcW w:w="1262" w:type="pct"/>
                  <w:vAlign w:val="center"/>
                </w:tcPr>
                <w:p w14:paraId="29084C6D">
                  <w:pPr>
                    <w:pStyle w:val="7"/>
                    <w:keepNext w:val="0"/>
                    <w:keepLines w:val="0"/>
                    <w:pageBreakBefore w:val="0"/>
                    <w:kinsoku/>
                    <w:wordWrap/>
                    <w:overflowPunct/>
                    <w:topLinePunct w:val="0"/>
                    <w:autoSpaceDE/>
                    <w:autoSpaceDN/>
                    <w:bidi w:val="0"/>
                    <w:snapToGrid w:val="0"/>
                    <w:spacing w:before="0" w:after="0" w:line="240" w:lineRule="exact"/>
                    <w:ind w:right="0" w:rightChars="0"/>
                    <w:jc w:val="center"/>
                    <w:textAlignment w:val="auto"/>
                    <w:rPr>
                      <w:rFonts w:hint="default" w:ascii="Times New Roman" w:hAnsi="Times New Roman" w:eastAsia="宋体" w:cs="Times New Roman"/>
                      <w:snapToGrid w:val="0"/>
                      <w:color w:val="auto"/>
                      <w:kern w:val="2"/>
                      <w:sz w:val="21"/>
                      <w:szCs w:val="21"/>
                      <w:u w:val="single"/>
                      <w:lang w:val="en-US" w:eastAsia="zh-CN" w:bidi="ar-SA"/>
                    </w:rPr>
                  </w:pPr>
                  <w:r>
                    <w:rPr>
                      <w:rFonts w:hint="default" w:ascii="Times New Roman" w:hAnsi="Times New Roman" w:eastAsia="宋体" w:cs="Times New Roman"/>
                      <w:snapToGrid w:val="0"/>
                      <w:color w:val="auto"/>
                      <w:sz w:val="21"/>
                      <w:szCs w:val="21"/>
                      <w:u w:val="single"/>
                    </w:rPr>
                    <w:t>在线式智能涂覆系统</w:t>
                  </w:r>
                </w:p>
              </w:tc>
              <w:tc>
                <w:tcPr>
                  <w:tcW w:w="1161" w:type="pct"/>
                  <w:vAlign w:val="center"/>
                </w:tcPr>
                <w:p w14:paraId="60EAD633">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涂覆</w:t>
                  </w:r>
                </w:p>
              </w:tc>
              <w:tc>
                <w:tcPr>
                  <w:tcW w:w="1161" w:type="pct"/>
                  <w:vAlign w:val="center"/>
                </w:tcPr>
                <w:p w14:paraId="69B376ED">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sz w:val="21"/>
                      <w:szCs w:val="21"/>
                      <w:u w:val="single"/>
                    </w:rPr>
                    <w:t>C3-P</w:t>
                  </w:r>
                </w:p>
              </w:tc>
              <w:tc>
                <w:tcPr>
                  <w:tcW w:w="475" w:type="pct"/>
                  <w:vAlign w:val="center"/>
                </w:tcPr>
                <w:p w14:paraId="4686ED92">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1D1F03C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i w:val="0"/>
                      <w:iCs w:val="0"/>
                      <w:color w:val="auto"/>
                      <w:kern w:val="0"/>
                      <w:sz w:val="21"/>
                      <w:szCs w:val="21"/>
                      <w:u w:val="single"/>
                      <w:lang w:val="en-US" w:eastAsia="zh-CN"/>
                    </w:rPr>
                    <w:t>7</w:t>
                  </w:r>
                </w:p>
              </w:tc>
            </w:tr>
            <w:tr w14:paraId="6320A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643A483B">
                  <w:pPr>
                    <w:pStyle w:val="40"/>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20</w:t>
                  </w:r>
                </w:p>
              </w:tc>
              <w:tc>
                <w:tcPr>
                  <w:tcW w:w="1262" w:type="pct"/>
                  <w:vAlign w:val="center"/>
                </w:tcPr>
                <w:p w14:paraId="6DC946BD">
                  <w:pPr>
                    <w:pStyle w:val="7"/>
                    <w:keepNext w:val="0"/>
                    <w:keepLines w:val="0"/>
                    <w:pageBreakBefore w:val="0"/>
                    <w:kinsoku/>
                    <w:wordWrap/>
                    <w:overflowPunct/>
                    <w:topLinePunct w:val="0"/>
                    <w:autoSpaceDE/>
                    <w:autoSpaceDN/>
                    <w:bidi w:val="0"/>
                    <w:snapToGrid w:val="0"/>
                    <w:spacing w:before="0" w:after="0" w:line="240" w:lineRule="exact"/>
                    <w:ind w:right="0" w:rightChars="0"/>
                    <w:jc w:val="center"/>
                    <w:textAlignment w:val="auto"/>
                    <w:rPr>
                      <w:rFonts w:hint="default" w:ascii="Times New Roman" w:hAnsi="Times New Roman" w:eastAsia="宋体" w:cs="Times New Roman"/>
                      <w:snapToGrid w:val="0"/>
                      <w:color w:val="auto"/>
                      <w:kern w:val="2"/>
                      <w:sz w:val="21"/>
                      <w:szCs w:val="21"/>
                      <w:u w:val="single"/>
                      <w:lang w:val="en-US" w:eastAsia="zh-CN" w:bidi="ar-SA"/>
                    </w:rPr>
                  </w:pPr>
                  <w:r>
                    <w:rPr>
                      <w:rFonts w:hint="default" w:ascii="Times New Roman" w:hAnsi="Times New Roman" w:eastAsia="宋体" w:cs="Times New Roman"/>
                      <w:snapToGrid w:val="0"/>
                      <w:color w:val="auto"/>
                      <w:sz w:val="21"/>
                      <w:szCs w:val="21"/>
                      <w:u w:val="single"/>
                    </w:rPr>
                    <w:t>双头选择性涂覆机</w:t>
                  </w:r>
                </w:p>
              </w:tc>
              <w:tc>
                <w:tcPr>
                  <w:tcW w:w="1161" w:type="pct"/>
                  <w:vAlign w:val="center"/>
                </w:tcPr>
                <w:p w14:paraId="6C08FBB9">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snapToGrid w:val="0"/>
                      <w:color w:val="auto"/>
                      <w:sz w:val="21"/>
                      <w:szCs w:val="21"/>
                      <w:u w:val="single"/>
                    </w:rPr>
                  </w:pPr>
                  <w:r>
                    <w:rPr>
                      <w:rFonts w:hint="default" w:ascii="Times New Roman" w:hAnsi="Times New Roman" w:eastAsia="宋体" w:cs="Times New Roman"/>
                      <w:color w:val="auto"/>
                      <w:sz w:val="21"/>
                      <w:szCs w:val="21"/>
                      <w:u w:val="single"/>
                      <w:lang w:val="en-US" w:eastAsia="zh-CN"/>
                    </w:rPr>
                    <w:t>涂覆</w:t>
                  </w:r>
                </w:p>
              </w:tc>
              <w:tc>
                <w:tcPr>
                  <w:tcW w:w="1161" w:type="pct"/>
                  <w:vAlign w:val="center"/>
                </w:tcPr>
                <w:p w14:paraId="772887BE">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sz w:val="21"/>
                      <w:szCs w:val="21"/>
                      <w:u w:val="single"/>
                    </w:rPr>
                    <w:t>HTF-450B</w:t>
                  </w:r>
                </w:p>
              </w:tc>
              <w:tc>
                <w:tcPr>
                  <w:tcW w:w="475" w:type="pct"/>
                  <w:vAlign w:val="center"/>
                </w:tcPr>
                <w:p w14:paraId="06AB6BEC">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5D3CCD8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i w:val="0"/>
                      <w:iCs w:val="0"/>
                      <w:color w:val="auto"/>
                      <w:kern w:val="0"/>
                      <w:sz w:val="21"/>
                      <w:szCs w:val="21"/>
                      <w:u w:val="single"/>
                      <w:lang w:val="en-US" w:eastAsia="zh-CN"/>
                    </w:rPr>
                    <w:t>2</w:t>
                  </w:r>
                </w:p>
              </w:tc>
            </w:tr>
            <w:tr w14:paraId="5A737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1" w:type="pct"/>
                  <w:vAlign w:val="center"/>
                </w:tcPr>
                <w:p w14:paraId="6CF265C4">
                  <w:pPr>
                    <w:pStyle w:val="40"/>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21</w:t>
                  </w:r>
                </w:p>
              </w:tc>
              <w:tc>
                <w:tcPr>
                  <w:tcW w:w="1262" w:type="pct"/>
                  <w:vAlign w:val="center"/>
                </w:tcPr>
                <w:p w14:paraId="05BF5328">
                  <w:pPr>
                    <w:pStyle w:val="7"/>
                    <w:keepNext w:val="0"/>
                    <w:keepLines w:val="0"/>
                    <w:pageBreakBefore w:val="0"/>
                    <w:kinsoku/>
                    <w:wordWrap/>
                    <w:overflowPunct/>
                    <w:topLinePunct w:val="0"/>
                    <w:autoSpaceDE/>
                    <w:autoSpaceDN/>
                    <w:bidi w:val="0"/>
                    <w:snapToGrid w:val="0"/>
                    <w:spacing w:before="0" w:after="0" w:line="240" w:lineRule="exact"/>
                    <w:ind w:right="0" w:rightChars="0"/>
                    <w:jc w:val="center"/>
                    <w:textAlignment w:val="auto"/>
                    <w:rPr>
                      <w:rFonts w:hint="default" w:ascii="Times New Roman" w:hAnsi="Times New Roman" w:eastAsia="宋体" w:cs="Times New Roman"/>
                      <w:snapToGrid w:val="0"/>
                      <w:color w:val="auto"/>
                      <w:sz w:val="21"/>
                      <w:szCs w:val="21"/>
                      <w:u w:val="single"/>
                      <w:lang w:val="en-US" w:eastAsia="zh-CN"/>
                    </w:rPr>
                  </w:pPr>
                  <w:r>
                    <w:rPr>
                      <w:rFonts w:hint="default" w:ascii="Times New Roman" w:hAnsi="Times New Roman" w:eastAsia="宋体" w:cs="Times New Roman"/>
                      <w:snapToGrid w:val="0"/>
                      <w:color w:val="auto"/>
                      <w:sz w:val="21"/>
                      <w:szCs w:val="21"/>
                      <w:u w:val="single"/>
                      <w:lang w:val="en-US" w:eastAsia="zh-CN"/>
                    </w:rPr>
                    <w:t>超声波清洗机</w:t>
                  </w:r>
                </w:p>
              </w:tc>
              <w:tc>
                <w:tcPr>
                  <w:tcW w:w="1161" w:type="pct"/>
                  <w:vAlign w:val="center"/>
                </w:tcPr>
                <w:p w14:paraId="5FBACA98">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清洗</w:t>
                  </w:r>
                </w:p>
              </w:tc>
              <w:tc>
                <w:tcPr>
                  <w:tcW w:w="1161" w:type="pct"/>
                  <w:vAlign w:val="center"/>
                </w:tcPr>
                <w:p w14:paraId="472B591F">
                  <w:pPr>
                    <w:keepNext w:val="0"/>
                    <w:keepLines w:val="0"/>
                    <w:pageBreakBefore w:val="0"/>
                    <w:kinsoku/>
                    <w:wordWrap/>
                    <w:overflowPunct/>
                    <w:topLinePunct w:val="0"/>
                    <w:autoSpaceDE/>
                    <w:autoSpaceDN/>
                    <w:bidi w:val="0"/>
                    <w:spacing w:line="240" w:lineRule="exact"/>
                    <w:ind w:right="0" w:rightChars="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w:t>
                  </w:r>
                </w:p>
              </w:tc>
              <w:tc>
                <w:tcPr>
                  <w:tcW w:w="475" w:type="pct"/>
                  <w:vAlign w:val="center"/>
                </w:tcPr>
                <w:p w14:paraId="32CD0233">
                  <w:pPr>
                    <w:keepNext w:val="0"/>
                    <w:keepLines w:val="0"/>
                    <w:pageBreakBefore w:val="0"/>
                    <w:widowControl w:val="0"/>
                    <w:kinsoku/>
                    <w:wordWrap/>
                    <w:overflowPunct/>
                    <w:topLinePunct w:val="0"/>
                    <w:autoSpaceDE/>
                    <w:autoSpaceDN/>
                    <w:bidi w:val="0"/>
                    <w:spacing w:line="240" w:lineRule="exact"/>
                    <w:ind w:left="0" w:leftChars="0" w:right="0" w:rightChars="0"/>
                    <w:jc w:val="center"/>
                    <w:textAlignment w:val="auto"/>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台</w:t>
                  </w:r>
                </w:p>
              </w:tc>
              <w:tc>
                <w:tcPr>
                  <w:tcW w:w="487" w:type="pct"/>
                  <w:vAlign w:val="center"/>
                </w:tcPr>
                <w:p w14:paraId="0993FDA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single"/>
                      <w:lang w:val="en-US" w:eastAsia="zh-CN"/>
                    </w:rPr>
                  </w:pPr>
                  <w:r>
                    <w:rPr>
                      <w:rFonts w:hint="default" w:ascii="Times New Roman" w:hAnsi="Times New Roman" w:eastAsia="宋体" w:cs="Times New Roman"/>
                      <w:i w:val="0"/>
                      <w:iCs w:val="0"/>
                      <w:color w:val="auto"/>
                      <w:kern w:val="0"/>
                      <w:sz w:val="21"/>
                      <w:szCs w:val="21"/>
                      <w:u w:val="single"/>
                      <w:lang w:val="en-US" w:eastAsia="zh-CN"/>
                    </w:rPr>
                    <w:t>1</w:t>
                  </w:r>
                </w:p>
              </w:tc>
            </w:tr>
          </w:tbl>
          <w:p w14:paraId="748A825E">
            <w:pPr>
              <w:pStyle w:val="2"/>
              <w:keepNext w:val="0"/>
              <w:keepLines w:val="0"/>
              <w:pageBreakBefore w:val="0"/>
              <w:widowControl w:val="0"/>
              <w:numPr>
                <w:ilvl w:val="0"/>
                <w:numId w:val="4"/>
              </w:numPr>
              <w:kinsoku/>
              <w:wordWrap/>
              <w:overflowPunct/>
              <w:topLinePunct w:val="0"/>
              <w:autoSpaceDE/>
              <w:autoSpaceDN/>
              <w:bidi w:val="0"/>
              <w:adjustRightInd/>
              <w:snapToGrid/>
              <w:ind w:left="0" w:firstLine="482" w:firstLineChars="200"/>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主要原辅材料及能源消耗</w:t>
            </w:r>
          </w:p>
          <w:p w14:paraId="1D421D67">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本项目主要原辅材料及能源消耗见表2-4。</w:t>
            </w:r>
          </w:p>
          <w:p w14:paraId="3D0D3F3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表2-4 主要原辅料消耗量</w:t>
            </w:r>
          </w:p>
          <w:tbl>
            <w:tblPr>
              <w:tblStyle w:val="17"/>
              <w:tblpPr w:leftFromText="180" w:rightFromText="180" w:vertAnchor="text" w:horzAnchor="page" w:tblpXSpec="center" w:tblpY="80"/>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9"/>
              <w:gridCol w:w="1281"/>
              <w:gridCol w:w="1713"/>
              <w:gridCol w:w="2021"/>
              <w:gridCol w:w="789"/>
              <w:gridCol w:w="878"/>
              <w:gridCol w:w="824"/>
            </w:tblGrid>
            <w:tr w14:paraId="3C035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Merge w:val="restart"/>
                  <w:vAlign w:val="center"/>
                </w:tcPr>
                <w:p w14:paraId="702ECC4A">
                  <w:pPr>
                    <w:pStyle w:val="4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3159" w:type="pct"/>
                  <w:gridSpan w:val="3"/>
                  <w:vAlign w:val="center"/>
                </w:tcPr>
                <w:p w14:paraId="40138116">
                  <w:pPr>
                    <w:pStyle w:val="4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材料</w:t>
                  </w:r>
                </w:p>
              </w:tc>
              <w:tc>
                <w:tcPr>
                  <w:tcW w:w="497" w:type="pct"/>
                  <w:vMerge w:val="restart"/>
                  <w:vAlign w:val="center"/>
                </w:tcPr>
                <w:p w14:paraId="443124F6">
                  <w:pPr>
                    <w:pStyle w:val="4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年用量</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t</w:t>
                  </w:r>
                  <w:r>
                    <w:rPr>
                      <w:rFonts w:hint="default" w:ascii="Times New Roman" w:hAnsi="Times New Roman" w:eastAsia="宋体" w:cs="Times New Roman"/>
                      <w:color w:val="auto"/>
                      <w:sz w:val="21"/>
                      <w:szCs w:val="21"/>
                      <w:lang w:eastAsia="zh-CN"/>
                    </w:rPr>
                    <w:t>）</w:t>
                  </w:r>
                </w:p>
              </w:tc>
              <w:tc>
                <w:tcPr>
                  <w:tcW w:w="553" w:type="pct"/>
                  <w:vMerge w:val="restart"/>
                  <w:vAlign w:val="center"/>
                </w:tcPr>
                <w:p w14:paraId="6275CA9D">
                  <w:pPr>
                    <w:pStyle w:val="4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最大储存量</w:t>
                  </w:r>
                </w:p>
              </w:tc>
              <w:tc>
                <w:tcPr>
                  <w:tcW w:w="519" w:type="pct"/>
                  <w:vMerge w:val="restart"/>
                  <w:vAlign w:val="center"/>
                </w:tcPr>
                <w:p w14:paraId="058E027D">
                  <w:pPr>
                    <w:pStyle w:val="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储存位置</w:t>
                  </w:r>
                </w:p>
              </w:tc>
            </w:tr>
            <w:tr w14:paraId="6234A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Merge w:val="continue"/>
                  <w:vAlign w:val="center"/>
                </w:tcPr>
                <w:p w14:paraId="36804C7C">
                  <w:pPr>
                    <w:pStyle w:val="40"/>
                    <w:jc w:val="center"/>
                    <w:rPr>
                      <w:rFonts w:hint="default" w:ascii="Times New Roman" w:hAnsi="Times New Roman" w:eastAsia="宋体" w:cs="Times New Roman"/>
                      <w:color w:val="auto"/>
                      <w:sz w:val="21"/>
                      <w:szCs w:val="21"/>
                    </w:rPr>
                  </w:pPr>
                </w:p>
              </w:tc>
              <w:tc>
                <w:tcPr>
                  <w:tcW w:w="807" w:type="pct"/>
                  <w:vAlign w:val="center"/>
                </w:tcPr>
                <w:p w14:paraId="75A8A9A2">
                  <w:pPr>
                    <w:pStyle w:val="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名称</w:t>
                  </w:r>
                </w:p>
              </w:tc>
              <w:tc>
                <w:tcPr>
                  <w:tcW w:w="1079" w:type="pct"/>
                  <w:vAlign w:val="center"/>
                </w:tcPr>
                <w:p w14:paraId="685B7A71">
                  <w:pPr>
                    <w:pStyle w:val="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规格</w:t>
                  </w:r>
                </w:p>
              </w:tc>
              <w:tc>
                <w:tcPr>
                  <w:tcW w:w="1272" w:type="pct"/>
                  <w:vAlign w:val="center"/>
                </w:tcPr>
                <w:p w14:paraId="50CFB50C">
                  <w:pPr>
                    <w:pStyle w:val="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主要成分</w:t>
                  </w:r>
                </w:p>
              </w:tc>
              <w:tc>
                <w:tcPr>
                  <w:tcW w:w="497" w:type="pct"/>
                  <w:vMerge w:val="continue"/>
                  <w:vAlign w:val="center"/>
                </w:tcPr>
                <w:p w14:paraId="65206A07">
                  <w:pPr>
                    <w:pStyle w:val="40"/>
                    <w:jc w:val="center"/>
                    <w:rPr>
                      <w:rFonts w:hint="default" w:ascii="Times New Roman" w:hAnsi="Times New Roman" w:eastAsia="宋体" w:cs="Times New Roman"/>
                      <w:color w:val="auto"/>
                      <w:sz w:val="21"/>
                      <w:szCs w:val="21"/>
                    </w:rPr>
                  </w:pPr>
                </w:p>
              </w:tc>
              <w:tc>
                <w:tcPr>
                  <w:tcW w:w="553" w:type="pct"/>
                  <w:vMerge w:val="continue"/>
                  <w:vAlign w:val="center"/>
                </w:tcPr>
                <w:p w14:paraId="5A59A9D7">
                  <w:pPr>
                    <w:pStyle w:val="40"/>
                    <w:jc w:val="center"/>
                    <w:rPr>
                      <w:rFonts w:hint="default" w:ascii="Times New Roman" w:hAnsi="Times New Roman" w:eastAsia="宋体" w:cs="Times New Roman"/>
                      <w:color w:val="auto"/>
                      <w:sz w:val="21"/>
                      <w:szCs w:val="21"/>
                    </w:rPr>
                  </w:pPr>
                </w:p>
              </w:tc>
              <w:tc>
                <w:tcPr>
                  <w:tcW w:w="519" w:type="pct"/>
                  <w:vMerge w:val="continue"/>
                  <w:vAlign w:val="center"/>
                </w:tcPr>
                <w:p w14:paraId="1CF2133B">
                  <w:pPr>
                    <w:pStyle w:val="40"/>
                    <w:jc w:val="center"/>
                    <w:rPr>
                      <w:rFonts w:hint="default" w:ascii="Times New Roman" w:hAnsi="Times New Roman" w:eastAsia="宋体" w:cs="Times New Roman"/>
                      <w:color w:val="auto"/>
                      <w:sz w:val="21"/>
                      <w:szCs w:val="21"/>
                    </w:rPr>
                  </w:pPr>
                </w:p>
              </w:tc>
            </w:tr>
            <w:tr w14:paraId="78DA5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Align w:val="center"/>
                </w:tcPr>
                <w:p w14:paraId="3F588096">
                  <w:pPr>
                    <w:pStyle w:val="4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807" w:type="pct"/>
                  <w:vAlign w:val="center"/>
                </w:tcPr>
                <w:p w14:paraId="3DCBB19C">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无铅锡条</w:t>
                  </w:r>
                </w:p>
              </w:tc>
              <w:tc>
                <w:tcPr>
                  <w:tcW w:w="1079" w:type="pct"/>
                  <w:vAlign w:val="center"/>
                </w:tcPr>
                <w:p w14:paraId="15481E31">
                  <w:pPr>
                    <w:pStyle w:val="41"/>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SnAG3.0Cu0.5</w:t>
                  </w:r>
                </w:p>
              </w:tc>
              <w:tc>
                <w:tcPr>
                  <w:tcW w:w="1272" w:type="pct"/>
                  <w:vAlign w:val="center"/>
                </w:tcPr>
                <w:p w14:paraId="08F9D494">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锡</w:t>
                  </w:r>
                </w:p>
              </w:tc>
              <w:tc>
                <w:tcPr>
                  <w:tcW w:w="497" w:type="pct"/>
                  <w:vAlign w:val="center"/>
                </w:tcPr>
                <w:p w14:paraId="2E1A4562">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5.6</w:t>
                  </w:r>
                </w:p>
              </w:tc>
              <w:tc>
                <w:tcPr>
                  <w:tcW w:w="553" w:type="pct"/>
                  <w:vAlign w:val="center"/>
                </w:tcPr>
                <w:p w14:paraId="71565BA6">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1t</w:t>
                  </w:r>
                </w:p>
              </w:tc>
              <w:tc>
                <w:tcPr>
                  <w:tcW w:w="519" w:type="pct"/>
                  <w:vMerge w:val="restart"/>
                  <w:vAlign w:val="center"/>
                </w:tcPr>
                <w:p w14:paraId="411AABE2">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物料仓库区</w:t>
                  </w:r>
                </w:p>
              </w:tc>
            </w:tr>
            <w:tr w14:paraId="1F3D3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Align w:val="center"/>
                </w:tcPr>
                <w:p w14:paraId="1C9DC9ED">
                  <w:pPr>
                    <w:pStyle w:val="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807" w:type="pct"/>
                  <w:vAlign w:val="center"/>
                </w:tcPr>
                <w:p w14:paraId="6DBCAD7E">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无铅锡条</w:t>
                  </w:r>
                </w:p>
              </w:tc>
              <w:tc>
                <w:tcPr>
                  <w:tcW w:w="1079" w:type="pct"/>
                  <w:vAlign w:val="center"/>
                </w:tcPr>
                <w:p w14:paraId="3EACDED7">
                  <w:pPr>
                    <w:pStyle w:val="41"/>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SnAG3.0Cu0.7</w:t>
                  </w:r>
                </w:p>
              </w:tc>
              <w:tc>
                <w:tcPr>
                  <w:tcW w:w="1272" w:type="pct"/>
                  <w:vAlign w:val="center"/>
                </w:tcPr>
                <w:p w14:paraId="6E84E162">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锡</w:t>
                  </w:r>
                </w:p>
              </w:tc>
              <w:tc>
                <w:tcPr>
                  <w:tcW w:w="497" w:type="pct"/>
                  <w:vAlign w:val="center"/>
                </w:tcPr>
                <w:p w14:paraId="7BEC266B">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2.8</w:t>
                  </w:r>
                </w:p>
              </w:tc>
              <w:tc>
                <w:tcPr>
                  <w:tcW w:w="553" w:type="pct"/>
                  <w:vAlign w:val="center"/>
                </w:tcPr>
                <w:p w14:paraId="7894A896">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0.5t</w:t>
                  </w:r>
                </w:p>
              </w:tc>
              <w:tc>
                <w:tcPr>
                  <w:tcW w:w="519" w:type="pct"/>
                  <w:vMerge w:val="continue"/>
                  <w:vAlign w:val="center"/>
                </w:tcPr>
                <w:p w14:paraId="2BC1B9F4">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p>
              </w:tc>
            </w:tr>
            <w:tr w14:paraId="58DC3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Align w:val="center"/>
                </w:tcPr>
                <w:p w14:paraId="433E23C9">
                  <w:pPr>
                    <w:pStyle w:val="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807" w:type="pct"/>
                  <w:vAlign w:val="center"/>
                </w:tcPr>
                <w:p w14:paraId="53A5C85A">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无铅锡条</w:t>
                  </w:r>
                </w:p>
              </w:tc>
              <w:tc>
                <w:tcPr>
                  <w:tcW w:w="1079" w:type="pct"/>
                  <w:vAlign w:val="center"/>
                </w:tcPr>
                <w:p w14:paraId="181E9656">
                  <w:pPr>
                    <w:pStyle w:val="41"/>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SnAG3.0</w:t>
                  </w:r>
                </w:p>
              </w:tc>
              <w:tc>
                <w:tcPr>
                  <w:tcW w:w="1272" w:type="pct"/>
                  <w:vAlign w:val="center"/>
                </w:tcPr>
                <w:p w14:paraId="61F2A54E">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锡</w:t>
                  </w:r>
                </w:p>
              </w:tc>
              <w:tc>
                <w:tcPr>
                  <w:tcW w:w="497" w:type="pct"/>
                  <w:vAlign w:val="center"/>
                </w:tcPr>
                <w:p w14:paraId="70458B4B">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5.6</w:t>
                  </w:r>
                </w:p>
              </w:tc>
              <w:tc>
                <w:tcPr>
                  <w:tcW w:w="553" w:type="pct"/>
                  <w:vAlign w:val="center"/>
                </w:tcPr>
                <w:p w14:paraId="5B518D4F">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1t</w:t>
                  </w:r>
                </w:p>
              </w:tc>
              <w:tc>
                <w:tcPr>
                  <w:tcW w:w="519" w:type="pct"/>
                  <w:vMerge w:val="continue"/>
                  <w:vAlign w:val="center"/>
                </w:tcPr>
                <w:p w14:paraId="62A334B8">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p>
              </w:tc>
            </w:tr>
            <w:tr w14:paraId="76734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Align w:val="center"/>
                </w:tcPr>
                <w:p w14:paraId="1ECE6266">
                  <w:pPr>
                    <w:pStyle w:val="4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4</w:t>
                  </w:r>
                </w:p>
              </w:tc>
              <w:tc>
                <w:tcPr>
                  <w:tcW w:w="807" w:type="pct"/>
                  <w:vAlign w:val="center"/>
                </w:tcPr>
                <w:p w14:paraId="6E88515B">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锡膏</w:t>
                  </w:r>
                </w:p>
              </w:tc>
              <w:tc>
                <w:tcPr>
                  <w:tcW w:w="1079" w:type="pct"/>
                  <w:vAlign w:val="center"/>
                </w:tcPr>
                <w:p w14:paraId="43CE42B2">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TLF-204-171</w:t>
                  </w:r>
                </w:p>
              </w:tc>
              <w:tc>
                <w:tcPr>
                  <w:tcW w:w="1272" w:type="pct"/>
                  <w:vAlign w:val="center"/>
                </w:tcPr>
                <w:p w14:paraId="18B24413">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锡；合成树脂；乙二醇醚系溶剂</w:t>
                  </w:r>
                </w:p>
              </w:tc>
              <w:tc>
                <w:tcPr>
                  <w:tcW w:w="497" w:type="pct"/>
                  <w:vAlign w:val="center"/>
                </w:tcPr>
                <w:p w14:paraId="4FAB2A43">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0.929</w:t>
                  </w:r>
                </w:p>
              </w:tc>
              <w:tc>
                <w:tcPr>
                  <w:tcW w:w="553" w:type="pct"/>
                  <w:vAlign w:val="center"/>
                </w:tcPr>
                <w:p w14:paraId="1C3E7868">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highlight w:val="none"/>
                      <w:u w:val="single"/>
                      <w:lang w:val="en-US"/>
                    </w:rPr>
                  </w:pPr>
                  <w:r>
                    <w:rPr>
                      <w:rFonts w:hint="default" w:ascii="Times New Roman" w:hAnsi="Times New Roman" w:eastAsia="宋体" w:cs="Times New Roman"/>
                      <w:color w:val="auto"/>
                      <w:sz w:val="21"/>
                      <w:szCs w:val="21"/>
                      <w:lang w:val="en-US" w:eastAsia="zh-CN"/>
                    </w:rPr>
                    <w:t>0.1t</w:t>
                  </w:r>
                </w:p>
              </w:tc>
              <w:tc>
                <w:tcPr>
                  <w:tcW w:w="519" w:type="pct"/>
                  <w:vMerge w:val="continue"/>
                  <w:vAlign w:val="center"/>
                </w:tcPr>
                <w:p w14:paraId="473CA8EE">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p>
              </w:tc>
            </w:tr>
            <w:tr w14:paraId="596D8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Align w:val="center"/>
                </w:tcPr>
                <w:p w14:paraId="5C4002C0">
                  <w:pPr>
                    <w:pStyle w:val="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807" w:type="pct"/>
                  <w:vAlign w:val="center"/>
                </w:tcPr>
                <w:p w14:paraId="59256F63">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无铅助焊剂</w:t>
                  </w:r>
                </w:p>
              </w:tc>
              <w:tc>
                <w:tcPr>
                  <w:tcW w:w="1079" w:type="pct"/>
                  <w:vAlign w:val="center"/>
                </w:tcPr>
                <w:p w14:paraId="56CF9AC9">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WSD850</w:t>
                  </w:r>
                </w:p>
              </w:tc>
              <w:tc>
                <w:tcPr>
                  <w:tcW w:w="1272" w:type="pct"/>
                  <w:vAlign w:val="center"/>
                </w:tcPr>
                <w:p w14:paraId="70176AF8">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树脂；活化剂；起泡剂；混合醇溶剂</w:t>
                  </w:r>
                </w:p>
              </w:tc>
              <w:tc>
                <w:tcPr>
                  <w:tcW w:w="497" w:type="pct"/>
                  <w:vAlign w:val="center"/>
                </w:tcPr>
                <w:p w14:paraId="56783061">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0.4</w:t>
                  </w:r>
                </w:p>
              </w:tc>
              <w:tc>
                <w:tcPr>
                  <w:tcW w:w="553" w:type="pct"/>
                  <w:vAlign w:val="center"/>
                </w:tcPr>
                <w:p w14:paraId="7611DFE8">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400L</w:t>
                  </w:r>
                </w:p>
              </w:tc>
              <w:tc>
                <w:tcPr>
                  <w:tcW w:w="519" w:type="pct"/>
                  <w:vMerge w:val="continue"/>
                  <w:vAlign w:val="center"/>
                </w:tcPr>
                <w:p w14:paraId="69916D10">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p>
              </w:tc>
            </w:tr>
            <w:tr w14:paraId="0D54B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Align w:val="center"/>
                </w:tcPr>
                <w:p w14:paraId="73465304">
                  <w:pPr>
                    <w:pStyle w:val="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807" w:type="pct"/>
                  <w:vAlign w:val="center"/>
                </w:tcPr>
                <w:p w14:paraId="2FDFD9E4">
                  <w:pPr>
                    <w:keepNext w:val="0"/>
                    <w:keepLines w:val="0"/>
                    <w:pageBreakBefore w:val="0"/>
                    <w:widowControl w:val="0"/>
                    <w:kinsoku/>
                    <w:wordWrap/>
                    <w:overflowPunct/>
                    <w:topLinePunct w:val="0"/>
                    <w:bidi w:val="0"/>
                    <w:adjustRightInd w:val="0"/>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导热硅脂</w:t>
                  </w:r>
                </w:p>
              </w:tc>
              <w:tc>
                <w:tcPr>
                  <w:tcW w:w="1079" w:type="pct"/>
                  <w:vAlign w:val="center"/>
                </w:tcPr>
                <w:p w14:paraId="501C1E9E">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GG-1304 K1.1</w:t>
                  </w:r>
                </w:p>
              </w:tc>
              <w:tc>
                <w:tcPr>
                  <w:tcW w:w="1272" w:type="pct"/>
                  <w:vAlign w:val="center"/>
                </w:tcPr>
                <w:p w14:paraId="5F85DA1C">
                  <w:pPr>
                    <w:keepNext w:val="0"/>
                    <w:keepLines w:val="0"/>
                    <w:pageBreakBefore w:val="0"/>
                    <w:widowControl w:val="0"/>
                    <w:kinsoku/>
                    <w:wordWrap/>
                    <w:overflowPunct/>
                    <w:topLinePunct w:val="0"/>
                    <w:bidi w:val="0"/>
                    <w:adjustRightInd w:val="0"/>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聚二甲基硅氧烷；氧化锌；氧化铝</w:t>
                  </w:r>
                </w:p>
              </w:tc>
              <w:tc>
                <w:tcPr>
                  <w:tcW w:w="497" w:type="pct"/>
                  <w:vAlign w:val="center"/>
                </w:tcPr>
                <w:p w14:paraId="47C176EA">
                  <w:pPr>
                    <w:keepNext w:val="0"/>
                    <w:keepLines w:val="0"/>
                    <w:pageBreakBefore w:val="0"/>
                    <w:widowControl w:val="0"/>
                    <w:kinsoku/>
                    <w:wordWrap/>
                    <w:overflowPunct/>
                    <w:topLinePunct w:val="0"/>
                    <w:bidi w:val="0"/>
                    <w:adjustRightInd w:val="0"/>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0.569</w:t>
                  </w:r>
                </w:p>
              </w:tc>
              <w:tc>
                <w:tcPr>
                  <w:tcW w:w="553" w:type="pct"/>
                  <w:vAlign w:val="center"/>
                </w:tcPr>
                <w:p w14:paraId="4D2779C4">
                  <w:pPr>
                    <w:keepNext w:val="0"/>
                    <w:keepLines w:val="0"/>
                    <w:pageBreakBefore w:val="0"/>
                    <w:widowControl w:val="0"/>
                    <w:kinsoku/>
                    <w:wordWrap/>
                    <w:overflowPunct/>
                    <w:topLinePunct w:val="0"/>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0.05t</w:t>
                  </w:r>
                </w:p>
              </w:tc>
              <w:tc>
                <w:tcPr>
                  <w:tcW w:w="519" w:type="pct"/>
                  <w:vMerge w:val="continue"/>
                  <w:vAlign w:val="center"/>
                </w:tcPr>
                <w:p w14:paraId="1EC56F3D">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p>
              </w:tc>
            </w:tr>
            <w:tr w14:paraId="02FC9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Align w:val="center"/>
                </w:tcPr>
                <w:p w14:paraId="559EC3CA">
                  <w:pPr>
                    <w:pStyle w:val="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807" w:type="pct"/>
                  <w:vAlign w:val="center"/>
                </w:tcPr>
                <w:p w14:paraId="3C6269CC">
                  <w:pPr>
                    <w:keepNext w:val="0"/>
                    <w:keepLines w:val="0"/>
                    <w:pageBreakBefore w:val="0"/>
                    <w:widowControl w:val="0"/>
                    <w:kinsoku/>
                    <w:wordWrap/>
                    <w:overflowPunct/>
                    <w:topLinePunct w:val="0"/>
                    <w:bidi w:val="0"/>
                    <w:adjustRightInd w:val="0"/>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三防UV胶</w:t>
                  </w:r>
                </w:p>
              </w:tc>
              <w:tc>
                <w:tcPr>
                  <w:tcW w:w="1079" w:type="pct"/>
                  <w:vAlign w:val="center"/>
                </w:tcPr>
                <w:p w14:paraId="152C4F46">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BT51-00UV-100T</w:t>
                  </w:r>
                </w:p>
              </w:tc>
              <w:tc>
                <w:tcPr>
                  <w:tcW w:w="1272" w:type="pct"/>
                  <w:vAlign w:val="center"/>
                </w:tcPr>
                <w:p w14:paraId="7C0C837C">
                  <w:pPr>
                    <w:keepNext w:val="0"/>
                    <w:keepLines w:val="0"/>
                    <w:pageBreakBefore w:val="0"/>
                    <w:widowControl w:val="0"/>
                    <w:kinsoku/>
                    <w:wordWrap/>
                    <w:overflowPunct/>
                    <w:topLinePunct w:val="0"/>
                    <w:bidi w:val="0"/>
                    <w:adjustRightInd w:val="0"/>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丙烯酸酯单体；聚氨酯单体；丙烯酸化低聚物</w:t>
                  </w:r>
                </w:p>
              </w:tc>
              <w:tc>
                <w:tcPr>
                  <w:tcW w:w="497" w:type="pct"/>
                  <w:vAlign w:val="center"/>
                </w:tcPr>
                <w:p w14:paraId="5333D142">
                  <w:pPr>
                    <w:keepNext w:val="0"/>
                    <w:keepLines w:val="0"/>
                    <w:pageBreakBefore w:val="0"/>
                    <w:widowControl w:val="0"/>
                    <w:kinsoku/>
                    <w:wordWrap/>
                    <w:overflowPunct/>
                    <w:topLinePunct w:val="0"/>
                    <w:bidi w:val="0"/>
                    <w:adjustRightInd w:val="0"/>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3.332</w:t>
                  </w:r>
                </w:p>
              </w:tc>
              <w:tc>
                <w:tcPr>
                  <w:tcW w:w="553" w:type="pct"/>
                  <w:vAlign w:val="center"/>
                </w:tcPr>
                <w:p w14:paraId="6DB71C6F">
                  <w:pPr>
                    <w:keepNext w:val="0"/>
                    <w:keepLines w:val="0"/>
                    <w:pageBreakBefore w:val="0"/>
                    <w:widowControl w:val="0"/>
                    <w:kinsoku/>
                    <w:wordWrap/>
                    <w:overflowPunct/>
                    <w:topLinePunct w:val="0"/>
                    <w:bidi w:val="0"/>
                    <w:adjustRightInd w:val="0"/>
                    <w:snapToGrid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0.12t</w:t>
                  </w:r>
                </w:p>
              </w:tc>
              <w:tc>
                <w:tcPr>
                  <w:tcW w:w="519" w:type="pct"/>
                  <w:vMerge w:val="restart"/>
                  <w:vAlign w:val="center"/>
                </w:tcPr>
                <w:p w14:paraId="5401E24D">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危险化学品仓库防爆柜</w:t>
                  </w:r>
                </w:p>
              </w:tc>
            </w:tr>
            <w:tr w14:paraId="21D0A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Align w:val="center"/>
                </w:tcPr>
                <w:p w14:paraId="22B5BBD2">
                  <w:pPr>
                    <w:pStyle w:val="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p>
              </w:tc>
              <w:tc>
                <w:tcPr>
                  <w:tcW w:w="807" w:type="pct"/>
                  <w:vAlign w:val="center"/>
                </w:tcPr>
                <w:p w14:paraId="17CAF195">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酒精</w:t>
                  </w:r>
                </w:p>
              </w:tc>
              <w:tc>
                <w:tcPr>
                  <w:tcW w:w="1079" w:type="pct"/>
                  <w:vAlign w:val="center"/>
                </w:tcPr>
                <w:p w14:paraId="656EFF00">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HS-100</w:t>
                  </w:r>
                </w:p>
              </w:tc>
              <w:tc>
                <w:tcPr>
                  <w:tcW w:w="1272" w:type="pct"/>
                  <w:vAlign w:val="center"/>
                </w:tcPr>
                <w:p w14:paraId="308CC3E2">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乙醇</w:t>
                  </w:r>
                </w:p>
              </w:tc>
              <w:tc>
                <w:tcPr>
                  <w:tcW w:w="497" w:type="pct"/>
                  <w:vAlign w:val="center"/>
                </w:tcPr>
                <w:p w14:paraId="6A70B1FD">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0.150</w:t>
                  </w:r>
                </w:p>
              </w:tc>
              <w:tc>
                <w:tcPr>
                  <w:tcW w:w="553" w:type="pct"/>
                  <w:vAlign w:val="center"/>
                </w:tcPr>
                <w:p w14:paraId="54E60A37">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50L</w:t>
                  </w:r>
                </w:p>
              </w:tc>
              <w:tc>
                <w:tcPr>
                  <w:tcW w:w="519" w:type="pct"/>
                  <w:vMerge w:val="continue"/>
                  <w:vAlign w:val="center"/>
                </w:tcPr>
                <w:p w14:paraId="20A42EDD">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p>
              </w:tc>
            </w:tr>
            <w:tr w14:paraId="46DD7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Align w:val="center"/>
                </w:tcPr>
                <w:p w14:paraId="0524195C">
                  <w:pPr>
                    <w:pStyle w:val="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w:t>
                  </w:r>
                </w:p>
              </w:tc>
              <w:tc>
                <w:tcPr>
                  <w:tcW w:w="807" w:type="pct"/>
                  <w:vAlign w:val="center"/>
                </w:tcPr>
                <w:p w14:paraId="25ABE625">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T5（酒精）</w:t>
                  </w:r>
                </w:p>
              </w:tc>
              <w:tc>
                <w:tcPr>
                  <w:tcW w:w="1079" w:type="pct"/>
                  <w:vAlign w:val="center"/>
                </w:tcPr>
                <w:p w14:paraId="26D313AB">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浓度99.9%</w:t>
                  </w:r>
                </w:p>
              </w:tc>
              <w:tc>
                <w:tcPr>
                  <w:tcW w:w="1272" w:type="pct"/>
                  <w:vAlign w:val="center"/>
                </w:tcPr>
                <w:p w14:paraId="684F0C1A">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乙醇</w:t>
                  </w:r>
                </w:p>
              </w:tc>
              <w:tc>
                <w:tcPr>
                  <w:tcW w:w="497" w:type="pct"/>
                  <w:vAlign w:val="center"/>
                </w:tcPr>
                <w:p w14:paraId="6758A649">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1.120</w:t>
                  </w:r>
                </w:p>
              </w:tc>
              <w:tc>
                <w:tcPr>
                  <w:tcW w:w="553" w:type="pct"/>
                  <w:vAlign w:val="center"/>
                </w:tcPr>
                <w:p w14:paraId="743172B4">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600L</w:t>
                  </w:r>
                </w:p>
              </w:tc>
              <w:tc>
                <w:tcPr>
                  <w:tcW w:w="519" w:type="pct"/>
                  <w:vMerge w:val="continue"/>
                  <w:vAlign w:val="center"/>
                </w:tcPr>
                <w:p w14:paraId="0601A824">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p>
              </w:tc>
            </w:tr>
            <w:tr w14:paraId="3CB9E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Align w:val="center"/>
                </w:tcPr>
                <w:p w14:paraId="7EE5E2C2">
                  <w:pPr>
                    <w:pStyle w:val="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807" w:type="pct"/>
                  <w:vAlign w:val="center"/>
                </w:tcPr>
                <w:p w14:paraId="2749C619">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水基清洗剂</w:t>
                  </w:r>
                </w:p>
              </w:tc>
              <w:tc>
                <w:tcPr>
                  <w:tcW w:w="1079" w:type="pct"/>
                  <w:vAlign w:val="center"/>
                </w:tcPr>
                <w:p w14:paraId="485B5A91">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T3</w:t>
                  </w:r>
                </w:p>
              </w:tc>
              <w:tc>
                <w:tcPr>
                  <w:tcW w:w="1272" w:type="pct"/>
                  <w:vAlign w:val="center"/>
                </w:tcPr>
                <w:p w14:paraId="2349C1F4">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氢氧化钠；水</w:t>
                  </w:r>
                </w:p>
              </w:tc>
              <w:tc>
                <w:tcPr>
                  <w:tcW w:w="497" w:type="pct"/>
                  <w:vAlign w:val="center"/>
                </w:tcPr>
                <w:p w14:paraId="0446C061">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0.4</w:t>
                  </w:r>
                </w:p>
              </w:tc>
              <w:tc>
                <w:tcPr>
                  <w:tcW w:w="553" w:type="pct"/>
                  <w:vAlign w:val="center"/>
                </w:tcPr>
                <w:p w14:paraId="17728317">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200L</w:t>
                  </w:r>
                </w:p>
              </w:tc>
              <w:tc>
                <w:tcPr>
                  <w:tcW w:w="519" w:type="pct"/>
                  <w:vMerge w:val="continue"/>
                  <w:vAlign w:val="center"/>
                </w:tcPr>
                <w:p w14:paraId="114FE09F">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p>
              </w:tc>
            </w:tr>
            <w:tr w14:paraId="1A450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Align w:val="center"/>
                </w:tcPr>
                <w:p w14:paraId="31AB2EC7">
                  <w:pPr>
                    <w:pStyle w:val="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w:t>
                  </w:r>
                </w:p>
              </w:tc>
              <w:tc>
                <w:tcPr>
                  <w:tcW w:w="807" w:type="pct"/>
                  <w:vAlign w:val="center"/>
                </w:tcPr>
                <w:p w14:paraId="37B5ABA4">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稀释剂</w:t>
                  </w:r>
                </w:p>
              </w:tc>
              <w:tc>
                <w:tcPr>
                  <w:tcW w:w="1079" w:type="pct"/>
                  <w:vAlign w:val="center"/>
                </w:tcPr>
                <w:p w14:paraId="3629C921">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TQ-5</w:t>
                  </w:r>
                </w:p>
              </w:tc>
              <w:tc>
                <w:tcPr>
                  <w:tcW w:w="1272" w:type="pct"/>
                  <w:vAlign w:val="center"/>
                </w:tcPr>
                <w:p w14:paraId="4348EB83">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溶剂油</w:t>
                  </w:r>
                </w:p>
              </w:tc>
              <w:tc>
                <w:tcPr>
                  <w:tcW w:w="497" w:type="pct"/>
                  <w:vAlign w:val="center"/>
                </w:tcPr>
                <w:p w14:paraId="0F9EC022">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0.03</w:t>
                  </w:r>
                </w:p>
              </w:tc>
              <w:tc>
                <w:tcPr>
                  <w:tcW w:w="553" w:type="pct"/>
                  <w:vAlign w:val="center"/>
                </w:tcPr>
                <w:p w14:paraId="51F2C147">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0.02t</w:t>
                  </w:r>
                </w:p>
              </w:tc>
              <w:tc>
                <w:tcPr>
                  <w:tcW w:w="519" w:type="pct"/>
                  <w:vMerge w:val="continue"/>
                  <w:vAlign w:val="center"/>
                </w:tcPr>
                <w:p w14:paraId="6AD38E5F">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p>
              </w:tc>
            </w:tr>
            <w:tr w14:paraId="3B951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Align w:val="center"/>
                </w:tcPr>
                <w:p w14:paraId="4DA1C7A3">
                  <w:pPr>
                    <w:pStyle w:val="4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807" w:type="pct"/>
                  <w:vAlign w:val="center"/>
                </w:tcPr>
                <w:p w14:paraId="41553D80">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脱漆剂</w:t>
                  </w:r>
                </w:p>
              </w:tc>
              <w:tc>
                <w:tcPr>
                  <w:tcW w:w="1079" w:type="pct"/>
                  <w:vAlign w:val="center"/>
                </w:tcPr>
                <w:p w14:paraId="65038F54">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Decan PCL</w:t>
                  </w:r>
                </w:p>
              </w:tc>
              <w:tc>
                <w:tcPr>
                  <w:tcW w:w="1272" w:type="pct"/>
                  <w:vAlign w:val="center"/>
                </w:tcPr>
                <w:p w14:paraId="05454138">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二氯甲烷；1-甲氧基-2-丙醇</w:t>
                  </w:r>
                </w:p>
              </w:tc>
              <w:tc>
                <w:tcPr>
                  <w:tcW w:w="497" w:type="pct"/>
                  <w:vAlign w:val="center"/>
                </w:tcPr>
                <w:p w14:paraId="455E9548">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0.01</w:t>
                  </w:r>
                </w:p>
              </w:tc>
              <w:tc>
                <w:tcPr>
                  <w:tcW w:w="553" w:type="pct"/>
                  <w:vAlign w:val="center"/>
                </w:tcPr>
                <w:p w14:paraId="64C07E83">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8L</w:t>
                  </w:r>
                </w:p>
              </w:tc>
              <w:tc>
                <w:tcPr>
                  <w:tcW w:w="519" w:type="pct"/>
                  <w:vMerge w:val="continue"/>
                  <w:vAlign w:val="center"/>
                </w:tcPr>
                <w:p w14:paraId="3493A0C7">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p>
              </w:tc>
            </w:tr>
            <w:tr w14:paraId="1917C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Align w:val="center"/>
                </w:tcPr>
                <w:p w14:paraId="4BDCFCD4">
                  <w:pPr>
                    <w:pStyle w:val="4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13</w:t>
                  </w:r>
                </w:p>
              </w:tc>
              <w:tc>
                <w:tcPr>
                  <w:tcW w:w="807" w:type="pct"/>
                  <w:vAlign w:val="center"/>
                </w:tcPr>
                <w:p w14:paraId="0297466A">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UV三防漆</w:t>
                  </w:r>
                </w:p>
              </w:tc>
              <w:tc>
                <w:tcPr>
                  <w:tcW w:w="1079" w:type="pct"/>
                  <w:vAlign w:val="center"/>
                </w:tcPr>
                <w:p w14:paraId="447AE7B2">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H-7</w:t>
                  </w:r>
                </w:p>
              </w:tc>
              <w:tc>
                <w:tcPr>
                  <w:tcW w:w="1272" w:type="pct"/>
                  <w:vAlign w:val="center"/>
                </w:tcPr>
                <w:p w14:paraId="743D442F">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改性聚氨酯丙烯酸酯；UV 稀释剂</w:t>
                  </w:r>
                </w:p>
              </w:tc>
              <w:tc>
                <w:tcPr>
                  <w:tcW w:w="497" w:type="pct"/>
                  <w:vAlign w:val="center"/>
                </w:tcPr>
                <w:p w14:paraId="6FB98705">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1.106</w:t>
                  </w:r>
                </w:p>
              </w:tc>
              <w:tc>
                <w:tcPr>
                  <w:tcW w:w="553" w:type="pct"/>
                  <w:vAlign w:val="center"/>
                </w:tcPr>
                <w:p w14:paraId="19D18840">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30L</w:t>
                  </w:r>
                </w:p>
              </w:tc>
              <w:tc>
                <w:tcPr>
                  <w:tcW w:w="519" w:type="pct"/>
                  <w:vMerge w:val="continue"/>
                  <w:vAlign w:val="center"/>
                </w:tcPr>
                <w:p w14:paraId="75BBE258">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p>
              </w:tc>
            </w:tr>
            <w:tr w14:paraId="480F6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Align w:val="center"/>
                </w:tcPr>
                <w:p w14:paraId="4BFAD946">
                  <w:pPr>
                    <w:pStyle w:val="4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14</w:t>
                  </w:r>
                </w:p>
              </w:tc>
              <w:tc>
                <w:tcPr>
                  <w:tcW w:w="807" w:type="pct"/>
                  <w:vAlign w:val="center"/>
                </w:tcPr>
                <w:p w14:paraId="34861693">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阻燃导热液体灌封胶</w:t>
                  </w:r>
                </w:p>
              </w:tc>
              <w:tc>
                <w:tcPr>
                  <w:tcW w:w="1079" w:type="pct"/>
                  <w:vAlign w:val="center"/>
                </w:tcPr>
                <w:p w14:paraId="03125104">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TLN-230-2</w:t>
                  </w:r>
                </w:p>
              </w:tc>
              <w:tc>
                <w:tcPr>
                  <w:tcW w:w="1272" w:type="pct"/>
                  <w:vAlign w:val="center"/>
                </w:tcPr>
                <w:p w14:paraId="58FABF0B">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聚二甲基硅氧烷；聚甲基氢硅氧烷；氧化铝</w:t>
                  </w:r>
                </w:p>
              </w:tc>
              <w:tc>
                <w:tcPr>
                  <w:tcW w:w="497" w:type="pct"/>
                  <w:vAlign w:val="center"/>
                </w:tcPr>
                <w:p w14:paraId="56D4B53F">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11.21</w:t>
                  </w:r>
                </w:p>
              </w:tc>
              <w:tc>
                <w:tcPr>
                  <w:tcW w:w="553" w:type="pct"/>
                  <w:vAlign w:val="center"/>
                </w:tcPr>
                <w:p w14:paraId="396A46BE">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0.4t</w:t>
                  </w:r>
                </w:p>
              </w:tc>
              <w:tc>
                <w:tcPr>
                  <w:tcW w:w="519" w:type="pct"/>
                  <w:vMerge w:val="restart"/>
                  <w:vAlign w:val="center"/>
                </w:tcPr>
                <w:p w14:paraId="5B8704A2">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物料仓库区</w:t>
                  </w:r>
                </w:p>
              </w:tc>
            </w:tr>
            <w:tr w14:paraId="4F1A9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Align w:val="center"/>
                </w:tcPr>
                <w:p w14:paraId="6FF5ED53">
                  <w:pPr>
                    <w:pStyle w:val="4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15</w:t>
                  </w:r>
                </w:p>
              </w:tc>
              <w:tc>
                <w:tcPr>
                  <w:tcW w:w="807" w:type="pct"/>
                  <w:vAlign w:val="center"/>
                </w:tcPr>
                <w:p w14:paraId="0161437E">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自流灌封胶</w:t>
                  </w:r>
                  <w:r>
                    <w:rPr>
                      <w:rFonts w:hint="default" w:ascii="Times New Roman" w:hAnsi="Times New Roman" w:eastAsia="宋体" w:cs="Times New Roman"/>
                      <w:color w:val="auto"/>
                      <w:sz w:val="21"/>
                      <w:szCs w:val="21"/>
                      <w:lang w:val="en-US" w:eastAsia="zh-CN"/>
                    </w:rPr>
                    <w:br w:type="textWrapping"/>
                  </w:r>
                  <w:r>
                    <w:rPr>
                      <w:rFonts w:hint="default" w:ascii="Times New Roman" w:hAnsi="Times New Roman" w:eastAsia="宋体" w:cs="Times New Roman"/>
                      <w:color w:val="auto"/>
                      <w:sz w:val="21"/>
                      <w:szCs w:val="21"/>
                      <w:lang w:val="en-US" w:eastAsia="zh-CN"/>
                    </w:rPr>
                    <w:t>（硅酮胶）</w:t>
                  </w:r>
                </w:p>
              </w:tc>
              <w:tc>
                <w:tcPr>
                  <w:tcW w:w="1079" w:type="pct"/>
                  <w:vAlign w:val="center"/>
                </w:tcPr>
                <w:p w14:paraId="48C718A4">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JD-515</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JD-715</w:t>
                  </w:r>
                </w:p>
              </w:tc>
              <w:tc>
                <w:tcPr>
                  <w:tcW w:w="1272" w:type="pct"/>
                  <w:vAlign w:val="center"/>
                </w:tcPr>
                <w:p w14:paraId="42802957">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羟基封端的聚二甲基硅氧烷；碳酸钙</w:t>
                  </w:r>
                </w:p>
              </w:tc>
              <w:tc>
                <w:tcPr>
                  <w:tcW w:w="497" w:type="pct"/>
                  <w:vAlign w:val="center"/>
                </w:tcPr>
                <w:p w14:paraId="487B3B24">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38</w:t>
                  </w:r>
                </w:p>
              </w:tc>
              <w:tc>
                <w:tcPr>
                  <w:tcW w:w="553" w:type="pct"/>
                  <w:vAlign w:val="center"/>
                </w:tcPr>
                <w:p w14:paraId="1CD13BBE">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0.4t</w:t>
                  </w:r>
                </w:p>
              </w:tc>
              <w:tc>
                <w:tcPr>
                  <w:tcW w:w="519" w:type="pct"/>
                  <w:vMerge w:val="continue"/>
                  <w:vAlign w:val="center"/>
                </w:tcPr>
                <w:p w14:paraId="32A54E1E">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p>
              </w:tc>
            </w:tr>
            <w:tr w14:paraId="742A3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Align w:val="center"/>
                </w:tcPr>
                <w:p w14:paraId="24257063">
                  <w:pPr>
                    <w:pStyle w:val="4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16</w:t>
                  </w:r>
                </w:p>
              </w:tc>
              <w:tc>
                <w:tcPr>
                  <w:tcW w:w="807" w:type="pct"/>
                  <w:vAlign w:val="center"/>
                </w:tcPr>
                <w:p w14:paraId="48AAA07A">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 xml:space="preserve">双组份导热凝胶 </w:t>
                  </w:r>
                </w:p>
              </w:tc>
              <w:tc>
                <w:tcPr>
                  <w:tcW w:w="1079" w:type="pct"/>
                  <w:vAlign w:val="center"/>
                </w:tcPr>
                <w:p w14:paraId="279CCB2E">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DF-3500LC-1200CC</w:t>
                  </w:r>
                </w:p>
              </w:tc>
              <w:tc>
                <w:tcPr>
                  <w:tcW w:w="1272" w:type="pct"/>
                  <w:vAlign w:val="center"/>
                </w:tcPr>
                <w:p w14:paraId="2CC33EB6">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导热填料；聚有机硅氧烷</w:t>
                  </w:r>
                </w:p>
              </w:tc>
              <w:tc>
                <w:tcPr>
                  <w:tcW w:w="497" w:type="pct"/>
                  <w:vAlign w:val="center"/>
                </w:tcPr>
                <w:p w14:paraId="35566968">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0.586</w:t>
                  </w:r>
                </w:p>
              </w:tc>
              <w:tc>
                <w:tcPr>
                  <w:tcW w:w="553" w:type="pct"/>
                  <w:vAlign w:val="center"/>
                </w:tcPr>
                <w:p w14:paraId="45749B0C">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0.02t</w:t>
                  </w:r>
                </w:p>
              </w:tc>
              <w:tc>
                <w:tcPr>
                  <w:tcW w:w="519" w:type="pct"/>
                  <w:vMerge w:val="continue"/>
                  <w:vAlign w:val="center"/>
                </w:tcPr>
                <w:p w14:paraId="18177792">
                  <w:pPr>
                    <w:keepNext w:val="0"/>
                    <w:keepLines w:val="0"/>
                    <w:pageBreakBefore w:val="0"/>
                    <w:widowControl w:val="0"/>
                    <w:kinsoku/>
                    <w:wordWrap/>
                    <w:overflowPunct/>
                    <w:topLinePunct w:val="0"/>
                    <w:bidi w:val="0"/>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p>
              </w:tc>
            </w:tr>
          </w:tbl>
          <w:p w14:paraId="2FCE547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主要辅料理化性质：</w:t>
            </w:r>
          </w:p>
          <w:p w14:paraId="028B436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无铅助焊剂：无色树脂2%，活化剂2%，混合醇溶剂93.5%等，醇类清香味液体，对水中生物有轻微毒性，闪火点60℉，自燃温度460℃；</w:t>
            </w:r>
          </w:p>
          <w:p w14:paraId="283A8B1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三防UV胶：丙烯酸酯单体50%~55%，聚氨酯单体35%~40%，丙烯酸化低聚物3%~5%，透明液体，对水生物有害，闪点102°C/215°F，自燃温度375℃；</w:t>
            </w:r>
          </w:p>
          <w:p w14:paraId="5FBD50B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水基清洗剂：氢氧化钠5%~20%，水80%~95%，无味液体，沸点范围105~110℃，蒸气压2hPa @ 20℃；</w:t>
            </w:r>
          </w:p>
          <w:p w14:paraId="28149180">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稀释剂：溶剂油100%，微黄色液体，有特殊气味，混合物，易燃液体，造成轻微皮肤刺激，可能造成皮肤过敏，对水环境危害（类别3）；</w:t>
            </w:r>
          </w:p>
          <w:p w14:paraId="7F2A341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脱漆剂：1-甲氧基-2-丙醇含量20%~50%，二氯甲烷含量50%~90%，无色透明液态，有微弱气味，闪点&gt;31℃（DIN 51755），燃烧/爆炸上下限 1.5-13.7%(v/v)，蒸气压30.55kPa @10℃，自燃温度：200℃（DIN 51794）；</w:t>
            </w:r>
          </w:p>
          <w:p w14:paraId="4BEA1ED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highlight w:val="red"/>
                <w:lang w:val="en-US" w:eastAsia="zh-CN"/>
              </w:rPr>
            </w:pPr>
            <w:r>
              <w:rPr>
                <w:rFonts w:hint="default" w:ascii="Times New Roman" w:hAnsi="Times New Roman" w:eastAsia="宋体" w:cs="Times New Roman"/>
                <w:color w:val="auto"/>
                <w:sz w:val="24"/>
                <w:szCs w:val="32"/>
                <w:highlight w:val="none"/>
                <w:lang w:val="en-US" w:eastAsia="zh-CN"/>
              </w:rPr>
              <w:t>UV三防漆：改性聚氨酯丙烯酸酯30%~50%，UV稀释剂20%~65%，浅黄色透明液体，pH6~7；</w:t>
            </w:r>
          </w:p>
          <w:p w14:paraId="34CF9E4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自流灌封胶：羟基封端的聚二甲基硅氧烷含量46%~50%，碳酸钙含量45%~60%，闪点＞200℃，沸点＞250℃，挥发度＜2%（200℃，8hr）。</w:t>
            </w:r>
          </w:p>
          <w:p w14:paraId="6B34097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highlight w:val="none"/>
                <w:u w:val="single"/>
                <w:lang w:val="en-US" w:eastAsia="zh-CN"/>
              </w:rPr>
            </w:pPr>
            <w:r>
              <w:rPr>
                <w:rFonts w:hint="default" w:ascii="Times New Roman" w:hAnsi="Times New Roman" w:eastAsia="宋体" w:cs="Times New Roman"/>
                <w:color w:val="auto"/>
                <w:sz w:val="24"/>
                <w:szCs w:val="32"/>
                <w:highlight w:val="none"/>
                <w:u w:val="single"/>
                <w:lang w:val="en-US" w:eastAsia="zh-CN"/>
              </w:rPr>
              <w:t>阻燃导热液体灌封胶：聚二甲基硅氧烷含量15%~45%；聚甲基氢硅氧烷含量1%~10%；氧化铝50%~85%，pH值中性，比重2.58±0.05。</w:t>
            </w:r>
          </w:p>
          <w:p w14:paraId="3BC833B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highlight w:val="none"/>
                <w:u w:val="single"/>
                <w:lang w:val="en-US" w:eastAsia="zh-CN"/>
              </w:rPr>
            </w:pPr>
            <w:r>
              <w:rPr>
                <w:rFonts w:hint="default" w:ascii="Times New Roman" w:hAnsi="Times New Roman" w:eastAsia="宋体" w:cs="Times New Roman"/>
                <w:color w:val="auto"/>
                <w:sz w:val="24"/>
                <w:szCs w:val="32"/>
                <w:highlight w:val="none"/>
                <w:u w:val="single"/>
                <w:lang w:val="en-US" w:eastAsia="zh-CN"/>
              </w:rPr>
              <w:t>双组份导热凝胶：导热填料＞85%；聚有机硅氧烷＞5%，沸点＞100℃，水溶性@20℃可忽略不计，挥发性小于1.0%。</w:t>
            </w:r>
          </w:p>
          <w:p w14:paraId="69DA86A9">
            <w:pPr>
              <w:pStyle w:val="2"/>
              <w:keepNext w:val="0"/>
              <w:keepLines w:val="0"/>
              <w:pageBreakBefore w:val="0"/>
              <w:widowControl w:val="0"/>
              <w:numPr>
                <w:ilvl w:val="0"/>
                <w:numId w:val="4"/>
              </w:numPr>
              <w:kinsoku/>
              <w:wordWrap/>
              <w:overflowPunct/>
              <w:topLinePunct w:val="0"/>
              <w:autoSpaceDE/>
              <w:autoSpaceDN/>
              <w:bidi w:val="0"/>
              <w:adjustRightInd/>
              <w:snapToGrid w:val="0"/>
              <w:spacing w:line="360" w:lineRule="auto"/>
              <w:ind w:left="0" w:firstLine="482" w:firstLineChars="200"/>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劳动定员及工作制度</w:t>
            </w:r>
          </w:p>
          <w:p w14:paraId="59031E4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本项目劳动定员504人，就餐采用统一外购，园区食堂提供用餐场所，不在厂区住宿。年工作天数312，日工作时间为24小时，实行两班倒，每班12小时。</w:t>
            </w:r>
          </w:p>
          <w:p w14:paraId="615FB4A7">
            <w:pPr>
              <w:pStyle w:val="2"/>
              <w:keepNext w:val="0"/>
              <w:keepLines w:val="0"/>
              <w:pageBreakBefore w:val="0"/>
              <w:widowControl w:val="0"/>
              <w:numPr>
                <w:ilvl w:val="0"/>
                <w:numId w:val="4"/>
              </w:numPr>
              <w:kinsoku/>
              <w:wordWrap/>
              <w:overflowPunct/>
              <w:topLinePunct w:val="0"/>
              <w:autoSpaceDE/>
              <w:autoSpaceDN/>
              <w:bidi w:val="0"/>
              <w:adjustRightInd/>
              <w:snapToGrid w:val="0"/>
              <w:spacing w:line="360" w:lineRule="auto"/>
              <w:ind w:left="0" w:firstLine="482" w:firstLineChars="200"/>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厂区平面布置</w:t>
            </w:r>
          </w:p>
          <w:p w14:paraId="39F9B45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highlight w:val="none"/>
                <w:u w:val="single"/>
                <w:lang w:val="en-US" w:eastAsia="zh-CN"/>
              </w:rPr>
            </w:pPr>
            <w:r>
              <w:rPr>
                <w:rFonts w:hint="default" w:ascii="Times New Roman" w:hAnsi="Times New Roman" w:eastAsia="宋体" w:cs="Times New Roman"/>
                <w:color w:val="auto"/>
                <w:sz w:val="24"/>
                <w:szCs w:val="32"/>
                <w:highlight w:val="none"/>
                <w:u w:val="single"/>
                <w:lang w:val="en-US" w:eastAsia="zh-CN"/>
              </w:rPr>
              <w:t>本项目厂房位于衡阳市高新区衡山科学城半导体产业园一期1#、6#标准厂房，建设8条SMT贴片生产线，7条DIP成品生产线，2条DIP小板线，2条NPI生产线（即DIP样品试制线）。</w:t>
            </w:r>
          </w:p>
          <w:p w14:paraId="4BC8BEB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highlight w:val="none"/>
                <w:u w:val="single"/>
                <w:lang w:val="en-US" w:eastAsia="zh-CN"/>
              </w:rPr>
            </w:pPr>
            <w:r>
              <w:rPr>
                <w:rFonts w:hint="default" w:ascii="Times New Roman" w:hAnsi="Times New Roman" w:eastAsia="宋体" w:cs="Times New Roman"/>
                <w:color w:val="auto"/>
                <w:sz w:val="24"/>
                <w:szCs w:val="32"/>
                <w:highlight w:val="none"/>
                <w:u w:val="single"/>
                <w:lang w:val="en-US" w:eastAsia="zh-CN"/>
              </w:rPr>
              <w:t>8条SMT贴片生产线和2条DIP小板线位于1#厂房二楼；4条DIP生产线位于1#厂房三楼，3条DIP生产线和2条NIP产线位于1#厂房四楼。</w:t>
            </w:r>
          </w:p>
          <w:p w14:paraId="321DDF6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highlight w:val="yellow"/>
                <w:lang w:val="en-US" w:eastAsia="zh-CN"/>
              </w:rPr>
            </w:pPr>
            <w:r>
              <w:rPr>
                <w:rFonts w:hint="default" w:ascii="Times New Roman" w:hAnsi="Times New Roman" w:eastAsia="宋体" w:cs="Times New Roman"/>
                <w:color w:val="auto"/>
                <w:sz w:val="24"/>
                <w:szCs w:val="32"/>
                <w:lang w:val="en-US" w:eastAsia="zh-CN"/>
              </w:rPr>
              <w:t>厂房功能分区包括：物料仓库区、成品仓库区、电子仓库、拆包分拣区、预加工车间、镭雕/烧录车间、SMT贴片车间、DIP成品加工车间、维修区、治具区、老化车间、办公室、会议室、配电房等，危废暂存间位于1#厂房外北侧。项目整体功能区划分合理，符合工艺流程和人流、物流需求，平面布置合理。具体平面布置见附图。</w:t>
            </w:r>
          </w:p>
          <w:p w14:paraId="3B23F501">
            <w:pPr>
              <w:pStyle w:val="2"/>
              <w:keepNext w:val="0"/>
              <w:keepLines w:val="0"/>
              <w:pageBreakBefore w:val="0"/>
              <w:widowControl w:val="0"/>
              <w:numPr>
                <w:ilvl w:val="0"/>
                <w:numId w:val="4"/>
              </w:numPr>
              <w:kinsoku/>
              <w:wordWrap/>
              <w:overflowPunct/>
              <w:topLinePunct w:val="0"/>
              <w:autoSpaceDE/>
              <w:autoSpaceDN/>
              <w:bidi w:val="0"/>
              <w:adjustRightInd/>
              <w:snapToGrid w:val="0"/>
              <w:spacing w:line="360" w:lineRule="auto"/>
              <w:ind w:left="0" w:firstLine="482" w:firstLineChars="200"/>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公用工程</w:t>
            </w:r>
          </w:p>
          <w:p w14:paraId="319EEB1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（1）给排水</w:t>
            </w:r>
          </w:p>
          <w:p w14:paraId="2B0451C0">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①给水</w:t>
            </w:r>
          </w:p>
          <w:p w14:paraId="3CC06CC0">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本项目水源依托园区供水设施，由衡阳市城南水厂供给。用水环节主要为生活用水。</w:t>
            </w:r>
          </w:p>
          <w:p w14:paraId="01E8DF2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本项目劳动定员504人，就餐采用统一外购，园区食堂提供用餐场所，不在厂区住宿，年工作312天。参照湖南省地方标准《用水定额》（DB43/T388-2020），用水量按45L/d·人计算，则生活用水量为22.68m</w:t>
            </w:r>
            <w:r>
              <w:rPr>
                <w:rFonts w:hint="default" w:ascii="Times New Roman" w:hAnsi="Times New Roman" w:eastAsia="宋体" w:cs="Times New Roman"/>
                <w:color w:val="auto"/>
                <w:sz w:val="24"/>
                <w:szCs w:val="32"/>
                <w:vertAlign w:val="superscript"/>
                <w:lang w:val="en-US" w:eastAsia="zh-CN"/>
              </w:rPr>
              <w:t>3</w:t>
            </w:r>
            <w:r>
              <w:rPr>
                <w:rFonts w:hint="default" w:ascii="Times New Roman" w:hAnsi="Times New Roman" w:eastAsia="宋体" w:cs="Times New Roman"/>
                <w:color w:val="auto"/>
                <w:sz w:val="24"/>
                <w:szCs w:val="32"/>
                <w:lang w:val="en-US" w:eastAsia="zh-CN"/>
              </w:rPr>
              <w:t>/d（7076.16m</w:t>
            </w:r>
            <w:r>
              <w:rPr>
                <w:rFonts w:hint="default" w:ascii="Times New Roman" w:hAnsi="Times New Roman" w:eastAsia="宋体" w:cs="Times New Roman"/>
                <w:color w:val="auto"/>
                <w:sz w:val="24"/>
                <w:szCs w:val="32"/>
                <w:vertAlign w:val="superscript"/>
                <w:lang w:val="en-US" w:eastAsia="zh-CN"/>
              </w:rPr>
              <w:t>3</w:t>
            </w:r>
            <w:r>
              <w:rPr>
                <w:rFonts w:hint="default" w:ascii="Times New Roman" w:hAnsi="Times New Roman" w:eastAsia="宋体" w:cs="Times New Roman"/>
                <w:color w:val="auto"/>
                <w:sz w:val="24"/>
                <w:szCs w:val="32"/>
                <w:lang w:val="en-US" w:eastAsia="zh-CN"/>
              </w:rPr>
              <w:t>/a）。</w:t>
            </w:r>
          </w:p>
          <w:p w14:paraId="7967D9B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②排水</w:t>
            </w:r>
          </w:p>
          <w:p w14:paraId="1B5652F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本项目排水体制采用雨污分流制。雨水通过雨水管网排放。生活污水产生系数0.8，产生量为18.144m</w:t>
            </w:r>
            <w:r>
              <w:rPr>
                <w:rFonts w:hint="default" w:ascii="Times New Roman" w:hAnsi="Times New Roman" w:eastAsia="宋体" w:cs="Times New Roman"/>
                <w:color w:val="auto"/>
                <w:sz w:val="24"/>
                <w:szCs w:val="32"/>
                <w:highlight w:val="none"/>
                <w:vertAlign w:val="superscript"/>
                <w:lang w:val="en-US" w:eastAsia="zh-CN"/>
              </w:rPr>
              <w:t>3</w:t>
            </w:r>
            <w:r>
              <w:rPr>
                <w:rFonts w:hint="default" w:ascii="Times New Roman" w:hAnsi="Times New Roman" w:eastAsia="宋体" w:cs="Times New Roman"/>
                <w:color w:val="auto"/>
                <w:sz w:val="24"/>
                <w:szCs w:val="32"/>
                <w:highlight w:val="none"/>
                <w:lang w:val="en-US" w:eastAsia="zh-CN"/>
              </w:rPr>
              <w:t>/d（5660.93m</w:t>
            </w:r>
            <w:r>
              <w:rPr>
                <w:rFonts w:hint="default" w:ascii="Times New Roman" w:hAnsi="Times New Roman" w:eastAsia="宋体" w:cs="Times New Roman"/>
                <w:color w:val="auto"/>
                <w:sz w:val="24"/>
                <w:szCs w:val="32"/>
                <w:highlight w:val="none"/>
                <w:vertAlign w:val="superscript"/>
                <w:lang w:val="en-US" w:eastAsia="zh-CN"/>
              </w:rPr>
              <w:t>3</w:t>
            </w:r>
            <w:r>
              <w:rPr>
                <w:rFonts w:hint="default" w:ascii="Times New Roman" w:hAnsi="Times New Roman" w:eastAsia="宋体" w:cs="Times New Roman"/>
                <w:color w:val="auto"/>
                <w:sz w:val="24"/>
                <w:szCs w:val="32"/>
                <w:highlight w:val="none"/>
                <w:lang w:val="en-US" w:eastAsia="zh-CN"/>
              </w:rPr>
              <w:t>/a），生活污水经化粪池处理达到《污水综合排放标准》 （GB8978-1996）中标准后，通过园区污水管网，排入铜桥港污水处理厂进一步处理。</w:t>
            </w:r>
          </w:p>
          <w:p w14:paraId="44F20BC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4"/>
                <w:szCs w:val="32"/>
                <w:lang w:val="en-US" w:eastAsia="zh-CN"/>
              </w:rPr>
              <w:t>③供电：本项目用电依托半导体产业园供电电网，年用电量约</w:t>
            </w:r>
            <w:r>
              <w:rPr>
                <w:rFonts w:hint="default" w:ascii="Times New Roman" w:hAnsi="Times New Roman" w:eastAsia="宋体" w:cs="Times New Roman"/>
                <w:color w:val="auto"/>
                <w:sz w:val="24"/>
                <w:szCs w:val="32"/>
                <w:highlight w:val="none"/>
                <w:lang w:val="en-US" w:eastAsia="zh-CN"/>
              </w:rPr>
              <w:t>113万kW·h</w:t>
            </w:r>
            <w:r>
              <w:rPr>
                <w:rFonts w:hint="default" w:ascii="Times New Roman" w:hAnsi="Times New Roman" w:eastAsia="宋体" w:cs="Times New Roman"/>
                <w:color w:val="auto"/>
                <w:sz w:val="24"/>
                <w:szCs w:val="32"/>
                <w:lang w:val="en-US" w:eastAsia="zh-CN"/>
              </w:rPr>
              <w:t>。</w:t>
            </w:r>
          </w:p>
        </w:tc>
      </w:tr>
      <w:tr w14:paraId="31A223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26" w:hRule="atLeast"/>
          <w:jc w:val="center"/>
        </w:trPr>
        <w:tc>
          <w:tcPr>
            <w:tcW w:w="823" w:type="dxa"/>
            <w:vAlign w:val="center"/>
          </w:tcPr>
          <w:p w14:paraId="12A4B655">
            <w:pPr>
              <w:pStyle w:val="15"/>
              <w:adjustRightInd w:val="0"/>
              <w:snapToGrid w:val="0"/>
              <w:spacing w:before="0" w:beforeAutospacing="0" w:after="0" w:afterAutospacing="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工艺流程和产排污环节</w:t>
            </w:r>
          </w:p>
        </w:tc>
        <w:tc>
          <w:tcPr>
            <w:tcW w:w="8161" w:type="dxa"/>
            <w:tcBorders>
              <w:right w:val="single" w:color="auto" w:sz="4" w:space="0"/>
            </w:tcBorders>
          </w:tcPr>
          <w:p w14:paraId="58F88D6B">
            <w:pPr>
              <w:pStyle w:val="2"/>
              <w:keepNext w:val="0"/>
              <w:keepLines w:val="0"/>
              <w:pageBreakBefore w:val="0"/>
              <w:widowControl w:val="0"/>
              <w:numPr>
                <w:ilvl w:val="0"/>
                <w:numId w:val="5"/>
              </w:numPr>
              <w:kinsoku/>
              <w:wordWrap/>
              <w:overflowPunct/>
              <w:topLinePunct w:val="0"/>
              <w:autoSpaceDE/>
              <w:autoSpaceDN/>
              <w:bidi w:val="0"/>
              <w:adjustRightInd/>
              <w:snapToGrid w:val="0"/>
              <w:spacing w:before="157" w:beforeLines="50" w:after="0" w:line="360" w:lineRule="auto"/>
              <w:ind w:firstLine="482" w:firstLineChars="200"/>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施工期</w:t>
            </w:r>
          </w:p>
          <w:p w14:paraId="38AE64D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项目在2座现有厂房内建设，施工期无土建工程，主要包括装修、设备安装、调试等，本项目施工期污染工序主要为设备安装产生的噪声和废包材等。</w:t>
            </w:r>
          </w:p>
          <w:p w14:paraId="4238427E">
            <w:pPr>
              <w:pStyle w:val="2"/>
              <w:keepNext w:val="0"/>
              <w:keepLines w:val="0"/>
              <w:pageBreakBefore w:val="0"/>
              <w:widowControl w:val="0"/>
              <w:numPr>
                <w:ilvl w:val="0"/>
                <w:numId w:val="5"/>
              </w:numPr>
              <w:kinsoku/>
              <w:wordWrap/>
              <w:overflowPunct/>
              <w:topLinePunct w:val="0"/>
              <w:autoSpaceDE/>
              <w:autoSpaceDN/>
              <w:bidi w:val="0"/>
              <w:adjustRightInd/>
              <w:snapToGrid w:val="0"/>
              <w:spacing w:before="157" w:beforeLines="50" w:after="0" w:line="360" w:lineRule="auto"/>
              <w:ind w:firstLine="482" w:firstLineChars="200"/>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运营期</w:t>
            </w:r>
          </w:p>
          <w:p w14:paraId="1E3CB57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电源制造工艺主要由SMT贴片和DIP成品装配组成，主要工艺包括印刷、贴片、回流焊、波峰焊、涂覆、性能测试等，具体工艺流程如下。</w:t>
            </w:r>
          </w:p>
          <w:tbl>
            <w:tblPr>
              <w:tblStyle w:val="18"/>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5"/>
            </w:tblGrid>
            <w:tr w14:paraId="68252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0" w:hRule="atLeast"/>
              </w:trPr>
              <w:tc>
                <w:tcPr>
                  <w:tcW w:w="7945" w:type="dxa"/>
                  <w:tcBorders>
                    <w:top w:val="nil"/>
                    <w:left w:val="nil"/>
                    <w:bottom w:val="nil"/>
                    <w:right w:val="nil"/>
                  </w:tcBorders>
                </w:tcPr>
                <w:p w14:paraId="0E862346">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661670</wp:posOffset>
                            </wp:positionH>
                            <wp:positionV relativeFrom="paragraph">
                              <wp:posOffset>221615</wp:posOffset>
                            </wp:positionV>
                            <wp:extent cx="292100" cy="224155"/>
                            <wp:effectExtent l="0" t="0" r="0" b="0"/>
                            <wp:wrapNone/>
                            <wp:docPr id="1027" name="文本框 119"/>
                            <wp:cNvGraphicFramePr/>
                            <a:graphic xmlns:a="http://schemas.openxmlformats.org/drawingml/2006/main">
                              <a:graphicData uri="http://schemas.microsoft.com/office/word/2010/wordprocessingShape">
                                <wps:wsp>
                                  <wps:cNvSpPr/>
                                  <wps:spPr>
                                    <a:xfrm>
                                      <a:off x="0" y="0"/>
                                      <a:ext cx="292100" cy="224154"/>
                                    </a:xfrm>
                                    <a:prstGeom prst="rect">
                                      <a:avLst/>
                                    </a:prstGeom>
                                    <a:ln>
                                      <a:noFill/>
                                    </a:ln>
                                  </wps:spPr>
                                  <wps:txbx>
                                    <w:txbxContent>
                                      <w:p w14:paraId="54E2BA0D">
                                        <w:pPr>
                                          <w:rPr>
                                            <w:rFonts w:hint="default" w:eastAsia="宋体"/>
                                            <w:lang w:val="en-US" w:eastAsia="zh-CN"/>
                                          </w:rPr>
                                        </w:pPr>
                                        <w:r>
                                          <w:rPr>
                                            <w:rFonts w:hint="eastAsia"/>
                                            <w:lang w:val="en-US" w:eastAsia="zh-CN"/>
                                          </w:rPr>
                                          <w:t>S</w:t>
                                        </w:r>
                                      </w:p>
                                    </w:txbxContent>
                                  </wps:txbx>
                                  <wps:bodyPr vert="horz" wrap="square" lIns="91440" tIns="45720" rIns="91440" bIns="45720" anchor="t">
                                    <a:noAutofit/>
                                  </wps:bodyPr>
                                </wps:wsp>
                              </a:graphicData>
                            </a:graphic>
                          </wp:anchor>
                        </w:drawing>
                      </mc:Choice>
                      <mc:Fallback>
                        <w:pict>
                          <v:rect id="文本框 119" o:spid="_x0000_s1026" o:spt="1" style="position:absolute;left:0pt;margin-left:52.1pt;margin-top:17.45pt;height:17.65pt;width:23pt;z-index:251660288;mso-width-relative:page;mso-height-relative:page;" filled="f" stroked="f" coordsize="21600,21600" o:gfxdata="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xfT/h2gAAAAkBAAAPAAAA&#10;AAAAAAEAIAAAACIAAABkcnMvZG93bnJldi54bWxQSwECFAAUAAAACACHTuJAsn0iLdoBAACkAwAA&#10;DgAAAAAAAAABACAAAAApAQAAZHJzL2Uyb0RvYy54bWxQSwUGAAAAAAYABgBZAQAAdQUAAAAA&#10;">
                            <v:fill on="f" focussize="0,0"/>
                            <v:stroke on="f"/>
                            <v:imagedata o:title=""/>
                            <o:lock v:ext="edit" aspectratio="f"/>
                            <v:textbox>
                              <w:txbxContent>
                                <w:p w14:paraId="54E2BA0D">
                                  <w:pPr>
                                    <w:rPr>
                                      <w:rFonts w:hint="default" w:eastAsia="宋体"/>
                                      <w:lang w:val="en-US" w:eastAsia="zh-CN"/>
                                    </w:rPr>
                                  </w:pPr>
                                  <w:r>
                                    <w:rPr>
                                      <w:rFonts w:hint="eastAsia"/>
                                      <w:lang w:val="en-US" w:eastAsia="zh-CN"/>
                                    </w:rPr>
                                    <w:t>S</w:t>
                                  </w:r>
                                </w:p>
                              </w:txbxContent>
                            </v:textbox>
                          </v:rect>
                        </w:pict>
                      </mc:Fallback>
                    </mc:AlternateContent>
                  </w:r>
                </w:p>
                <w:p w14:paraId="76954EA7">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234950</wp:posOffset>
                            </wp:positionH>
                            <wp:positionV relativeFrom="paragraph">
                              <wp:posOffset>1066800</wp:posOffset>
                            </wp:positionV>
                            <wp:extent cx="2298700" cy="826135"/>
                            <wp:effectExtent l="0" t="0" r="0" b="0"/>
                            <wp:wrapNone/>
                            <wp:docPr id="1028" name="文本框 89"/>
                            <wp:cNvGraphicFramePr/>
                            <a:graphic xmlns:a="http://schemas.openxmlformats.org/drawingml/2006/main">
                              <a:graphicData uri="http://schemas.microsoft.com/office/word/2010/wordprocessingShape">
                                <wps:wsp>
                                  <wps:cNvSpPr/>
                                  <wps:spPr>
                                    <a:xfrm>
                                      <a:off x="0" y="0"/>
                                      <a:ext cx="2298700" cy="826135"/>
                                    </a:xfrm>
                                    <a:prstGeom prst="rect">
                                      <a:avLst/>
                                    </a:prstGeom>
                                    <a:ln>
                                      <a:noFill/>
                                    </a:ln>
                                  </wps:spPr>
                                  <wps:txbx>
                                    <w:txbxContent>
                                      <w:p w14:paraId="783B2FE3">
                                        <w:pPr>
                                          <w:rPr>
                                            <w:rFonts w:hint="default"/>
                                            <w:lang w:val="en-US" w:eastAsia="zh-CN"/>
                                          </w:rPr>
                                        </w:pPr>
                                        <w:r>
                                          <w:rPr>
                                            <w:rFonts w:hint="eastAsia"/>
                                            <w:lang w:val="en-US" w:eastAsia="zh-CN"/>
                                          </w:rPr>
                                          <w:t>S：固废；G废气；</w:t>
                                        </w:r>
                                      </w:p>
                                      <w:p w14:paraId="1B5703F5">
                                        <w:pPr>
                                          <w:rPr>
                                            <w:rFonts w:hint="eastAsia"/>
                                            <w:lang w:val="en-US" w:eastAsia="zh-CN"/>
                                          </w:rPr>
                                        </w:pPr>
                                        <w:r>
                                          <w:rPr>
                                            <w:rFonts w:hint="eastAsia"/>
                                            <w:lang w:val="en-US" w:eastAsia="zh-CN"/>
                                          </w:rPr>
                                          <w:t>生产过程有噪声产生；</w:t>
                                        </w:r>
                                      </w:p>
                                      <w:p w14:paraId="737CBAE5">
                                        <w:pPr>
                                          <w:rPr>
                                            <w:rFonts w:hint="default" w:eastAsia="宋体"/>
                                            <w:lang w:val="en-US" w:eastAsia="zh-CN"/>
                                          </w:rPr>
                                        </w:pPr>
                                        <w:r>
                                          <w:rPr>
                                            <w:rFonts w:hint="eastAsia"/>
                                            <w:lang w:val="en-US" w:eastAsia="zh-CN"/>
                                          </w:rPr>
                                          <w:t>超声波使用含碱清洗剂，按危险固体废物处理</w:t>
                                        </w:r>
                                      </w:p>
                                    </w:txbxContent>
                                  </wps:txbx>
                                  <wps:bodyPr vert="horz" wrap="square" lIns="91440" tIns="45720" rIns="91440" bIns="45720" anchor="t">
                                    <a:noAutofit/>
                                  </wps:bodyPr>
                                </wps:wsp>
                              </a:graphicData>
                            </a:graphic>
                          </wp:anchor>
                        </w:drawing>
                      </mc:Choice>
                      <mc:Fallback>
                        <w:pict>
                          <v:rect id="文本框 89" o:spid="_x0000_s1026" o:spt="1" style="position:absolute;left:0pt;margin-left:18.5pt;margin-top:84pt;height:65.05pt;width:181pt;z-index:251660288;mso-width-relative:page;mso-height-relative:page;" filled="f" stroked="f" coordsize="21600,21600" o:gfxdata="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mQdza2gAAAAoBAAAPAAAA&#10;AAAAAAEAIAAAACIAAABkcnMvZG93bnJldi54bWxQSwECFAAUAAAACACHTuJAQBJbp9oBAACkAwAA&#10;DgAAAAAAAAABACAAAAApAQAAZHJzL2Uyb0RvYy54bWxQSwUGAAAAAAYABgBZAQAAdQUAAAAA&#10;">
                            <v:fill on="f" focussize="0,0"/>
                            <v:stroke on="f"/>
                            <v:imagedata o:title=""/>
                            <o:lock v:ext="edit" aspectratio="f"/>
                            <v:textbox>
                              <w:txbxContent>
                                <w:p w14:paraId="783B2FE3">
                                  <w:pPr>
                                    <w:rPr>
                                      <w:rFonts w:hint="default"/>
                                      <w:lang w:val="en-US" w:eastAsia="zh-CN"/>
                                    </w:rPr>
                                  </w:pPr>
                                  <w:r>
                                    <w:rPr>
                                      <w:rFonts w:hint="eastAsia"/>
                                      <w:lang w:val="en-US" w:eastAsia="zh-CN"/>
                                    </w:rPr>
                                    <w:t>S：固废；G废气；</w:t>
                                  </w:r>
                                </w:p>
                                <w:p w14:paraId="1B5703F5">
                                  <w:pPr>
                                    <w:rPr>
                                      <w:rFonts w:hint="eastAsia"/>
                                      <w:lang w:val="en-US" w:eastAsia="zh-CN"/>
                                    </w:rPr>
                                  </w:pPr>
                                  <w:r>
                                    <w:rPr>
                                      <w:rFonts w:hint="eastAsia"/>
                                      <w:lang w:val="en-US" w:eastAsia="zh-CN"/>
                                    </w:rPr>
                                    <w:t>生产过程有噪声产生；</w:t>
                                  </w:r>
                                </w:p>
                                <w:p w14:paraId="737CBAE5">
                                  <w:pPr>
                                    <w:rPr>
                                      <w:rFonts w:hint="default" w:eastAsia="宋体"/>
                                      <w:lang w:val="en-US" w:eastAsia="zh-CN"/>
                                    </w:rPr>
                                  </w:pPr>
                                  <w:r>
                                    <w:rPr>
                                      <w:rFonts w:hint="eastAsia"/>
                                      <w:lang w:val="en-US" w:eastAsia="zh-CN"/>
                                    </w:rPr>
                                    <w:t>超声波使用含碱清洗剂，按危险固体废物处理</w:t>
                                  </w:r>
                                </w:p>
                              </w:txbxContent>
                            </v:textbox>
                          </v:rect>
                        </w:pict>
                      </mc:Fallback>
                    </mc:AlternateContent>
                  </w:r>
                  <w:r>
                    <w:rPr>
                      <w:rFonts w:hint="default" w:ascii="Times New Roman" w:hAnsi="Times New Roman" w:eastAsia="宋体" w:cs="Times New Roman"/>
                      <w:color w:val="auto"/>
                    </w:rPr>
                    <mc:AlternateContent>
                      <mc:Choice Requires="wps">
                        <w:drawing>
                          <wp:anchor distT="0" distB="0" distL="0" distR="0" simplePos="0" relativeHeight="251660288" behindDoc="0" locked="0" layoutInCell="1" allowOverlap="1">
                            <wp:simplePos x="0" y="0"/>
                            <wp:positionH relativeFrom="column">
                              <wp:posOffset>336550</wp:posOffset>
                            </wp:positionH>
                            <wp:positionV relativeFrom="paragraph">
                              <wp:posOffset>154940</wp:posOffset>
                            </wp:positionV>
                            <wp:extent cx="979805" cy="266700"/>
                            <wp:effectExtent l="0" t="0" r="0" b="0"/>
                            <wp:wrapNone/>
                            <wp:docPr id="1029" name="文本框 54"/>
                            <wp:cNvGraphicFramePr/>
                            <a:graphic xmlns:a="http://schemas.openxmlformats.org/drawingml/2006/main">
                              <a:graphicData uri="http://schemas.microsoft.com/office/word/2010/wordprocessingShape">
                                <wps:wsp>
                                  <wps:cNvSpPr/>
                                  <wps:spPr>
                                    <a:xfrm>
                                      <a:off x="0" y="0"/>
                                      <a:ext cx="979804" cy="266700"/>
                                    </a:xfrm>
                                    <a:prstGeom prst="rect">
                                      <a:avLst/>
                                    </a:prstGeom>
                                    <a:ln>
                                      <a:noFill/>
                                    </a:ln>
                                  </wps:spPr>
                                  <wps:txbx>
                                    <w:txbxContent>
                                      <w:p w14:paraId="03F86F40">
                                        <w:pPr>
                                          <w:jc w:val="center"/>
                                          <w:rPr>
                                            <w:rFonts w:hint="default" w:eastAsia="宋体"/>
                                            <w:sz w:val="16"/>
                                            <w:szCs w:val="20"/>
                                            <w:u w:val="single"/>
                                            <w:lang w:val="en-US" w:eastAsia="zh-CN"/>
                                          </w:rPr>
                                        </w:pPr>
                                        <w:r>
                                          <w:rPr>
                                            <w:rFonts w:hint="eastAsia"/>
                                            <w:sz w:val="16"/>
                                            <w:szCs w:val="20"/>
                                            <w:u w:val="single"/>
                                            <w:lang w:val="en-US" w:eastAsia="zh-CN"/>
                                          </w:rPr>
                                          <w:t>超声波清洗钢网</w:t>
                                        </w:r>
                                      </w:p>
                                    </w:txbxContent>
                                  </wps:txbx>
                                  <wps:bodyPr vert="horz" wrap="square" lIns="91440" tIns="45720" rIns="91440" bIns="45720" anchor="t">
                                    <a:noAutofit/>
                                  </wps:bodyPr>
                                </wps:wsp>
                              </a:graphicData>
                            </a:graphic>
                          </wp:anchor>
                        </w:drawing>
                      </mc:Choice>
                      <mc:Fallback>
                        <w:pict>
                          <v:rect id="文本框 54" o:spid="_x0000_s1026" o:spt="1" style="position:absolute;left:0pt;margin-left:26.5pt;margin-top:12.2pt;height:21pt;width:77.15pt;z-index:251660288;mso-width-relative:page;mso-height-relative:page;" filled="f" stroked="f" coordsize="21600,21600" o:gfxdata="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wTmrgNoAAAAIAQAADwAA&#10;AAAAAAABACAAAAAiAAAAZHJzL2Rvd25yZXYueG1sUEsBAhQAFAAAAAgAh07iQB9VTjrbAQAAowMA&#10;AA4AAAAAAAAAAQAgAAAAKQEAAGRycy9lMm9Eb2MueG1sUEsFBgAAAAAGAAYAWQEAAHYFAAAAAA==&#10;">
                            <v:fill on="f" focussize="0,0"/>
                            <v:stroke on="f"/>
                            <v:imagedata o:title=""/>
                            <o:lock v:ext="edit" aspectratio="f"/>
                            <v:textbox>
                              <w:txbxContent>
                                <w:p w14:paraId="03F86F40">
                                  <w:pPr>
                                    <w:jc w:val="center"/>
                                    <w:rPr>
                                      <w:rFonts w:hint="default" w:eastAsia="宋体"/>
                                      <w:sz w:val="16"/>
                                      <w:szCs w:val="20"/>
                                      <w:u w:val="single"/>
                                      <w:lang w:val="en-US" w:eastAsia="zh-CN"/>
                                    </w:rPr>
                                  </w:pPr>
                                  <w:r>
                                    <w:rPr>
                                      <w:rFonts w:hint="eastAsia"/>
                                      <w:sz w:val="16"/>
                                      <w:szCs w:val="20"/>
                                      <w:u w:val="single"/>
                                      <w:lang w:val="en-US" w:eastAsia="zh-CN"/>
                                    </w:rPr>
                                    <w:t>超声波清洗钢网</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826135</wp:posOffset>
                            </wp:positionH>
                            <wp:positionV relativeFrom="paragraph">
                              <wp:posOffset>421640</wp:posOffset>
                            </wp:positionV>
                            <wp:extent cx="635" cy="204470"/>
                            <wp:effectExtent l="48895" t="0" r="64770" b="5080"/>
                            <wp:wrapNone/>
                            <wp:docPr id="1030" name="直接箭头连接符 103"/>
                            <wp:cNvGraphicFramePr/>
                            <a:graphic xmlns:a="http://schemas.openxmlformats.org/drawingml/2006/main">
                              <a:graphicData uri="http://schemas.microsoft.com/office/word/2010/wordprocessingShape">
                                <wps:wsp>
                                  <wps:cNvCnPr/>
                                  <wps:spPr>
                                    <a:xfrm flipH="1">
                                      <a:off x="0" y="0"/>
                                      <a:ext cx="635" cy="204470"/>
                                    </a:xfrm>
                                    <a:prstGeom prst="straightConnector1">
                                      <a:avLst/>
                                    </a:prstGeom>
                                    <a:ln w="9525" cap="flat" cmpd="sng">
                                      <a:solidFill>
                                        <a:srgbClr val="000000"/>
                                      </a:solidFill>
                                      <a:prstDash val="solid"/>
                                      <a:round/>
                                      <a:tailEnd type="arrow" w="med" len="med"/>
                                    </a:ln>
                                  </wps:spPr>
                                  <wps:bodyPr/>
                                </wps:wsp>
                              </a:graphicData>
                            </a:graphic>
                          </wp:anchor>
                        </w:drawing>
                      </mc:Choice>
                      <mc:Fallback>
                        <w:pict>
                          <v:shape id="直接箭头连接符 103" o:spid="_x0000_s1026" o:spt="32" type="#_x0000_t32" style="position:absolute;left:0pt;flip:x;margin-left:65.05pt;margin-top:33.2pt;height:16.1pt;width:0.05pt;z-index:251660288;mso-width-relative:page;mso-height-relative:page;" filled="f" stroked="t" coordsize="21600,21600" o:gfxdata="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0dYXUtcAAAAJAQAADwAAAAAAAAABACAAAAAiAAAA&#10;ZHJzL2Rvd25yZXYueG1sUEsBAhQAFAAAAAgAh07iQNlPv+MIAgAA3QMAAA4AAAAAAAAAAQAgAAAA&#10;JgEAAGRycy9lMm9Eb2MueG1sUEsFBgAAAAAGAAYAWQEAAKAFAAAAAA==&#10;">
                            <v:fill on="f" focussize="0,0"/>
                            <v:stroke color="#000000" joinstyle="round" endarrow="open"/>
                            <v:imagedata o:title=""/>
                            <o:lock v:ext="edit" aspectratio="f"/>
                          </v:shape>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3149600</wp:posOffset>
                            </wp:positionH>
                            <wp:positionV relativeFrom="paragraph">
                              <wp:posOffset>827405</wp:posOffset>
                            </wp:positionV>
                            <wp:extent cx="292100" cy="224155"/>
                            <wp:effectExtent l="0" t="0" r="0" b="0"/>
                            <wp:wrapNone/>
                            <wp:docPr id="1031" name="文本框 93"/>
                            <wp:cNvGraphicFramePr/>
                            <a:graphic xmlns:a="http://schemas.openxmlformats.org/drawingml/2006/main">
                              <a:graphicData uri="http://schemas.microsoft.com/office/word/2010/wordprocessingShape">
                                <wps:wsp>
                                  <wps:cNvSpPr/>
                                  <wps:spPr>
                                    <a:xfrm>
                                      <a:off x="0" y="0"/>
                                      <a:ext cx="292100" cy="224155"/>
                                    </a:xfrm>
                                    <a:prstGeom prst="rect">
                                      <a:avLst/>
                                    </a:prstGeom>
                                    <a:ln>
                                      <a:noFill/>
                                    </a:ln>
                                  </wps:spPr>
                                  <wps:txbx>
                                    <w:txbxContent>
                                      <w:p w14:paraId="44EB847B">
                                        <w:pPr>
                                          <w:rPr>
                                            <w:rFonts w:hint="eastAsia" w:eastAsia="宋体"/>
                                            <w:lang w:val="en-US" w:eastAsia="zh-CN"/>
                                          </w:rPr>
                                        </w:pPr>
                                        <w:r>
                                          <w:rPr>
                                            <w:rFonts w:hint="eastAsia"/>
                                            <w:lang w:val="en-US" w:eastAsia="zh-CN"/>
                                          </w:rPr>
                                          <w:t>G</w:t>
                                        </w:r>
                                      </w:p>
                                    </w:txbxContent>
                                  </wps:txbx>
                                  <wps:bodyPr vert="horz" wrap="square" lIns="91440" tIns="45720" rIns="91440" bIns="45720" anchor="t">
                                    <a:noAutofit/>
                                  </wps:bodyPr>
                                </wps:wsp>
                              </a:graphicData>
                            </a:graphic>
                          </wp:anchor>
                        </w:drawing>
                      </mc:Choice>
                      <mc:Fallback>
                        <w:pict>
                          <v:rect id="文本框 93" o:spid="_x0000_s1026" o:spt="1" style="position:absolute;left:0pt;margin-left:248pt;margin-top:65.15pt;height:17.65pt;width:23pt;z-index:251660288;mso-width-relative:page;mso-height-relative:page;" filled="f" stroked="f" coordsize="21600,21600" o:gfxdata="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D5O0pd2wAAAAsBAAAPAAAA&#10;AAAAAAEAIAAAACIAAABkcnMvZG93bnJldi54bWxQSwECFAAUAAAACACHTuJAsD49e9kBAACjAwAA&#10;DgAAAAAAAAABACAAAAAqAQAAZHJzL2Uyb0RvYy54bWxQSwUGAAAAAAYABgBZAQAAdQUAAAAA&#10;">
                            <v:fill on="f" focussize="0,0"/>
                            <v:stroke on="f"/>
                            <v:imagedata o:title=""/>
                            <o:lock v:ext="edit" aspectratio="f"/>
                            <v:textbox>
                              <w:txbxContent>
                                <w:p w14:paraId="44EB847B">
                                  <w:pPr>
                                    <w:rPr>
                                      <w:rFonts w:hint="eastAsia" w:eastAsia="宋体"/>
                                      <w:lang w:val="en-US" w:eastAsia="zh-CN"/>
                                    </w:rPr>
                                  </w:pPr>
                                  <w:r>
                                    <w:rPr>
                                      <w:rFonts w:hint="eastAsia"/>
                                      <w:lang w:val="en-US" w:eastAsia="zh-CN"/>
                                    </w:rPr>
                                    <w:t>G</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1069340</wp:posOffset>
                            </wp:positionH>
                            <wp:positionV relativeFrom="paragraph">
                              <wp:posOffset>836295</wp:posOffset>
                            </wp:positionV>
                            <wp:extent cx="292100" cy="224155"/>
                            <wp:effectExtent l="0" t="0" r="12700" b="4445"/>
                            <wp:wrapNone/>
                            <wp:docPr id="1032" name="文本框 91"/>
                            <wp:cNvGraphicFramePr/>
                            <a:graphic xmlns:a="http://schemas.openxmlformats.org/drawingml/2006/main">
                              <a:graphicData uri="http://schemas.microsoft.com/office/word/2010/wordprocessingShape">
                                <wps:wsp>
                                  <wps:cNvSpPr/>
                                  <wps:spPr>
                                    <a:xfrm>
                                      <a:off x="0" y="0"/>
                                      <a:ext cx="292100" cy="224155"/>
                                    </a:xfrm>
                                    <a:prstGeom prst="rect">
                                      <a:avLst/>
                                    </a:prstGeom>
                                    <a:ln>
                                      <a:noFill/>
                                    </a:ln>
                                  </wps:spPr>
                                  <wps:txbx>
                                    <w:txbxContent>
                                      <w:p w14:paraId="75D8A10D">
                                        <w:pPr>
                                          <w:rPr>
                                            <w:rFonts w:hint="eastAsia" w:eastAsia="宋体"/>
                                            <w:lang w:val="en-US" w:eastAsia="zh-CN"/>
                                          </w:rPr>
                                        </w:pPr>
                                        <w:r>
                                          <w:rPr>
                                            <w:rFonts w:hint="eastAsia"/>
                                            <w:lang w:val="en-US" w:eastAsia="zh-CN"/>
                                          </w:rPr>
                                          <w:t>G</w:t>
                                        </w:r>
                                      </w:p>
                                    </w:txbxContent>
                                  </wps:txbx>
                                  <wps:bodyPr vert="horz" wrap="square" lIns="91440" tIns="45720" rIns="91440" bIns="45720" anchor="t">
                                    <a:noAutofit/>
                                  </wps:bodyPr>
                                </wps:wsp>
                              </a:graphicData>
                            </a:graphic>
                          </wp:anchor>
                        </w:drawing>
                      </mc:Choice>
                      <mc:Fallback>
                        <w:pict>
                          <v:rect id="文本框 91" o:spid="_x0000_s1026" o:spt="1" style="position:absolute;left:0pt;margin-left:84.2pt;margin-top:65.85pt;height:17.65pt;width:23pt;z-index:251660288;mso-width-relative:page;mso-height-relative:page;" filled="f" stroked="f" coordsize="21600,21600" o:gfxdata="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FhBO7faAAAACwEAAA8AAAAA&#10;AAAAAQAgAAAAIgAAAGRycy9kb3ducmV2LnhtbFBLAQIUABQAAAAIAIdO4kDHscYY2QEAAKMDAAAO&#10;AAAAAAAAAAEAIAAAACkBAABkcnMvZTJvRG9jLnhtbFBLBQYAAAAABgAGAFkBAAB0BQAAAAA=&#10;">
                            <v:fill on="f" focussize="0,0"/>
                            <v:stroke on="f"/>
                            <v:imagedata o:title=""/>
                            <o:lock v:ext="edit" aspectratio="f"/>
                            <v:textbox>
                              <w:txbxContent>
                                <w:p w14:paraId="75D8A10D">
                                  <w:pPr>
                                    <w:rPr>
                                      <w:rFonts w:hint="eastAsia" w:eastAsia="宋体"/>
                                      <w:lang w:val="en-US" w:eastAsia="zh-CN"/>
                                    </w:rPr>
                                  </w:pPr>
                                  <w:r>
                                    <w:rPr>
                                      <w:rFonts w:hint="eastAsia"/>
                                      <w:lang w:val="en-US" w:eastAsia="zh-CN"/>
                                    </w:rPr>
                                    <w:t>G</w:t>
                                  </w:r>
                                </w:p>
                              </w:txbxContent>
                            </v:textbox>
                          </v:rect>
                        </w:pict>
                      </mc:Fallback>
                    </mc:AlternateContent>
                  </w:r>
                  <w:r>
                    <w:rPr>
                      <w:rFonts w:hint="default" w:ascii="Times New Roman" w:hAnsi="Times New Roman" w:eastAsia="宋体" w:cs="Times New Roman"/>
                      <w:color w:val="auto"/>
                      <w:sz w:val="21"/>
                    </w:rPr>
                    <mc:AlternateContent>
                      <mc:Choice Requires="wpg">
                        <w:drawing>
                          <wp:anchor distT="0" distB="0" distL="0" distR="0" simplePos="0" relativeHeight="251660288" behindDoc="0" locked="0" layoutInCell="1" allowOverlap="1">
                            <wp:simplePos x="0" y="0"/>
                            <wp:positionH relativeFrom="column">
                              <wp:posOffset>2555875</wp:posOffset>
                            </wp:positionH>
                            <wp:positionV relativeFrom="paragraph">
                              <wp:posOffset>954405</wp:posOffset>
                            </wp:positionV>
                            <wp:extent cx="2383790" cy="923290"/>
                            <wp:effectExtent l="12700" t="0" r="3810" b="0"/>
                            <wp:wrapNone/>
                            <wp:docPr id="1033" name="组合 88"/>
                            <wp:cNvGraphicFramePr/>
                            <a:graphic xmlns:a="http://schemas.openxmlformats.org/drawingml/2006/main">
                              <a:graphicData uri="http://schemas.microsoft.com/office/word/2010/wordprocessingGroup">
                                <wpg:wgp>
                                  <wpg:cNvGrpSpPr/>
                                  <wpg:grpSpPr>
                                    <a:xfrm rot="0">
                                      <a:off x="0" y="0"/>
                                      <a:ext cx="2383790" cy="923290"/>
                                      <a:chOff x="6813" y="262812"/>
                                      <a:chExt cx="3754" cy="1454"/>
                                    </a:xfrm>
                                  </wpg:grpSpPr>
                                  <wpg:grpSp>
                                    <wpg:cNvPr id="1" name="组合 1"/>
                                    <wpg:cNvGrpSpPr/>
                                    <wpg:grpSpPr>
                                      <a:xfrm>
                                        <a:off x="6813" y="262812"/>
                                        <a:ext cx="3754" cy="1454"/>
                                        <a:chOff x="6813" y="262812"/>
                                        <a:chExt cx="3754" cy="1454"/>
                                      </a:xfrm>
                                    </wpg:grpSpPr>
                                    <wpg:grpSp>
                                      <wpg:cNvPr id="2" name="组合 2"/>
                                      <wpg:cNvGrpSpPr/>
                                      <wpg:grpSpPr>
                                        <a:xfrm>
                                          <a:off x="8653" y="262812"/>
                                          <a:ext cx="1210" cy="1454"/>
                                          <a:chOff x="8653" y="262812"/>
                                          <a:chExt cx="1210" cy="1454"/>
                                        </a:xfrm>
                                      </wpg:grpSpPr>
                                      <wpg:grpSp>
                                        <wpg:cNvPr id="3" name="组合 3"/>
                                        <wpg:cNvGrpSpPr/>
                                        <wpg:grpSpPr>
                                          <a:xfrm>
                                            <a:off x="8653" y="263384"/>
                                            <a:ext cx="1057" cy="882"/>
                                            <a:chOff x="5274" y="262052"/>
                                            <a:chExt cx="1057" cy="882"/>
                                          </a:xfrm>
                                        </wpg:grpSpPr>
                                        <wps:wsp>
                                          <wps:cNvPr id="4" name="菱形 4"/>
                                          <wps:cNvSpPr/>
                                          <wps:spPr>
                                            <a:xfrm>
                                              <a:off x="5494" y="262052"/>
                                              <a:ext cx="628" cy="750"/>
                                            </a:xfrm>
                                            <a:prstGeom prst="diamond">
                                              <a:avLst/>
                                            </a:prstGeom>
                                            <a:ln w="25400" cap="flat" cmpd="sng">
                                              <a:solidFill>
                                                <a:srgbClr val="395E8A"/>
                                              </a:solidFill>
                                              <a:prstDash val="solid"/>
                                              <a:round/>
                                            </a:ln>
                                          </wps:spPr>
                                          <wps:txbx>
                                            <w:txbxContent>
                                              <w:p w14:paraId="1ADA9F62">
                                                <w:pPr>
                                                  <w:rPr>
                                                    <w:rFonts w:hint="eastAsia"/>
                                                    <w:lang w:val="en-US" w:eastAsia="zh-CN"/>
                                                  </w:rPr>
                                                </w:pPr>
                                              </w:p>
                                            </w:txbxContent>
                                          </wps:txbx>
                                          <wps:bodyPr vert="horz" wrap="square" lIns="91440" tIns="45720" rIns="91440" bIns="45720" anchor="ctr">
                                            <a:noAutofit/>
                                          </wps:bodyPr>
                                        </wps:wsp>
                                        <wps:wsp>
                                          <wps:cNvPr id="5" name="矩形 5"/>
                                          <wps:cNvSpPr/>
                                          <wps:spPr>
                                            <a:xfrm>
                                              <a:off x="5274" y="262120"/>
                                              <a:ext cx="1057" cy="814"/>
                                            </a:xfrm>
                                            <a:prstGeom prst="rect">
                                              <a:avLst/>
                                            </a:prstGeom>
                                            <a:ln>
                                              <a:noFill/>
                                            </a:ln>
                                          </wps:spPr>
                                          <wps:txbx>
                                            <w:txbxContent>
                                              <w:p w14:paraId="17939919">
                                                <w:pPr>
                                                  <w:jc w:val="center"/>
                                                  <w:rPr>
                                                    <w:rFonts w:hint="default"/>
                                                    <w:sz w:val="18"/>
                                                    <w:szCs w:val="21"/>
                                                    <w:lang w:val="en-US" w:eastAsia="zh-CN"/>
                                                  </w:rPr>
                                                </w:pPr>
                                                <w:r>
                                                  <w:rPr>
                                                    <w:rFonts w:hint="eastAsia"/>
                                                    <w:sz w:val="18"/>
                                                    <w:szCs w:val="21"/>
                                                    <w:lang w:val="en-US" w:eastAsia="zh-CN"/>
                                                  </w:rPr>
                                                  <w:t>品质</w:t>
                                                </w:r>
                                              </w:p>
                                              <w:p w14:paraId="10A81279">
                                                <w:pPr>
                                                  <w:jc w:val="center"/>
                                                  <w:rPr>
                                                    <w:rFonts w:hint="default" w:eastAsia="宋体"/>
                                                    <w:sz w:val="18"/>
                                                    <w:szCs w:val="21"/>
                                                    <w:lang w:val="en-US" w:eastAsia="zh-CN"/>
                                                  </w:rPr>
                                                </w:pPr>
                                                <w:r>
                                                  <w:rPr>
                                                    <w:rFonts w:hint="eastAsia"/>
                                                    <w:sz w:val="18"/>
                                                    <w:szCs w:val="21"/>
                                                    <w:lang w:val="en-US" w:eastAsia="zh-CN"/>
                                                  </w:rPr>
                                                  <w:t>检验</w:t>
                                                </w:r>
                                              </w:p>
                                            </w:txbxContent>
                                          </wps:txbx>
                                          <wps:bodyPr vert="horz" wrap="square" lIns="91440" tIns="45720" rIns="91440" bIns="45720" anchor="t">
                                            <a:noAutofit/>
                                          </wps:bodyPr>
                                        </wps:wsp>
                                      </wpg:grpSp>
                                      <wpg:grpSp>
                                        <wpg:cNvPr id="6" name="组合 6"/>
                                        <wpg:cNvGrpSpPr/>
                                        <wpg:grpSpPr>
                                          <a:xfrm>
                                            <a:off x="9187" y="262812"/>
                                            <a:ext cx="677" cy="572"/>
                                            <a:chOff x="9187" y="262812"/>
                                            <a:chExt cx="677" cy="572"/>
                                          </a:xfrm>
                                        </wpg:grpSpPr>
                                        <wps:wsp>
                                          <wps:cNvPr id="7" name="直接箭头连接符 7"/>
                                          <wps:cNvCnPr/>
                                          <wps:spPr>
                                            <a:xfrm>
                                              <a:off x="9187" y="262812"/>
                                              <a:ext cx="0" cy="572"/>
                                            </a:xfrm>
                                            <a:prstGeom prst="straightConnector1">
                                              <a:avLst/>
                                            </a:prstGeom>
                                            <a:ln w="9525" cap="flat" cmpd="sng">
                                              <a:solidFill>
                                                <a:srgbClr val="000000"/>
                                              </a:solidFill>
                                              <a:prstDash val="solid"/>
                                              <a:round/>
                                              <a:tailEnd type="arrow" w="med" len="med"/>
                                            </a:ln>
                                          </wps:spPr>
                                          <wps:bodyPr/>
                                        </wps:wsp>
                                        <wps:wsp>
                                          <wps:cNvPr id="8" name="矩形 8"/>
                                          <wps:cNvSpPr/>
                                          <wps:spPr>
                                            <a:xfrm>
                                              <a:off x="9232" y="262891"/>
                                              <a:ext cx="632" cy="387"/>
                                            </a:xfrm>
                                            <a:prstGeom prst="rect">
                                              <a:avLst/>
                                            </a:prstGeom>
                                            <a:ln>
                                              <a:noFill/>
                                            </a:ln>
                                          </wps:spPr>
                                          <wps:txbx>
                                            <w:txbxContent>
                                              <w:p w14:paraId="7D9511CD">
                                                <w:pPr>
                                                  <w:rPr>
                                                    <w:rFonts w:hint="default" w:eastAsia="宋体"/>
                                                    <w:sz w:val="18"/>
                                                    <w:szCs w:val="21"/>
                                                    <w:lang w:val="en-US" w:eastAsia="zh-CN"/>
                                                  </w:rPr>
                                                </w:pPr>
                                                <w:r>
                                                  <w:rPr>
                                                    <w:rFonts w:hint="eastAsia"/>
                                                    <w:sz w:val="18"/>
                                                    <w:szCs w:val="21"/>
                                                    <w:lang w:val="en-US" w:eastAsia="zh-CN"/>
                                                  </w:rPr>
                                                  <w:t>OK</w:t>
                                                </w:r>
                                              </w:p>
                                            </w:txbxContent>
                                          </wps:txbx>
                                          <wps:bodyPr vert="horz" wrap="square" lIns="91440" tIns="45720" rIns="91440" bIns="45720" anchor="t">
                                            <a:noAutofit/>
                                          </wps:bodyPr>
                                        </wps:wsp>
                                      </wpg:grpSp>
                                    </wpg:grpSp>
                                    <wpg:grpSp>
                                      <wpg:cNvPr id="9" name="组合 9"/>
                                      <wpg:cNvGrpSpPr/>
                                      <wpg:grpSpPr>
                                        <a:xfrm>
                                          <a:off x="6813" y="263356"/>
                                          <a:ext cx="3754" cy="630"/>
                                          <a:chOff x="6813" y="263356"/>
                                          <a:chExt cx="3754" cy="630"/>
                                        </a:xfrm>
                                      </wpg:grpSpPr>
                                      <wpg:grpSp>
                                        <wpg:cNvPr id="10" name="组合 10"/>
                                        <wpg:cNvGrpSpPr/>
                                        <wpg:grpSpPr>
                                          <a:xfrm>
                                            <a:off x="6813" y="263356"/>
                                            <a:ext cx="2059" cy="596"/>
                                            <a:chOff x="6813" y="263356"/>
                                            <a:chExt cx="2059" cy="596"/>
                                          </a:xfrm>
                                        </wpg:grpSpPr>
                                        <wps:wsp>
                                          <wps:cNvPr id="11" name="直接箭头连接符 11"/>
                                          <wps:cNvCnPr/>
                                          <wps:spPr>
                                            <a:xfrm flipH="1" flipV="1">
                                              <a:off x="8026" y="263745"/>
                                              <a:ext cx="847" cy="14"/>
                                            </a:xfrm>
                                            <a:prstGeom prst="straightConnector1">
                                              <a:avLst/>
                                            </a:prstGeom>
                                            <a:ln w="9525" cap="flat" cmpd="sng">
                                              <a:solidFill>
                                                <a:srgbClr val="000000"/>
                                              </a:solidFill>
                                              <a:prstDash val="solid"/>
                                              <a:round/>
                                              <a:tailEnd type="arrow" w="med" len="med"/>
                                            </a:ln>
                                          </wps:spPr>
                                          <wps:bodyPr/>
                                        </wps:wsp>
                                        <wps:wsp>
                                          <wps:cNvPr id="12" name="矩形 12"/>
                                          <wps:cNvSpPr/>
                                          <wps:spPr>
                                            <a:xfrm>
                                              <a:off x="6813" y="263538"/>
                                              <a:ext cx="1213" cy="414"/>
                                            </a:xfrm>
                                            <a:prstGeom prst="rect">
                                              <a:avLst/>
                                            </a:prstGeom>
                                            <a:ln w="25400" cap="flat" cmpd="sng">
                                              <a:solidFill>
                                                <a:srgbClr val="395E8A"/>
                                              </a:solidFill>
                                              <a:prstDash val="solid"/>
                                              <a:round/>
                                            </a:ln>
                                          </wps:spPr>
                                          <wps:txbx>
                                            <w:txbxContent>
                                              <w:p w14:paraId="3D32350F">
                                                <w:pPr>
                                                  <w:jc w:val="center"/>
                                                  <w:rPr>
                                                    <w:rFonts w:hint="default" w:eastAsia="宋体"/>
                                                    <w:color w:val="000000"/>
                                                    <w:sz w:val="20"/>
                                                    <w:szCs w:val="22"/>
                                                    <w:lang w:val="en-US" w:eastAsia="zh-CN"/>
                                                  </w:rPr>
                                                </w:pPr>
                                                <w:r>
                                                  <w:rPr>
                                                    <w:rFonts w:hint="eastAsia"/>
                                                    <w:color w:val="000000"/>
                                                    <w:sz w:val="20"/>
                                                    <w:szCs w:val="22"/>
                                                    <w:lang w:val="en-US" w:eastAsia="zh-CN"/>
                                                  </w:rPr>
                                                  <w:t>SMT成品</w:t>
                                                </w:r>
                                              </w:p>
                                            </w:txbxContent>
                                          </wps:txbx>
                                          <wps:bodyPr vert="horz" wrap="square" lIns="91440" tIns="45720" rIns="91440" bIns="45720" anchor="ctr">
                                            <a:noAutofit/>
                                          </wps:bodyPr>
                                        </wps:wsp>
                                        <wps:wsp>
                                          <wps:cNvPr id="13" name="矩形 13"/>
                                          <wps:cNvSpPr/>
                                          <wps:spPr>
                                            <a:xfrm>
                                              <a:off x="8201" y="263356"/>
                                              <a:ext cx="632" cy="387"/>
                                            </a:xfrm>
                                            <a:prstGeom prst="rect">
                                              <a:avLst/>
                                            </a:prstGeom>
                                            <a:ln>
                                              <a:noFill/>
                                            </a:ln>
                                          </wps:spPr>
                                          <wps:txbx>
                                            <w:txbxContent>
                                              <w:p w14:paraId="6651ACF3">
                                                <w:pPr>
                                                  <w:rPr>
                                                    <w:rFonts w:hint="default" w:eastAsia="宋体"/>
                                                    <w:sz w:val="18"/>
                                                    <w:szCs w:val="21"/>
                                                    <w:lang w:val="en-US" w:eastAsia="zh-CN"/>
                                                  </w:rPr>
                                                </w:pPr>
                                                <w:r>
                                                  <w:rPr>
                                                    <w:rFonts w:hint="eastAsia"/>
                                                    <w:sz w:val="18"/>
                                                    <w:szCs w:val="21"/>
                                                    <w:lang w:val="en-US" w:eastAsia="zh-CN"/>
                                                  </w:rPr>
                                                  <w:t>OK</w:t>
                                                </w:r>
                                              </w:p>
                                            </w:txbxContent>
                                          </wps:txbx>
                                          <wps:bodyPr vert="horz" wrap="square" lIns="91440" tIns="45720" rIns="91440" bIns="45720" anchor="t">
                                            <a:noAutofit/>
                                          </wps:bodyPr>
                                        </wps:wsp>
                                      </wpg:grpSp>
                                      <wpg:grpSp>
                                        <wpg:cNvPr id="14" name="组合 14"/>
                                        <wpg:cNvGrpSpPr/>
                                        <wpg:grpSpPr>
                                          <a:xfrm>
                                            <a:off x="9389" y="263363"/>
                                            <a:ext cx="1178" cy="623"/>
                                            <a:chOff x="9389" y="263363"/>
                                            <a:chExt cx="1178" cy="623"/>
                                          </a:xfrm>
                                        </wpg:grpSpPr>
                                        <wps:wsp>
                                          <wps:cNvPr id="15" name="椭圆 15"/>
                                          <wps:cNvSpPr/>
                                          <wps:spPr>
                                            <a:xfrm>
                                              <a:off x="9925" y="263520"/>
                                              <a:ext cx="564" cy="466"/>
                                            </a:xfrm>
                                            <a:prstGeom prst="ellipse">
                                              <a:avLst/>
                                            </a:prstGeom>
                                            <a:ln w="25400" cap="flat" cmpd="sng">
                                              <a:solidFill>
                                                <a:srgbClr val="395E8A"/>
                                              </a:solidFill>
                                              <a:prstDash val="solid"/>
                                              <a:round/>
                                            </a:ln>
                                          </wps:spPr>
                                          <wps:txbx>
                                            <w:txbxContent>
                                              <w:p w14:paraId="3797FB4A">
                                                <w:pPr>
                                                  <w:rPr>
                                                    <w:rFonts w:hint="eastAsia"/>
                                                    <w:lang w:val="en-US" w:eastAsia="zh-CN"/>
                                                  </w:rPr>
                                                </w:pPr>
                                              </w:p>
                                            </w:txbxContent>
                                          </wps:txbx>
                                          <wps:bodyPr vert="horz" wrap="square" lIns="91440" tIns="45720" rIns="91440" bIns="45720" anchor="ctr">
                                            <a:noAutofit/>
                                          </wps:bodyPr>
                                        </wps:wsp>
                                        <wps:wsp>
                                          <wps:cNvPr id="16" name="矩形 16"/>
                                          <wps:cNvSpPr/>
                                          <wps:spPr>
                                            <a:xfrm>
                                              <a:off x="9844" y="263555"/>
                                              <a:ext cx="723" cy="409"/>
                                            </a:xfrm>
                                            <a:prstGeom prst="rect">
                                              <a:avLst/>
                                            </a:prstGeom>
                                            <a:ln>
                                              <a:noFill/>
                                            </a:ln>
                                          </wps:spPr>
                                          <wps:txbx>
                                            <w:txbxContent>
                                              <w:p w14:paraId="5BEF66C9">
                                                <w:pPr>
                                                  <w:jc w:val="center"/>
                                                  <w:rPr>
                                                    <w:rFonts w:hint="eastAsia" w:eastAsia="宋体"/>
                                                    <w:sz w:val="18"/>
                                                    <w:szCs w:val="21"/>
                                                    <w:lang w:val="en-US" w:eastAsia="zh-CN"/>
                                                  </w:rPr>
                                                </w:pPr>
                                                <w:r>
                                                  <w:rPr>
                                                    <w:rFonts w:hint="eastAsia"/>
                                                    <w:sz w:val="18"/>
                                                    <w:szCs w:val="21"/>
                                                    <w:lang w:val="en-US" w:eastAsia="zh-CN"/>
                                                  </w:rPr>
                                                  <w:t>返工</w:t>
                                                </w:r>
                                              </w:p>
                                            </w:txbxContent>
                                          </wps:txbx>
                                          <wps:bodyPr vert="horz" wrap="square" lIns="91440" tIns="45720" rIns="91440" bIns="45720" anchor="t">
                                            <a:noAutofit/>
                                          </wps:bodyPr>
                                        </wps:wsp>
                                        <wps:wsp>
                                          <wps:cNvPr id="17" name="矩形 17"/>
                                          <wps:cNvSpPr/>
                                          <wps:spPr>
                                            <a:xfrm>
                                              <a:off x="9389" y="263363"/>
                                              <a:ext cx="632" cy="387"/>
                                            </a:xfrm>
                                            <a:prstGeom prst="rect">
                                              <a:avLst/>
                                            </a:prstGeom>
                                            <a:ln>
                                              <a:noFill/>
                                            </a:ln>
                                          </wps:spPr>
                                          <wps:txbx>
                                            <w:txbxContent>
                                              <w:p w14:paraId="1CCD1CB9">
                                                <w:pPr>
                                                  <w:rPr>
                                                    <w:rFonts w:hint="eastAsia" w:eastAsia="宋体"/>
                                                    <w:sz w:val="18"/>
                                                    <w:szCs w:val="21"/>
                                                    <w:lang w:val="en-US" w:eastAsia="zh-CN"/>
                                                  </w:rPr>
                                                </w:pPr>
                                                <w:r>
                                                  <w:rPr>
                                                    <w:rFonts w:hint="eastAsia"/>
                                                    <w:sz w:val="18"/>
                                                    <w:szCs w:val="21"/>
                                                    <w:lang w:val="en-US" w:eastAsia="zh-CN"/>
                                                  </w:rPr>
                                                  <w:t>NG</w:t>
                                                </w:r>
                                              </w:p>
                                            </w:txbxContent>
                                          </wps:txbx>
                                          <wps:bodyPr vert="horz" wrap="square" lIns="91440" tIns="45720" rIns="91440" bIns="45720" anchor="t">
                                            <a:noAutofit/>
                                          </wps:bodyPr>
                                        </wps:wsp>
                                      </wpg:grpSp>
                                    </wpg:grpSp>
                                  </wpg:grpSp>
                                  <wps:wsp>
                                    <wps:cNvPr id="18" name="直接箭头连接符 18"/>
                                    <wps:cNvCnPr/>
                                    <wps:spPr>
                                      <a:xfrm flipV="1">
                                        <a:off x="9501" y="263753"/>
                                        <a:ext cx="424" cy="6"/>
                                      </a:xfrm>
                                      <a:prstGeom prst="straightConnector1">
                                        <a:avLst/>
                                      </a:prstGeom>
                                      <a:ln w="9525" cap="flat" cmpd="sng">
                                        <a:solidFill>
                                          <a:srgbClr val="000000"/>
                                        </a:solidFill>
                                        <a:prstDash val="solid"/>
                                        <a:round/>
                                        <a:tailEnd type="arrow" w="med" len="med"/>
                                      </a:ln>
                                    </wps:spPr>
                                    <wps:bodyPr/>
                                  </wps:wsp>
                                </wpg:wgp>
                              </a:graphicData>
                            </a:graphic>
                          </wp:anchor>
                        </w:drawing>
                      </mc:Choice>
                      <mc:Fallback>
                        <w:pict>
                          <v:group id="组合 88" o:spid="_x0000_s1026" o:spt="203" style="position:absolute;left:0pt;margin-left:201.25pt;margin-top:75.15pt;height:72.7pt;width:187.7pt;z-index:251660288;mso-width-relative:page;mso-height-relative:page;" coordorigin="6813,262812" coordsize="3754,1454" o:gfxdata="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">
                            <o:lock v:ext="edit" aspectratio="f"/>
                            <v:group id="_x0000_s1026" o:spid="_x0000_s1026" o:spt="203" style="position:absolute;left:6813;top:262812;height:1454;width:3754;" coordorigin="6813,262812" coordsize="3754,1454" o:gfxdata="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AvJT3i7AAAA2gAAAA8AAAAAAAAAAQAgAAAAIgAAAGRycy9kb3ducmV2LnhtbFBL&#10;AQIUABQAAAAIAIdO4kAzLwWeOwAAADkAAAAVAAAAAAAAAAEAIAAAAAoBAABkcnMvZ3JvdXBzaGFw&#10;ZXhtbC54bWxQSwUGAAAAAAYABgBgAQAAxwMAAAAA&#10;">
                              <o:lock v:ext="edit" aspectratio="f"/>
                              <v:group id="_x0000_s1026" o:spid="_x0000_s1026" o:spt="203" style="position:absolute;left:8653;top:262812;height:1454;width:1210;" coordorigin="8653,262812" coordsize="1210,1454" o:gfxdata="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Psb0Q+7AAAA2gAAAA8AAAAAAAAAAQAgAAAAIgAAAGRycy9kb3ducmV2LnhtbFBL&#10;AQIUABQAAAAIAIdO4kAzLwWeOwAAADkAAAAVAAAAAAAAAAEAIAAAAAoBAABkcnMvZ3JvdXBzaGFw&#10;ZXhtbC54bWxQSwUGAAAAAAYABgBgAQAAxwMAAAAA&#10;">
                                <o:lock v:ext="edit" aspectratio="f"/>
                                <v:group id="_x0000_s1026" o:spid="_x0000_s1026" o:spt="203" style="position:absolute;left:8653;top:263384;height:882;width:1057;" coordorigin="5274,262052" coordsize="1057,882" o:gfxdata="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Fd0lL0AAADaAAAADwAAAAAAAAABACAAAAAiAAAAZHJzL2Rvd25yZXYueG1s&#10;UEsBAhQAFAAAAAgAh07iQDMvBZ47AAAAOQAAABUAAAAAAAAAAQAgAAAADAEAAGRycy9ncm91cHNo&#10;YXBleG1sLnhtbFBLBQYAAAAABgAGAGABAADJAwAAAAA=&#10;">
                                  <o:lock v:ext="edit" aspectratio="f"/>
                                  <v:shape id="_x0000_s1026" o:spid="_x0000_s1026" o:spt="4" type="#_x0000_t4" style="position:absolute;left:5494;top:262052;height:750;width:628;v-text-anchor:middle;" filled="f" stroked="t" coordsize="21600,21600" o:gfxdata="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vEj4LsAAADa&#10;AAAADwAAAAAAAAABACAAAAAiAAAAZHJzL2Rvd25yZXYueG1sUEsBAhQAFAAAAAgAh07iQDMvBZ47&#10;AAAAOQAAABAAAAAAAAAAAQAgAAAACgEAAGRycy9zaGFwZXhtbC54bWxQSwUGAAAAAAYABgBbAQAA&#10;tAMAAAAA&#10;">
                                    <v:fill on="f" focussize="0,0"/>
                                    <v:stroke weight="2pt" color="#395E8A" joinstyle="round"/>
                                    <v:imagedata o:title=""/>
                                    <o:lock v:ext="edit" aspectratio="f"/>
                                    <v:textbox>
                                      <w:txbxContent>
                                        <w:p w14:paraId="1ADA9F62">
                                          <w:pPr>
                                            <w:rPr>
                                              <w:rFonts w:hint="eastAsia"/>
                                              <w:lang w:val="en-US" w:eastAsia="zh-CN"/>
                                            </w:rPr>
                                          </w:pPr>
                                        </w:p>
                                      </w:txbxContent>
                                    </v:textbox>
                                  </v:shape>
                                  <v:rect id="_x0000_s1026" o:spid="_x0000_s1026" o:spt="1" style="position:absolute;left:5274;top:262120;height:814;width:1057;" filled="f" stroked="f" coordsize="21600,21600" o:gfxdata="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Ay9OvQAA&#10;ANo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17939919">
                                          <w:pPr>
                                            <w:jc w:val="center"/>
                                            <w:rPr>
                                              <w:rFonts w:hint="default"/>
                                              <w:sz w:val="18"/>
                                              <w:szCs w:val="21"/>
                                              <w:lang w:val="en-US" w:eastAsia="zh-CN"/>
                                            </w:rPr>
                                          </w:pPr>
                                          <w:r>
                                            <w:rPr>
                                              <w:rFonts w:hint="eastAsia"/>
                                              <w:sz w:val="18"/>
                                              <w:szCs w:val="21"/>
                                              <w:lang w:val="en-US" w:eastAsia="zh-CN"/>
                                            </w:rPr>
                                            <w:t>品质</w:t>
                                          </w:r>
                                        </w:p>
                                        <w:p w14:paraId="10A81279">
                                          <w:pPr>
                                            <w:jc w:val="center"/>
                                            <w:rPr>
                                              <w:rFonts w:hint="default" w:eastAsia="宋体"/>
                                              <w:sz w:val="18"/>
                                              <w:szCs w:val="21"/>
                                              <w:lang w:val="en-US" w:eastAsia="zh-CN"/>
                                            </w:rPr>
                                          </w:pPr>
                                          <w:r>
                                            <w:rPr>
                                              <w:rFonts w:hint="eastAsia"/>
                                              <w:sz w:val="18"/>
                                              <w:szCs w:val="21"/>
                                              <w:lang w:val="en-US" w:eastAsia="zh-CN"/>
                                            </w:rPr>
                                            <w:t>检验</w:t>
                                          </w:r>
                                        </w:p>
                                      </w:txbxContent>
                                    </v:textbox>
                                  </v:rect>
                                </v:group>
                                <v:group id="_x0000_s1026" o:spid="_x0000_s1026" o:spt="203" style="position:absolute;left:9187;top:262812;height:572;width:677;" coordorigin="9187,262812" coordsize="677,572" o:gfxdata="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hCDXDL0AAADaAAAADwAAAAAAAAABACAAAAAiAAAAZHJzL2Rvd25yZXYueG1s&#10;UEsBAhQAFAAAAAgAh07iQDMvBZ47AAAAOQAAABUAAAAAAAAAAQAgAAAADAEAAGRycy9ncm91cHNo&#10;YXBleG1sLnhtbFBLBQYAAAAABgAGAGABAADJAwAAAAA=&#10;">
                                  <o:lock v:ext="edit" aspectratio="f"/>
                                  <v:shape id="_x0000_s1026" o:spid="_x0000_s1026" o:spt="32" type="#_x0000_t32" style="position:absolute;left:9187;top:262812;height:572;width:0;" filled="f" stroked="t" coordsize="21600,21600" o:gfxdata="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Mj1H7sAAADa&#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shape>
                                  <v:rect id="_x0000_s1026" o:spid="_x0000_s1026" o:spt="1" style="position:absolute;left:9232;top:262891;height:387;width:632;" filled="f" stroked="f" coordsize="21600,21600" o:gfxdata="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0CgNC5AAAA2g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7D9511CD">
                                          <w:pPr>
                                            <w:rPr>
                                              <w:rFonts w:hint="default" w:eastAsia="宋体"/>
                                              <w:sz w:val="18"/>
                                              <w:szCs w:val="21"/>
                                              <w:lang w:val="en-US" w:eastAsia="zh-CN"/>
                                            </w:rPr>
                                          </w:pPr>
                                          <w:r>
                                            <w:rPr>
                                              <w:rFonts w:hint="eastAsia"/>
                                              <w:sz w:val="18"/>
                                              <w:szCs w:val="21"/>
                                              <w:lang w:val="en-US" w:eastAsia="zh-CN"/>
                                            </w:rPr>
                                            <w:t>OK</w:t>
                                          </w:r>
                                        </w:p>
                                      </w:txbxContent>
                                    </v:textbox>
                                  </v:rect>
                                </v:group>
                              </v:group>
                              <v:group id="_x0000_s1026" o:spid="_x0000_s1026" o:spt="203" style="position:absolute;left:6813;top:263356;height:630;width:3754;" coordorigin="6813,263356" coordsize="3754,630" o:gfxdata="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W/Q36+AAAA2gAAAA8AAAAAAAAAAQAgAAAAIgAAAGRycy9kb3ducmV2Lnht&#10;bFBLAQIUABQAAAAIAIdO4kAzLwWeOwAAADkAAAAVAAAAAAAAAAEAIAAAAA0BAABkcnMvZ3JvdXBz&#10;aGFwZXhtbC54bWxQSwUGAAAAAAYABgBgAQAAygMAAAAA&#10;">
                                <o:lock v:ext="edit" aspectratio="f"/>
                                <v:group id="_x0000_s1026" o:spid="_x0000_s1026" o:spt="203" style="position:absolute;left:6813;top:263356;height:596;width:2059;" coordorigin="6813,263356" coordsize="2059,596" o:gfxdata="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IOkRW+AAAA2wAAAA8AAAAAAAAAAQAgAAAAIgAAAGRycy9kb3ducmV2Lnht&#10;bFBLAQIUABQAAAAIAIdO4kAzLwWeOwAAADkAAAAVAAAAAAAAAAEAIAAAAA0BAABkcnMvZ3JvdXBz&#10;aGFwZXhtbC54bWxQSwUGAAAAAAYABgBgAQAAygMAAAAA&#10;">
                                  <o:lock v:ext="edit" aspectratio="f"/>
                                  <v:shape id="_x0000_s1026" o:spid="_x0000_s1026" o:spt="32" type="#_x0000_t32" style="position:absolute;left:8026;top:263745;flip:x y;height:14;width:847;" filled="f" stroked="t" coordsize="21600,21600" o:gfxdata="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LK30bsAAADb&#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shape>
                                  <v:rect id="_x0000_s1026" o:spid="_x0000_s1026" o:spt="1" style="position:absolute;left:6813;top:263538;height:414;width:1213;v-text-anchor:middle;" filled="f" stroked="t" coordsize="21600,21600" o:gfxdata="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o/OZe5AAAA2wAA&#10;AA8AAAAAAAAAAQAgAAAAIgAAAGRycy9kb3ducmV2LnhtbFBLAQIUABQAAAAIAIdO4kAzLwWeOwAA&#10;ADkAAAAQAAAAAAAAAAEAIAAAAAgBAABkcnMvc2hhcGV4bWwueG1sUEsFBgAAAAAGAAYAWwEAALID&#10;AAAAAA==&#10;">
                                    <v:fill on="f" focussize="0,0"/>
                                    <v:stroke weight="2pt" color="#395E8A" joinstyle="round"/>
                                    <v:imagedata o:title=""/>
                                    <o:lock v:ext="edit" aspectratio="f"/>
                                    <v:textbox>
                                      <w:txbxContent>
                                        <w:p w14:paraId="3D32350F">
                                          <w:pPr>
                                            <w:jc w:val="center"/>
                                            <w:rPr>
                                              <w:rFonts w:hint="default" w:eastAsia="宋体"/>
                                              <w:color w:val="000000"/>
                                              <w:sz w:val="20"/>
                                              <w:szCs w:val="22"/>
                                              <w:lang w:val="en-US" w:eastAsia="zh-CN"/>
                                            </w:rPr>
                                          </w:pPr>
                                          <w:r>
                                            <w:rPr>
                                              <w:rFonts w:hint="eastAsia"/>
                                              <w:color w:val="000000"/>
                                              <w:sz w:val="20"/>
                                              <w:szCs w:val="22"/>
                                              <w:lang w:val="en-US" w:eastAsia="zh-CN"/>
                                            </w:rPr>
                                            <w:t>SMT成品</w:t>
                                          </w:r>
                                        </w:p>
                                      </w:txbxContent>
                                    </v:textbox>
                                  </v:rect>
                                  <v:rect id="_x0000_s1026" o:spid="_x0000_s1026" o:spt="1" style="position:absolute;left:8201;top:263356;height:387;width:632;" filled="f" stroked="f" coordsize="21600,21600" o:gfxdata="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g7TpnugAAANsA&#10;AAAPAAAAAAAAAAEAIAAAACIAAABkcnMvZG93bnJldi54bWxQSwECFAAUAAAACACHTuJAMy8FnjsA&#10;AAA5AAAAEAAAAAAAAAABACAAAAAJAQAAZHJzL3NoYXBleG1sLnhtbFBLBQYAAAAABgAGAFsBAACz&#10;AwAAAAA=&#10;">
                                    <v:fill on="f" focussize="0,0"/>
                                    <v:stroke on="f"/>
                                    <v:imagedata o:title=""/>
                                    <o:lock v:ext="edit" aspectratio="f"/>
                                    <v:textbox>
                                      <w:txbxContent>
                                        <w:p w14:paraId="6651ACF3">
                                          <w:pPr>
                                            <w:rPr>
                                              <w:rFonts w:hint="default" w:eastAsia="宋体"/>
                                              <w:sz w:val="18"/>
                                              <w:szCs w:val="21"/>
                                              <w:lang w:val="en-US" w:eastAsia="zh-CN"/>
                                            </w:rPr>
                                          </w:pPr>
                                          <w:r>
                                            <w:rPr>
                                              <w:rFonts w:hint="eastAsia"/>
                                              <w:sz w:val="18"/>
                                              <w:szCs w:val="21"/>
                                              <w:lang w:val="en-US" w:eastAsia="zh-CN"/>
                                            </w:rPr>
                                            <w:t>OK</w:t>
                                          </w:r>
                                        </w:p>
                                      </w:txbxContent>
                                    </v:textbox>
                                  </v:rect>
                                </v:group>
                                <v:group id="_x0000_s1026" o:spid="_x0000_s1026" o:spt="203" style="position:absolute;left:9389;top:263363;height:623;width:1178;" coordorigin="9389,263363" coordsize="1178,623" o:gfxdata="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TWXFr0AAADbAAAADwAAAAAAAAABACAAAAAiAAAAZHJzL2Rvd25yZXYueG1s&#10;UEsBAhQAFAAAAAgAh07iQDMvBZ47AAAAOQAAABUAAAAAAAAAAQAgAAAADAEAAGRycy9ncm91cHNo&#10;YXBleG1sLnhtbFBLBQYAAAAABgAGAGABAADJAwAAAAA=&#10;">
                                  <o:lock v:ext="edit" aspectratio="f"/>
                                  <v:shape id="_x0000_s1026" o:spid="_x0000_s1026" o:spt="3" type="#_x0000_t3" style="position:absolute;left:9925;top:263520;height:466;width:564;v-text-anchor:middle;" filled="f" stroked="t" coordsize="21600,21600" o:gfxdata="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MKO4bsAAADb&#10;AAAADwAAAAAAAAABACAAAAAiAAAAZHJzL2Rvd25yZXYueG1sUEsBAhQAFAAAAAgAh07iQDMvBZ47&#10;AAAAOQAAABAAAAAAAAAAAQAgAAAACgEAAGRycy9zaGFwZXhtbC54bWxQSwUGAAAAAAYABgBbAQAA&#10;tAMAAAAA&#10;">
                                    <v:fill on="f" focussize="0,0"/>
                                    <v:stroke weight="2pt" color="#395E8A" joinstyle="round"/>
                                    <v:imagedata o:title=""/>
                                    <o:lock v:ext="edit" aspectratio="f"/>
                                    <v:textbox>
                                      <w:txbxContent>
                                        <w:p w14:paraId="3797FB4A">
                                          <w:pPr>
                                            <w:rPr>
                                              <w:rFonts w:hint="eastAsia"/>
                                              <w:lang w:val="en-US" w:eastAsia="zh-CN"/>
                                            </w:rPr>
                                          </w:pPr>
                                        </w:p>
                                      </w:txbxContent>
                                    </v:textbox>
                                  </v:shape>
                                  <v:rect id="_x0000_s1026" o:spid="_x0000_s1026" o:spt="1" style="position:absolute;left:9844;top:263555;height:409;width:723;" filled="f" stroked="f" coordsize="21600,21600" o:gfxdata="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Camf+5AAAA2w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5BEF66C9">
                                          <w:pPr>
                                            <w:jc w:val="center"/>
                                            <w:rPr>
                                              <w:rFonts w:hint="eastAsia" w:eastAsia="宋体"/>
                                              <w:sz w:val="18"/>
                                              <w:szCs w:val="21"/>
                                              <w:lang w:val="en-US" w:eastAsia="zh-CN"/>
                                            </w:rPr>
                                          </w:pPr>
                                          <w:r>
                                            <w:rPr>
                                              <w:rFonts w:hint="eastAsia"/>
                                              <w:sz w:val="18"/>
                                              <w:szCs w:val="21"/>
                                              <w:lang w:val="en-US" w:eastAsia="zh-CN"/>
                                            </w:rPr>
                                            <w:t>返工</w:t>
                                          </w:r>
                                        </w:p>
                                      </w:txbxContent>
                                    </v:textbox>
                                  </v:rect>
                                  <v:rect id="_x0000_s1026" o:spid="_x0000_s1026" o:spt="1" style="position:absolute;left:9389;top:263363;height:387;width:632;" filled="f" stroked="f" coordsize="21600,21600" o:gfxdata="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9Y8ZL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1CCD1CB9">
                                          <w:pPr>
                                            <w:rPr>
                                              <w:rFonts w:hint="eastAsia" w:eastAsia="宋体"/>
                                              <w:sz w:val="18"/>
                                              <w:szCs w:val="21"/>
                                              <w:lang w:val="en-US" w:eastAsia="zh-CN"/>
                                            </w:rPr>
                                          </w:pPr>
                                          <w:r>
                                            <w:rPr>
                                              <w:rFonts w:hint="eastAsia"/>
                                              <w:sz w:val="18"/>
                                              <w:szCs w:val="21"/>
                                              <w:lang w:val="en-US" w:eastAsia="zh-CN"/>
                                            </w:rPr>
                                            <w:t>NG</w:t>
                                          </w:r>
                                        </w:p>
                                      </w:txbxContent>
                                    </v:textbox>
                                  </v:rect>
                                </v:group>
                              </v:group>
                            </v:group>
                            <v:shape id="_x0000_s1026" o:spid="_x0000_s1026" o:spt="32" type="#_x0000_t32" style="position:absolute;left:9501;top:263753;flip:y;height:6;width:424;" filled="f" stroked="t" coordsize="21600,21600" o:gfxdata="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8aleL4A&#10;AADb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shape>
                          </v:group>
                        </w:pict>
                      </mc:Fallback>
                    </mc:AlternateContent>
                  </w:r>
                  <w:r>
                    <w:rPr>
                      <w:rFonts w:hint="default" w:ascii="Times New Roman" w:hAnsi="Times New Roman" w:eastAsia="宋体" w:cs="Times New Roman"/>
                      <w:color w:val="auto"/>
                      <w:sz w:val="21"/>
                    </w:rPr>
                    <mc:AlternateContent>
                      <mc:Choice Requires="wpg">
                        <w:drawing>
                          <wp:anchor distT="0" distB="0" distL="0" distR="0" simplePos="0" relativeHeight="251660288" behindDoc="0" locked="0" layoutInCell="1" allowOverlap="1">
                            <wp:simplePos x="0" y="0"/>
                            <wp:positionH relativeFrom="column">
                              <wp:posOffset>212090</wp:posOffset>
                            </wp:positionH>
                            <wp:positionV relativeFrom="paragraph">
                              <wp:posOffset>3810</wp:posOffset>
                            </wp:positionV>
                            <wp:extent cx="4538980" cy="1056640"/>
                            <wp:effectExtent l="12700" t="12700" r="0" b="0"/>
                            <wp:wrapNone/>
                            <wp:docPr id="1052" name="组合 81"/>
                            <wp:cNvGraphicFramePr/>
                            <a:graphic xmlns:a="http://schemas.openxmlformats.org/drawingml/2006/main">
                              <a:graphicData uri="http://schemas.microsoft.com/office/word/2010/wordprocessingGroup">
                                <wpg:wgp>
                                  <wpg:cNvGrpSpPr/>
                                  <wpg:grpSpPr>
                                    <a:xfrm rot="0">
                                      <a:off x="0" y="0"/>
                                      <a:ext cx="4538980" cy="1056640"/>
                                      <a:chOff x="3122" y="261315"/>
                                      <a:chExt cx="7148" cy="1664"/>
                                    </a:xfrm>
                                  </wpg:grpSpPr>
                                  <wpg:grpSp>
                                    <wpg:cNvPr id="19" name="组合 19"/>
                                    <wpg:cNvGrpSpPr/>
                                    <wpg:grpSpPr>
                                      <a:xfrm>
                                        <a:off x="3122" y="261315"/>
                                        <a:ext cx="7148" cy="1664"/>
                                        <a:chOff x="3122" y="261315"/>
                                        <a:chExt cx="7148" cy="1664"/>
                                      </a:xfrm>
                                    </wpg:grpSpPr>
                                    <wpg:grpSp>
                                      <wpg:cNvPr id="20" name="组合 20"/>
                                      <wpg:cNvGrpSpPr/>
                                      <wpg:grpSpPr>
                                        <a:xfrm>
                                          <a:off x="8873" y="262062"/>
                                          <a:ext cx="1397" cy="750"/>
                                          <a:chOff x="5494" y="262052"/>
                                          <a:chExt cx="1397" cy="750"/>
                                        </a:xfrm>
                                      </wpg:grpSpPr>
                                      <wps:wsp>
                                        <wps:cNvPr id="21" name="菱形 21"/>
                                        <wps:cNvSpPr/>
                                        <wps:spPr>
                                          <a:xfrm>
                                            <a:off x="5494" y="262052"/>
                                            <a:ext cx="628" cy="750"/>
                                          </a:xfrm>
                                          <a:prstGeom prst="diamond">
                                            <a:avLst/>
                                          </a:prstGeom>
                                          <a:ln w="25400" cap="flat" cmpd="sng">
                                            <a:solidFill>
                                              <a:srgbClr val="395E8A"/>
                                            </a:solidFill>
                                            <a:prstDash val="solid"/>
                                            <a:round/>
                                          </a:ln>
                                        </wps:spPr>
                                        <wps:txbx>
                                          <w:txbxContent>
                                            <w:p w14:paraId="056321CA">
                                              <w:pPr>
                                                <w:rPr>
                                                  <w:rFonts w:hint="eastAsia"/>
                                                  <w:lang w:val="en-US" w:eastAsia="zh-CN"/>
                                                </w:rPr>
                                              </w:pPr>
                                            </w:p>
                                          </w:txbxContent>
                                        </wps:txbx>
                                        <wps:bodyPr vert="horz" wrap="square" lIns="91440" tIns="45720" rIns="91440" bIns="45720" anchor="ctr">
                                          <a:noAutofit/>
                                        </wps:bodyPr>
                                      </wps:wsp>
                                      <wps:wsp>
                                        <wps:cNvPr id="22" name="矩形 22"/>
                                        <wps:cNvSpPr/>
                                        <wps:spPr>
                                          <a:xfrm>
                                            <a:off x="5970" y="262117"/>
                                            <a:ext cx="921" cy="618"/>
                                          </a:xfrm>
                                          <a:prstGeom prst="rect">
                                            <a:avLst/>
                                          </a:prstGeom>
                                          <a:ln>
                                            <a:noFill/>
                                          </a:ln>
                                        </wps:spPr>
                                        <wps:txbx>
                                          <w:txbxContent>
                                            <w:p w14:paraId="79AC4E9E">
                                              <w:pPr>
                                                <w:jc w:val="center"/>
                                                <w:rPr>
                                                  <w:rFonts w:hint="default" w:eastAsia="宋体"/>
                                                  <w:sz w:val="18"/>
                                                  <w:szCs w:val="21"/>
                                                  <w:lang w:val="en-US" w:eastAsia="zh-CN"/>
                                                </w:rPr>
                                              </w:pPr>
                                              <w:r>
                                                <w:rPr>
                                                  <w:rFonts w:hint="eastAsia"/>
                                                  <w:sz w:val="18"/>
                                                  <w:szCs w:val="21"/>
                                                  <w:lang w:val="en-US" w:eastAsia="zh-CN"/>
                                                </w:rPr>
                                                <w:t>自动光学检验</w:t>
                                              </w:r>
                                            </w:p>
                                          </w:txbxContent>
                                        </wps:txbx>
                                        <wps:bodyPr vert="horz" wrap="square" lIns="91440" tIns="45720" rIns="91440" bIns="45720" anchor="t">
                                          <a:noAutofit/>
                                        </wps:bodyPr>
                                      </wps:wsp>
                                    </wpg:grpSp>
                                    <wps:wsp>
                                      <wps:cNvPr id="23" name="直接箭头连接符 23"/>
                                      <wps:cNvCnPr/>
                                      <wps:spPr>
                                        <a:xfrm flipV="1">
                                          <a:off x="8447" y="262437"/>
                                          <a:ext cx="426" cy="13"/>
                                        </a:xfrm>
                                        <a:prstGeom prst="straightConnector1">
                                          <a:avLst/>
                                        </a:prstGeom>
                                        <a:ln w="9525" cap="flat" cmpd="sng">
                                          <a:solidFill>
                                            <a:srgbClr val="000000"/>
                                          </a:solidFill>
                                          <a:prstDash val="solid"/>
                                          <a:round/>
                                          <a:tailEnd type="arrow" w="med" len="med"/>
                                        </a:ln>
                                      </wps:spPr>
                                      <wps:bodyPr/>
                                    </wps:wsp>
                                    <wpg:grpSp>
                                      <wpg:cNvPr id="24" name="组合 24"/>
                                      <wpg:cNvGrpSpPr/>
                                      <wpg:grpSpPr>
                                        <a:xfrm>
                                          <a:off x="3122" y="261350"/>
                                          <a:ext cx="5325" cy="1629"/>
                                          <a:chOff x="3122" y="261350"/>
                                          <a:chExt cx="5325" cy="1629"/>
                                        </a:xfrm>
                                      </wpg:grpSpPr>
                                      <wps:wsp>
                                        <wps:cNvPr id="25" name="矩形 25"/>
                                        <wps:cNvSpPr/>
                                        <wps:spPr>
                                          <a:xfrm>
                                            <a:off x="6306" y="262243"/>
                                            <a:ext cx="872" cy="414"/>
                                          </a:xfrm>
                                          <a:prstGeom prst="rect">
                                            <a:avLst/>
                                          </a:prstGeom>
                                          <a:ln w="25400" cap="flat" cmpd="sng">
                                            <a:solidFill>
                                              <a:srgbClr val="395E8A"/>
                                            </a:solidFill>
                                            <a:prstDash val="solid"/>
                                            <a:round/>
                                          </a:ln>
                                        </wps:spPr>
                                        <wps:txbx>
                                          <w:txbxContent>
                                            <w:p w14:paraId="1748741B">
                                              <w:pPr>
                                                <w:jc w:val="center"/>
                                                <w:rPr>
                                                  <w:rFonts w:hint="default" w:eastAsia="宋体"/>
                                                  <w:color w:val="000000"/>
                                                  <w:sz w:val="20"/>
                                                  <w:szCs w:val="22"/>
                                                  <w:lang w:val="en-US" w:eastAsia="zh-CN"/>
                                                </w:rPr>
                                              </w:pPr>
                                              <w:r>
                                                <w:rPr>
                                                  <w:rFonts w:hint="eastAsia"/>
                                                  <w:color w:val="000000"/>
                                                  <w:sz w:val="20"/>
                                                  <w:szCs w:val="22"/>
                                                  <w:lang w:val="en-US" w:eastAsia="zh-CN"/>
                                                </w:rPr>
                                                <w:t>贴片</w:t>
                                              </w:r>
                                            </w:p>
                                          </w:txbxContent>
                                        </wps:txbx>
                                        <wps:bodyPr vert="horz" wrap="square" lIns="91440" tIns="45720" rIns="91440" bIns="45720" anchor="ctr">
                                          <a:noAutofit/>
                                        </wps:bodyPr>
                                      </wps:wsp>
                                      <wps:wsp>
                                        <wps:cNvPr id="26" name="矩形 26"/>
                                        <wps:cNvSpPr/>
                                        <wps:spPr>
                                          <a:xfrm>
                                            <a:off x="7454" y="262243"/>
                                            <a:ext cx="993" cy="414"/>
                                          </a:xfrm>
                                          <a:prstGeom prst="rect">
                                            <a:avLst/>
                                          </a:prstGeom>
                                          <a:ln w="25400" cap="flat" cmpd="sng">
                                            <a:solidFill>
                                              <a:srgbClr val="395E8A"/>
                                            </a:solidFill>
                                            <a:prstDash val="solid"/>
                                            <a:round/>
                                          </a:ln>
                                        </wps:spPr>
                                        <wps:txbx>
                                          <w:txbxContent>
                                            <w:p w14:paraId="0E630A0B">
                                              <w:pPr>
                                                <w:jc w:val="center"/>
                                                <w:rPr>
                                                  <w:rFonts w:hint="default" w:eastAsia="宋体"/>
                                                  <w:color w:val="000000"/>
                                                  <w:sz w:val="20"/>
                                                  <w:szCs w:val="22"/>
                                                  <w:lang w:val="en-US" w:eastAsia="zh-CN"/>
                                                </w:rPr>
                                              </w:pPr>
                                              <w:r>
                                                <w:rPr>
                                                  <w:rFonts w:hint="eastAsia"/>
                                                  <w:color w:val="000000"/>
                                                  <w:sz w:val="20"/>
                                                  <w:szCs w:val="22"/>
                                                  <w:lang w:val="en-US" w:eastAsia="zh-CN"/>
                                                </w:rPr>
                                                <w:t>回流焊</w:t>
                                              </w:r>
                                            </w:p>
                                          </w:txbxContent>
                                        </wps:txbx>
                                        <wps:bodyPr vert="horz" wrap="square" lIns="91440" tIns="45720" rIns="91440" bIns="45720" anchor="ctr">
                                          <a:noAutofit/>
                                        </wps:bodyPr>
                                      </wps:wsp>
                                      <wps:wsp>
                                        <wps:cNvPr id="27" name="直接箭头连接符 27"/>
                                        <wps:cNvCnPr/>
                                        <wps:spPr>
                                          <a:xfrm>
                                            <a:off x="7178" y="262450"/>
                                            <a:ext cx="276" cy="0"/>
                                          </a:xfrm>
                                          <a:prstGeom prst="straightConnector1">
                                            <a:avLst/>
                                          </a:prstGeom>
                                          <a:ln w="9525" cap="flat" cmpd="sng">
                                            <a:solidFill>
                                              <a:srgbClr val="000000"/>
                                            </a:solidFill>
                                            <a:prstDash val="solid"/>
                                            <a:round/>
                                            <a:tailEnd type="arrow" w="med" len="med"/>
                                          </a:ln>
                                        </wps:spPr>
                                        <wps:bodyPr/>
                                      </wps:wsp>
                                      <wpg:grpSp>
                                        <wpg:cNvPr id="28" name="组合 28"/>
                                        <wpg:cNvGrpSpPr/>
                                        <wpg:grpSpPr>
                                          <a:xfrm>
                                            <a:off x="3122" y="261350"/>
                                            <a:ext cx="3184" cy="1629"/>
                                            <a:chOff x="3122" y="261350"/>
                                            <a:chExt cx="3184" cy="1629"/>
                                          </a:xfrm>
                                        </wpg:grpSpPr>
                                        <wps:wsp>
                                          <wps:cNvPr id="29" name="直接箭头连接符 29"/>
                                          <wps:cNvCnPr/>
                                          <wps:spPr>
                                            <a:xfrm>
                                              <a:off x="6032" y="262442"/>
                                              <a:ext cx="274" cy="8"/>
                                            </a:xfrm>
                                            <a:prstGeom prst="straightConnector1">
                                              <a:avLst/>
                                            </a:prstGeom>
                                            <a:ln w="9525" cap="flat" cmpd="sng">
                                              <a:solidFill>
                                                <a:srgbClr val="000000"/>
                                              </a:solidFill>
                                              <a:prstDash val="solid"/>
                                              <a:round/>
                                              <a:tailEnd type="arrow" w="med" len="med"/>
                                            </a:ln>
                                          </wps:spPr>
                                          <wps:bodyPr/>
                                        </wps:wsp>
                                        <wpg:grpSp>
                                          <wpg:cNvPr id="30" name="组合 30"/>
                                          <wpg:cNvGrpSpPr/>
                                          <wpg:grpSpPr>
                                            <a:xfrm>
                                              <a:off x="3122" y="261350"/>
                                              <a:ext cx="3113" cy="1629"/>
                                              <a:chOff x="3122" y="261350"/>
                                              <a:chExt cx="3113" cy="1629"/>
                                            </a:xfrm>
                                          </wpg:grpSpPr>
                                          <wpg:grpSp>
                                            <wpg:cNvPr id="31" name="组合 31"/>
                                            <wpg:cNvGrpSpPr/>
                                            <wpg:grpSpPr>
                                              <a:xfrm>
                                                <a:off x="3122" y="262067"/>
                                                <a:ext cx="3113" cy="912"/>
                                                <a:chOff x="3122" y="262067"/>
                                                <a:chExt cx="3113" cy="912"/>
                                              </a:xfrm>
                                            </wpg:grpSpPr>
                                            <wpg:grpSp>
                                              <wpg:cNvPr id="32" name="组合 32"/>
                                              <wpg:cNvGrpSpPr/>
                                              <wpg:grpSpPr>
                                                <a:xfrm>
                                                  <a:off x="5179" y="262067"/>
                                                  <a:ext cx="1057" cy="912"/>
                                                  <a:chOff x="5269" y="262052"/>
                                                  <a:chExt cx="1057" cy="912"/>
                                                </a:xfrm>
                                              </wpg:grpSpPr>
                                              <wps:wsp>
                                                <wps:cNvPr id="33" name="菱形 33"/>
                                                <wps:cNvSpPr/>
                                                <wps:spPr>
                                                  <a:xfrm>
                                                    <a:off x="5494" y="262052"/>
                                                    <a:ext cx="628" cy="750"/>
                                                  </a:xfrm>
                                                  <a:prstGeom prst="diamond">
                                                    <a:avLst/>
                                                  </a:prstGeom>
                                                  <a:ln w="25400" cap="flat" cmpd="sng">
                                                    <a:solidFill>
                                                      <a:srgbClr val="395E8A"/>
                                                    </a:solidFill>
                                                    <a:prstDash val="solid"/>
                                                    <a:round/>
                                                  </a:ln>
                                                </wps:spPr>
                                                <wps:txbx>
                                                  <w:txbxContent>
                                                    <w:p w14:paraId="46CE00CF">
                                                      <w:pPr>
                                                        <w:rPr>
                                                          <w:rFonts w:hint="eastAsia"/>
                                                          <w:lang w:val="en-US" w:eastAsia="zh-CN"/>
                                                        </w:rPr>
                                                      </w:pPr>
                                                    </w:p>
                                                  </w:txbxContent>
                                                </wps:txbx>
                                                <wps:bodyPr vert="horz" wrap="square" lIns="91440" tIns="45720" rIns="91440" bIns="45720" anchor="ctr">
                                                  <a:noAutofit/>
                                                </wps:bodyPr>
                                              </wps:wsp>
                                              <wps:wsp>
                                                <wps:cNvPr id="34" name="矩形 34"/>
                                                <wps:cNvSpPr/>
                                                <wps:spPr>
                                                  <a:xfrm>
                                                    <a:off x="5269" y="262150"/>
                                                    <a:ext cx="1057" cy="814"/>
                                                  </a:xfrm>
                                                  <a:prstGeom prst="rect">
                                                    <a:avLst/>
                                                  </a:prstGeom>
                                                  <a:ln>
                                                    <a:noFill/>
                                                  </a:ln>
                                                </wps:spPr>
                                                <wps:txbx>
                                                  <w:txbxContent>
                                                    <w:p w14:paraId="237BBE6A">
                                                      <w:pPr>
                                                        <w:jc w:val="center"/>
                                                        <w:rPr>
                                                          <w:rFonts w:hint="eastAsia"/>
                                                          <w:sz w:val="18"/>
                                                          <w:szCs w:val="21"/>
                                                          <w:lang w:val="en-US" w:eastAsia="zh-CN"/>
                                                        </w:rPr>
                                                      </w:pPr>
                                                      <w:r>
                                                        <w:rPr>
                                                          <w:rFonts w:hint="eastAsia"/>
                                                          <w:sz w:val="18"/>
                                                          <w:szCs w:val="21"/>
                                                          <w:lang w:val="en-US" w:eastAsia="zh-CN"/>
                                                        </w:rPr>
                                                        <w:t>锡膏</w:t>
                                                      </w:r>
                                                    </w:p>
                                                    <w:p w14:paraId="696E5D62">
                                                      <w:pPr>
                                                        <w:jc w:val="center"/>
                                                        <w:rPr>
                                                          <w:rFonts w:hint="default" w:eastAsia="宋体"/>
                                                          <w:sz w:val="18"/>
                                                          <w:szCs w:val="21"/>
                                                          <w:lang w:val="en-US" w:eastAsia="zh-CN"/>
                                                        </w:rPr>
                                                      </w:pPr>
                                                      <w:r>
                                                        <w:rPr>
                                                          <w:rFonts w:hint="eastAsia"/>
                                                          <w:sz w:val="18"/>
                                                          <w:szCs w:val="21"/>
                                                          <w:lang w:val="en-US" w:eastAsia="zh-CN"/>
                                                        </w:rPr>
                                                        <w:t>检查</w:t>
                                                      </w:r>
                                                    </w:p>
                                                  </w:txbxContent>
                                                </wps:txbx>
                                                <wps:bodyPr vert="horz" wrap="square" lIns="91440" tIns="45720" rIns="91440" bIns="45720" anchor="t">
                                                  <a:noAutofit/>
                                                </wps:bodyPr>
                                              </wps:wsp>
                                            </wpg:grpSp>
                                            <wpg:grpSp>
                                              <wpg:cNvPr id="35" name="组合 35"/>
                                              <wpg:cNvGrpSpPr/>
                                              <wpg:grpSpPr>
                                                <a:xfrm>
                                                  <a:off x="3122" y="262243"/>
                                                  <a:ext cx="2281" cy="414"/>
                                                  <a:chOff x="3122" y="262243"/>
                                                  <a:chExt cx="2281" cy="414"/>
                                                </a:xfrm>
                                              </wpg:grpSpPr>
                                              <wpg:grpSp>
                                                <wpg:cNvPr id="36" name="组合 36"/>
                                                <wpg:cNvGrpSpPr/>
                                                <wpg:grpSpPr>
                                                  <a:xfrm>
                                                    <a:off x="3122" y="262243"/>
                                                    <a:ext cx="2021" cy="414"/>
                                                    <a:chOff x="3122" y="262243"/>
                                                    <a:chExt cx="2021" cy="414"/>
                                                  </a:xfrm>
                                                </wpg:grpSpPr>
                                                <wps:wsp>
                                                  <wps:cNvPr id="37" name="矩形 37"/>
                                                  <wps:cNvSpPr/>
                                                  <wps:spPr>
                                                    <a:xfrm>
                                                      <a:off x="3122" y="262243"/>
                                                      <a:ext cx="872" cy="414"/>
                                                    </a:xfrm>
                                                    <a:prstGeom prst="rect">
                                                      <a:avLst/>
                                                    </a:prstGeom>
                                                    <a:ln w="25400" cap="flat" cmpd="sng">
                                                      <a:solidFill>
                                                        <a:srgbClr val="395E8A"/>
                                                      </a:solidFill>
                                                      <a:prstDash val="solid"/>
                                                      <a:round/>
                                                    </a:ln>
                                                  </wps:spPr>
                                                  <wps:txbx>
                                                    <w:txbxContent>
                                                      <w:p w14:paraId="2C7B836F">
                                                        <w:pPr>
                                                          <w:jc w:val="center"/>
                                                          <w:rPr>
                                                            <w:rFonts w:hint="eastAsia" w:eastAsia="宋体"/>
                                                            <w:color w:val="000000"/>
                                                            <w:sz w:val="20"/>
                                                            <w:szCs w:val="22"/>
                                                            <w:lang w:val="en-US" w:eastAsia="zh-CN"/>
                                                          </w:rPr>
                                                        </w:pPr>
                                                        <w:r>
                                                          <w:rPr>
                                                            <w:rFonts w:hint="eastAsia"/>
                                                            <w:color w:val="000000"/>
                                                            <w:sz w:val="20"/>
                                                            <w:szCs w:val="22"/>
                                                            <w:lang w:val="en-US" w:eastAsia="zh-CN"/>
                                                          </w:rPr>
                                                          <w:t>上料</w:t>
                                                        </w:r>
                                                      </w:p>
                                                    </w:txbxContent>
                                                  </wps:txbx>
                                                  <wps:bodyPr vert="horz" wrap="square" lIns="91440" tIns="45720" rIns="91440" bIns="45720" anchor="ctr">
                                                    <a:noAutofit/>
                                                  </wps:bodyPr>
                                                </wps:wsp>
                                                <wps:wsp>
                                                  <wps:cNvPr id="38" name="矩形 38"/>
                                                  <wps:cNvSpPr/>
                                                  <wps:spPr>
                                                    <a:xfrm>
                                                      <a:off x="4271" y="262243"/>
                                                      <a:ext cx="872" cy="414"/>
                                                    </a:xfrm>
                                                    <a:prstGeom prst="rect">
                                                      <a:avLst/>
                                                    </a:prstGeom>
                                                    <a:ln w="25400" cap="flat" cmpd="sng">
                                                      <a:solidFill>
                                                        <a:srgbClr val="395E8A"/>
                                                      </a:solidFill>
                                                      <a:prstDash val="solid"/>
                                                      <a:round/>
                                                    </a:ln>
                                                  </wps:spPr>
                                                  <wps:txbx>
                                                    <w:txbxContent>
                                                      <w:p w14:paraId="1E0DE656">
                                                        <w:pPr>
                                                          <w:jc w:val="center"/>
                                                          <w:rPr>
                                                            <w:rFonts w:hint="default" w:eastAsia="宋体"/>
                                                            <w:color w:val="000000"/>
                                                            <w:sz w:val="20"/>
                                                            <w:szCs w:val="22"/>
                                                            <w:lang w:val="en-US" w:eastAsia="zh-CN"/>
                                                          </w:rPr>
                                                        </w:pPr>
                                                        <w:r>
                                                          <w:rPr>
                                                            <w:rFonts w:hint="eastAsia"/>
                                                            <w:color w:val="000000"/>
                                                            <w:sz w:val="20"/>
                                                            <w:szCs w:val="22"/>
                                                            <w:lang w:val="en-US" w:eastAsia="zh-CN"/>
                                                          </w:rPr>
                                                          <w:t>印刷</w:t>
                                                        </w:r>
                                                      </w:p>
                                                    </w:txbxContent>
                                                  </wps:txbx>
                                                  <wps:bodyPr vert="horz" wrap="square" lIns="91440" tIns="45720" rIns="91440" bIns="45720" anchor="ctr">
                                                    <a:noAutofit/>
                                                  </wps:bodyPr>
                                                </wps:wsp>
                                                <wps:wsp>
                                                  <wps:cNvPr id="39" name="直接箭头连接符 39"/>
                                                  <wps:cNvCnPr/>
                                                  <wps:spPr>
                                                    <a:xfrm>
                                                      <a:off x="3994" y="262450"/>
                                                      <a:ext cx="277" cy="0"/>
                                                    </a:xfrm>
                                                    <a:prstGeom prst="straightConnector1">
                                                      <a:avLst/>
                                                    </a:prstGeom>
                                                    <a:ln w="9525" cap="flat" cmpd="sng">
                                                      <a:solidFill>
                                                        <a:srgbClr val="000000"/>
                                                      </a:solidFill>
                                                      <a:prstDash val="solid"/>
                                                      <a:round/>
                                                      <a:tailEnd type="arrow" w="med" len="med"/>
                                                    </a:ln>
                                                  </wps:spPr>
                                                  <wps:bodyPr/>
                                                </wps:wsp>
                                              </wpg:grpSp>
                                              <wps:wsp>
                                                <wps:cNvPr id="40" name="直接箭头连接符 40"/>
                                                <wps:cNvCnPr/>
                                                <wps:spPr>
                                                  <a:xfrm flipV="1">
                                                    <a:off x="5143" y="262442"/>
                                                    <a:ext cx="261" cy="8"/>
                                                  </a:xfrm>
                                                  <a:prstGeom prst="straightConnector1">
                                                    <a:avLst/>
                                                  </a:prstGeom>
                                                  <a:ln w="9525" cap="flat" cmpd="sng">
                                                    <a:solidFill>
                                                      <a:srgbClr val="000000"/>
                                                    </a:solidFill>
                                                    <a:prstDash val="solid"/>
                                                    <a:round/>
                                                    <a:tailEnd type="arrow" w="med" len="med"/>
                                                  </a:ln>
                                                </wps:spPr>
                                                <wps:bodyPr/>
                                              </wps:wsp>
                                            </wpg:grpSp>
                                          </wpg:grpSp>
                                          <wpg:grpSp>
                                            <wpg:cNvPr id="41" name="组合 41"/>
                                            <wpg:cNvGrpSpPr/>
                                            <wpg:grpSpPr>
                                              <a:xfrm>
                                                <a:off x="5370" y="261350"/>
                                                <a:ext cx="723" cy="717"/>
                                                <a:chOff x="5370" y="261350"/>
                                                <a:chExt cx="723" cy="717"/>
                                              </a:xfrm>
                                            </wpg:grpSpPr>
                                            <wps:wsp>
                                              <wps:cNvPr id="42" name="直接箭头连接符 42"/>
                                              <wps:cNvCnPr/>
                                              <wps:spPr>
                                                <a:xfrm flipV="1">
                                                  <a:off x="5718" y="261816"/>
                                                  <a:ext cx="8" cy="251"/>
                                                </a:xfrm>
                                                <a:prstGeom prst="straightConnector1">
                                                  <a:avLst/>
                                                </a:prstGeom>
                                                <a:ln w="9525" cap="flat" cmpd="sng">
                                                  <a:solidFill>
                                                    <a:srgbClr val="000000"/>
                                                  </a:solidFill>
                                                  <a:prstDash val="solid"/>
                                                  <a:round/>
                                                  <a:tailEnd type="arrow" w="med" len="med"/>
                                                </a:ln>
                                              </wps:spPr>
                                              <wps:bodyPr/>
                                            </wps:wsp>
                                            <wpg:grpSp>
                                              <wpg:cNvPr id="43" name="组合 43"/>
                                              <wpg:cNvGrpSpPr/>
                                              <wpg:grpSpPr>
                                                <a:xfrm>
                                                  <a:off x="5370" y="261350"/>
                                                  <a:ext cx="723" cy="466"/>
                                                  <a:chOff x="5370" y="261350"/>
                                                  <a:chExt cx="723" cy="466"/>
                                                </a:xfrm>
                                              </wpg:grpSpPr>
                                              <wps:wsp>
                                                <wps:cNvPr id="44" name="椭圆 44"/>
                                                <wps:cNvSpPr/>
                                                <wps:spPr>
                                                  <a:xfrm>
                                                    <a:off x="5444" y="261350"/>
                                                    <a:ext cx="564" cy="466"/>
                                                  </a:xfrm>
                                                  <a:prstGeom prst="ellipse">
                                                    <a:avLst/>
                                                  </a:prstGeom>
                                                  <a:ln w="25400" cap="flat" cmpd="sng">
                                                    <a:solidFill>
                                                      <a:srgbClr val="395E8A"/>
                                                    </a:solidFill>
                                                    <a:prstDash val="solid"/>
                                                    <a:round/>
                                                  </a:ln>
                                                </wps:spPr>
                                                <wps:txbx>
                                                  <w:txbxContent>
                                                    <w:p w14:paraId="0BD68956">
                                                      <w:pPr>
                                                        <w:rPr>
                                                          <w:rFonts w:hint="eastAsia"/>
                                                          <w:lang w:val="en-US" w:eastAsia="zh-CN"/>
                                                        </w:rPr>
                                                      </w:pPr>
                                                    </w:p>
                                                  </w:txbxContent>
                                                </wps:txbx>
                                                <wps:bodyPr vert="horz" wrap="square" lIns="91440" tIns="45720" rIns="91440" bIns="45720" anchor="ctr">
                                                  <a:noAutofit/>
                                                </wps:bodyPr>
                                              </wps:wsp>
                                              <wps:wsp>
                                                <wps:cNvPr id="45" name="矩形 45"/>
                                                <wps:cNvSpPr/>
                                                <wps:spPr>
                                                  <a:xfrm>
                                                    <a:off x="5370" y="261408"/>
                                                    <a:ext cx="723" cy="364"/>
                                                  </a:xfrm>
                                                  <a:prstGeom prst="rect">
                                                    <a:avLst/>
                                                  </a:prstGeom>
                                                  <a:ln>
                                                    <a:noFill/>
                                                  </a:ln>
                                                </wps:spPr>
                                                <wps:txbx>
                                                  <w:txbxContent>
                                                    <w:p w14:paraId="44F7795F">
                                                      <w:pPr>
                                                        <w:jc w:val="center"/>
                                                        <w:rPr>
                                                          <w:rFonts w:hint="eastAsia" w:eastAsia="宋体"/>
                                                          <w:sz w:val="18"/>
                                                          <w:szCs w:val="21"/>
                                                          <w:lang w:val="en-US" w:eastAsia="zh-CN"/>
                                                        </w:rPr>
                                                      </w:pPr>
                                                      <w:r>
                                                        <w:rPr>
                                                          <w:rFonts w:hint="eastAsia"/>
                                                          <w:sz w:val="18"/>
                                                          <w:szCs w:val="21"/>
                                                          <w:lang w:val="en-US" w:eastAsia="zh-CN"/>
                                                        </w:rPr>
                                                        <w:t>返工</w:t>
                                                      </w:r>
                                                    </w:p>
                                                  </w:txbxContent>
                                                </wps:txbx>
                                                <wps:bodyPr vert="horz" wrap="square" lIns="91440" tIns="45720" rIns="91440" bIns="45720" anchor="t">
                                                  <a:noAutofit/>
                                                </wps:bodyPr>
                                              </wps:wsp>
                                            </wpg:grpSp>
                                          </wpg:grpSp>
                                        </wpg:grpSp>
                                      </wpg:grpSp>
                                    </wpg:grpSp>
                                    <wpg:grpSp>
                                      <wpg:cNvPr id="46" name="组合 46"/>
                                      <wpg:cNvGrpSpPr/>
                                      <wpg:grpSpPr>
                                        <a:xfrm>
                                          <a:off x="8817" y="261315"/>
                                          <a:ext cx="723" cy="747"/>
                                          <a:chOff x="5360" y="261350"/>
                                          <a:chExt cx="723" cy="747"/>
                                        </a:xfrm>
                                      </wpg:grpSpPr>
                                      <wps:wsp>
                                        <wps:cNvPr id="47" name="直接箭头连接符 47"/>
                                        <wps:cNvCnPr/>
                                        <wps:spPr>
                                          <a:xfrm flipH="1" flipV="1">
                                            <a:off x="5726" y="261816"/>
                                            <a:ext cx="4" cy="281"/>
                                          </a:xfrm>
                                          <a:prstGeom prst="straightConnector1">
                                            <a:avLst/>
                                          </a:prstGeom>
                                          <a:ln w="9525" cap="flat" cmpd="sng">
                                            <a:solidFill>
                                              <a:srgbClr val="000000"/>
                                            </a:solidFill>
                                            <a:prstDash val="solid"/>
                                            <a:round/>
                                            <a:tailEnd type="arrow" w="med" len="med"/>
                                          </a:ln>
                                        </wps:spPr>
                                        <wps:bodyPr/>
                                      </wps:wsp>
                                      <wpg:grpSp>
                                        <wpg:cNvPr id="48" name="组合 48"/>
                                        <wpg:cNvGrpSpPr/>
                                        <wpg:grpSpPr>
                                          <a:xfrm>
                                            <a:off x="5360" y="261350"/>
                                            <a:ext cx="723" cy="466"/>
                                            <a:chOff x="5360" y="261350"/>
                                            <a:chExt cx="723" cy="466"/>
                                          </a:xfrm>
                                        </wpg:grpSpPr>
                                        <wps:wsp>
                                          <wps:cNvPr id="49" name="椭圆 49"/>
                                          <wps:cNvSpPr/>
                                          <wps:spPr>
                                            <a:xfrm>
                                              <a:off x="5444" y="261350"/>
                                              <a:ext cx="564" cy="466"/>
                                            </a:xfrm>
                                            <a:prstGeom prst="ellipse">
                                              <a:avLst/>
                                            </a:prstGeom>
                                            <a:ln w="25400" cap="flat" cmpd="sng">
                                              <a:solidFill>
                                                <a:srgbClr val="395E8A"/>
                                              </a:solidFill>
                                              <a:prstDash val="solid"/>
                                              <a:round/>
                                            </a:ln>
                                          </wps:spPr>
                                          <wps:txbx>
                                            <w:txbxContent>
                                              <w:p w14:paraId="26570579">
                                                <w:pPr>
                                                  <w:rPr>
                                                    <w:rFonts w:hint="eastAsia"/>
                                                    <w:lang w:val="en-US" w:eastAsia="zh-CN"/>
                                                  </w:rPr>
                                                </w:pPr>
                                              </w:p>
                                            </w:txbxContent>
                                          </wps:txbx>
                                          <wps:bodyPr vert="horz" wrap="square" lIns="91440" tIns="45720" rIns="91440" bIns="45720" anchor="ctr">
                                            <a:noAutofit/>
                                          </wps:bodyPr>
                                        </wps:wsp>
                                        <wps:wsp>
                                          <wps:cNvPr id="50" name="矩形 50"/>
                                          <wps:cNvSpPr/>
                                          <wps:spPr>
                                            <a:xfrm>
                                              <a:off x="5360" y="261397"/>
                                              <a:ext cx="723" cy="364"/>
                                            </a:xfrm>
                                            <a:prstGeom prst="rect">
                                              <a:avLst/>
                                            </a:prstGeom>
                                            <a:ln>
                                              <a:noFill/>
                                            </a:ln>
                                          </wps:spPr>
                                          <wps:txbx>
                                            <w:txbxContent>
                                              <w:p w14:paraId="6493068D">
                                                <w:pPr>
                                                  <w:jc w:val="center"/>
                                                  <w:rPr>
                                                    <w:rFonts w:hint="default" w:eastAsia="宋体"/>
                                                    <w:sz w:val="18"/>
                                                    <w:szCs w:val="21"/>
                                                    <w:lang w:val="en-US" w:eastAsia="zh-CN"/>
                                                  </w:rPr>
                                                </w:pPr>
                                                <w:r>
                                                  <w:rPr>
                                                    <w:rFonts w:hint="eastAsia"/>
                                                    <w:sz w:val="18"/>
                                                    <w:szCs w:val="21"/>
                                                    <w:lang w:val="en-US" w:eastAsia="zh-CN"/>
                                                  </w:rPr>
                                                  <w:t>修复</w:t>
                                                </w:r>
                                              </w:p>
                                            </w:txbxContent>
                                          </wps:txbx>
                                          <wps:bodyPr vert="horz" wrap="square" lIns="91440" tIns="45720" rIns="91440" bIns="45720" anchor="t">
                                            <a:noAutofit/>
                                          </wps:bodyPr>
                                        </wps:wsp>
                                      </wpg:grpSp>
                                    </wpg:grpSp>
                                    <wps:wsp>
                                      <wps:cNvPr id="51" name="肘形连接符 51"/>
                                      <wps:cNvCnPr/>
                                      <wps:spPr>
                                        <a:xfrm rot="10800000" flipV="1">
                                          <a:off x="8612" y="261548"/>
                                          <a:ext cx="289" cy="887"/>
                                        </a:xfrm>
                                        <a:prstGeom prst="bentConnector2">
                                          <a:avLst/>
                                        </a:prstGeom>
                                        <a:ln w="9525" cap="flat" cmpd="sng">
                                          <a:solidFill>
                                            <a:srgbClr val="000000"/>
                                          </a:solidFill>
                                          <a:prstDash val="solid"/>
                                          <a:round/>
                                          <a:tailEnd type="arrow" w="med" len="med"/>
                                        </a:ln>
                                      </wps:spPr>
                                      <wps:bodyPr/>
                                    </wps:wsp>
                                  </wpg:grpSp>
                                  <wps:wsp>
                                    <wps:cNvPr id="52" name="矩形 52"/>
                                    <wps:cNvSpPr/>
                                    <wps:spPr>
                                      <a:xfrm>
                                        <a:off x="9251" y="261753"/>
                                        <a:ext cx="632" cy="387"/>
                                      </a:xfrm>
                                      <a:prstGeom prst="rect">
                                        <a:avLst/>
                                      </a:prstGeom>
                                      <a:ln>
                                        <a:noFill/>
                                      </a:ln>
                                    </wps:spPr>
                                    <wps:txbx>
                                      <w:txbxContent>
                                        <w:p w14:paraId="1B49C134">
                                          <w:pPr>
                                            <w:rPr>
                                              <w:rFonts w:hint="eastAsia" w:eastAsia="宋体"/>
                                              <w:sz w:val="18"/>
                                              <w:szCs w:val="21"/>
                                              <w:lang w:val="en-US" w:eastAsia="zh-CN"/>
                                            </w:rPr>
                                          </w:pPr>
                                          <w:r>
                                            <w:rPr>
                                              <w:rFonts w:hint="eastAsia"/>
                                              <w:sz w:val="18"/>
                                              <w:szCs w:val="21"/>
                                              <w:lang w:val="en-US" w:eastAsia="zh-CN"/>
                                            </w:rPr>
                                            <w:t>NG</w:t>
                                          </w:r>
                                        </w:p>
                                      </w:txbxContent>
                                    </wps:txbx>
                                    <wps:bodyPr vert="horz" wrap="square" lIns="91440" tIns="45720" rIns="91440" bIns="45720" anchor="t">
                                      <a:noAutofit/>
                                    </wps:bodyPr>
                                  </wps:wsp>
                                </wpg:wgp>
                              </a:graphicData>
                            </a:graphic>
                          </wp:anchor>
                        </w:drawing>
                      </mc:Choice>
                      <mc:Fallback>
                        <w:pict>
                          <v:group id="组合 81" o:spid="_x0000_s1026" o:spt="203" style="position:absolute;left:0pt;margin-left:16.7pt;margin-top:0.3pt;height:83.2pt;width:357.4pt;z-index:251660288;mso-width-relative:page;mso-height-relative:page;" coordorigin="3122,261315" coordsize="7148,1664" o:gfxdata="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">
                            <o:lock v:ext="edit" aspectratio="f"/>
                            <v:group id="_x0000_s1026" o:spid="_x0000_s1026" o:spt="203" style="position:absolute;left:3122;top:261315;height:1664;width:7148;" coordorigin="3122,261315" coordsize="7148,1664" o:gfxdata="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YzQ4iL0AAADbAAAADwAAAAAAAAABACAAAAAiAAAAZHJzL2Rvd25yZXYueG1s&#10;UEsBAhQAFAAAAAgAh07iQDMvBZ47AAAAOQAAABUAAAAAAAAAAQAgAAAADAEAAGRycy9ncm91cHNo&#10;YXBleG1sLnhtbFBLBQYAAAAABgAGAGABAADJAwAAAAA=&#10;">
                              <o:lock v:ext="edit" aspectratio="f"/>
                              <v:group id="_x0000_s1026" o:spid="_x0000_s1026" o:spt="203" style="position:absolute;left:8873;top:262062;height:750;width:1397;" coordorigin="5494,262052" coordsize="1397,750" o:gfxdata="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PGJbqLoAAADbAAAADwAAAAAAAAABACAAAAAiAAAAZHJzL2Rvd25yZXYueG1sUEsB&#10;AhQAFAAAAAgAh07iQDMvBZ47AAAAOQAAABUAAAAAAAAAAQAgAAAACQEAAGRycy9ncm91cHNoYXBl&#10;eG1sLnhtbFBLBQYAAAAABgAGAGABAADGAwAAAAA=&#10;">
                                <o:lock v:ext="edit" aspectratio="f"/>
                                <v:shape id="_x0000_s1026" o:spid="_x0000_s1026" o:spt="4" type="#_x0000_t4" style="position:absolute;left:5494;top:262052;height:750;width:628;v-text-anchor:middle;" filled="f" stroked="t" coordsize="21600,21600" o:gfxdata="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XMJCa8AAAA&#10;2wAAAA8AAAAAAAAAAQAgAAAAIgAAAGRycy9kb3ducmV2LnhtbFBLAQIUABQAAAAIAIdO4kAzLwWe&#10;OwAAADkAAAAQAAAAAAAAAAEAIAAAAAsBAABkcnMvc2hhcGV4bWwueG1sUEsFBgAAAAAGAAYAWwEA&#10;ALUDAAAAAA==&#10;">
                                  <v:fill on="f" focussize="0,0"/>
                                  <v:stroke weight="2pt" color="#395E8A" joinstyle="round"/>
                                  <v:imagedata o:title=""/>
                                  <o:lock v:ext="edit" aspectratio="f"/>
                                  <v:textbox>
                                    <w:txbxContent>
                                      <w:p w14:paraId="056321CA">
                                        <w:pPr>
                                          <w:rPr>
                                            <w:rFonts w:hint="eastAsia"/>
                                            <w:lang w:val="en-US" w:eastAsia="zh-CN"/>
                                          </w:rPr>
                                        </w:pPr>
                                      </w:p>
                                    </w:txbxContent>
                                  </v:textbox>
                                </v:shape>
                                <v:rect id="_x0000_s1026" o:spid="_x0000_s1026" o:spt="1" style="position:absolute;left:5970;top:262117;height:618;width:921;" filled="f" stroked="f" coordsize="21600,21600" o:gfxdata="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c1VQb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79AC4E9E">
                                        <w:pPr>
                                          <w:jc w:val="center"/>
                                          <w:rPr>
                                            <w:rFonts w:hint="default" w:eastAsia="宋体"/>
                                            <w:sz w:val="18"/>
                                            <w:szCs w:val="21"/>
                                            <w:lang w:val="en-US" w:eastAsia="zh-CN"/>
                                          </w:rPr>
                                        </w:pPr>
                                        <w:r>
                                          <w:rPr>
                                            <w:rFonts w:hint="eastAsia"/>
                                            <w:sz w:val="18"/>
                                            <w:szCs w:val="21"/>
                                            <w:lang w:val="en-US" w:eastAsia="zh-CN"/>
                                          </w:rPr>
                                          <w:t>自动光学检验</w:t>
                                        </w:r>
                                      </w:p>
                                    </w:txbxContent>
                                  </v:textbox>
                                </v:rect>
                              </v:group>
                              <v:shape id="_x0000_s1026" o:spid="_x0000_s1026" o:spt="32" type="#_x0000_t32" style="position:absolute;left:8447;top:262437;flip:y;height:13;width:426;" filled="f" stroked="t" coordsize="21600,21600" o:gfxdata="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Dv20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shape>
                              <v:group id="_x0000_s1026" o:spid="_x0000_s1026" o:spt="203" style="position:absolute;left:3122;top:261350;height:1629;width:5325;" coordorigin="3122,261350" coordsize="5325,1629" o:gfxdata="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DWV2rvwAAANsAAAAPAAAAAAAAAAEAIAAAACIAAABkcnMvZG93bnJldi54&#10;bWxQSwECFAAUAAAACACHTuJAMy8FnjsAAAA5AAAAFQAAAAAAAAABACAAAAAOAQAAZHJzL2dyb3Vw&#10;c2hhcGV4bWwueG1sUEsFBgAAAAAGAAYAYAEAAMsDAAAAAA==&#10;">
                                <o:lock v:ext="edit" aspectratio="f"/>
                                <v:rect id="_x0000_s1026" o:spid="_x0000_s1026" o:spt="1" style="position:absolute;left:6306;top:262243;height:414;width:872;v-text-anchor:middle;" filled="f" stroked="t" coordsize="21600,21600" o:gfxdata="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7prXrsAAADb&#10;AAAADwAAAAAAAAABACAAAAAiAAAAZHJzL2Rvd25yZXYueG1sUEsBAhQAFAAAAAgAh07iQDMvBZ47&#10;AAAAOQAAABAAAAAAAAAAAQAgAAAACgEAAGRycy9zaGFwZXhtbC54bWxQSwUGAAAAAAYABgBbAQAA&#10;tAMAAAAA&#10;">
                                  <v:fill on="f" focussize="0,0"/>
                                  <v:stroke weight="2pt" color="#395E8A" joinstyle="round"/>
                                  <v:imagedata o:title=""/>
                                  <o:lock v:ext="edit" aspectratio="f"/>
                                  <v:textbox>
                                    <w:txbxContent>
                                      <w:p w14:paraId="1748741B">
                                        <w:pPr>
                                          <w:jc w:val="center"/>
                                          <w:rPr>
                                            <w:rFonts w:hint="default" w:eastAsia="宋体"/>
                                            <w:color w:val="000000"/>
                                            <w:sz w:val="20"/>
                                            <w:szCs w:val="22"/>
                                            <w:lang w:val="en-US" w:eastAsia="zh-CN"/>
                                          </w:rPr>
                                        </w:pPr>
                                        <w:r>
                                          <w:rPr>
                                            <w:rFonts w:hint="eastAsia"/>
                                            <w:color w:val="000000"/>
                                            <w:sz w:val="20"/>
                                            <w:szCs w:val="22"/>
                                            <w:lang w:val="en-US" w:eastAsia="zh-CN"/>
                                          </w:rPr>
                                          <w:t>贴片</w:t>
                                        </w:r>
                                      </w:p>
                                    </w:txbxContent>
                                  </v:textbox>
                                </v:rect>
                                <v:rect id="_x0000_s1026" o:spid="_x0000_s1026" o:spt="1" style="position:absolute;left:7454;top:262243;height:414;width:993;v-text-anchor:middle;" filled="f" stroked="t" coordsize="21600,21600" o:gfxdata="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baPUpugAAANsA&#10;AAAPAAAAAAAAAAEAIAAAACIAAABkcnMvZG93bnJldi54bWxQSwECFAAUAAAACACHTuJAMy8FnjsA&#10;AAA5AAAAEAAAAAAAAAABACAAAAAJAQAAZHJzL3NoYXBleG1sLnhtbFBLBQYAAAAABgAGAFsBAACz&#10;AwAAAAA=&#10;">
                                  <v:fill on="f" focussize="0,0"/>
                                  <v:stroke weight="2pt" color="#395E8A" joinstyle="round"/>
                                  <v:imagedata o:title=""/>
                                  <o:lock v:ext="edit" aspectratio="f"/>
                                  <v:textbox>
                                    <w:txbxContent>
                                      <w:p w14:paraId="0E630A0B">
                                        <w:pPr>
                                          <w:jc w:val="center"/>
                                          <w:rPr>
                                            <w:rFonts w:hint="default" w:eastAsia="宋体"/>
                                            <w:color w:val="000000"/>
                                            <w:sz w:val="20"/>
                                            <w:szCs w:val="22"/>
                                            <w:lang w:val="en-US" w:eastAsia="zh-CN"/>
                                          </w:rPr>
                                        </w:pPr>
                                        <w:r>
                                          <w:rPr>
                                            <w:rFonts w:hint="eastAsia"/>
                                            <w:color w:val="000000"/>
                                            <w:sz w:val="20"/>
                                            <w:szCs w:val="22"/>
                                            <w:lang w:val="en-US" w:eastAsia="zh-CN"/>
                                          </w:rPr>
                                          <w:t>回流焊</w:t>
                                        </w:r>
                                      </w:p>
                                    </w:txbxContent>
                                  </v:textbox>
                                </v:rect>
                                <v:shape id="_x0000_s1026" o:spid="_x0000_s1026" o:spt="32" type="#_x0000_t32" style="position:absolute;left:7178;top:262450;height:0;width:276;" filled="f" stroked="t" coordsize="21600,21600" o:gfxdata="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d76qLsAAADb&#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shape>
                                <v:group id="_x0000_s1026" o:spid="_x0000_s1026" o:spt="203" style="position:absolute;left:3122;top:261350;height:1629;width:3184;" coordorigin="3122,261350" coordsize="3184,1629" o:gfxdata="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whRXrroAAADbAAAADwAAAAAAAAABACAAAAAiAAAAZHJzL2Rvd25yZXYueG1sUEsB&#10;AhQAFAAAAAgAh07iQDMvBZ47AAAAOQAAABUAAAAAAAAAAQAgAAAACQEAAGRycy9ncm91cHNoYXBl&#10;eG1sLnhtbFBLBQYAAAAABgAGAGABAADGAwAAAAA=&#10;">
                                  <o:lock v:ext="edit" aspectratio="f"/>
                                  <v:shape id="_x0000_s1026" o:spid="_x0000_s1026" o:spt="32" type="#_x0000_t32" style="position:absolute;left:6032;top:262442;height:8;width:274;" filled="f" stroked="t" coordsize="21600,21600" o:gfxdata="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w3LQbsAAADb&#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shape>
                                  <v:group id="_x0000_s1026" o:spid="_x0000_s1026" o:spt="203" style="position:absolute;left:3122;top:261350;height:1629;width:3113;" coordorigin="3122,261350" coordsize="3113,1629" o:gfxdata="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ubvNdboAAADbAAAADwAAAAAAAAABACAAAAAiAAAAZHJzL2Rvd25yZXYueG1sUEsB&#10;AhQAFAAAAAgAh07iQDMvBZ47AAAAOQAAABUAAAAAAAAAAQAgAAAACQEAAGRycy9ncm91cHNoYXBl&#10;eG1sLnhtbFBLBQYAAAAABgAGAGABAADGAwAAAAA=&#10;">
                                    <o:lock v:ext="edit" aspectratio="f"/>
                                    <v:group id="_x0000_s1026" o:spid="_x0000_s1026" o:spt="203" style="position:absolute;left:3122;top:262067;height:912;width:3113;" coordorigin="3122,262067" coordsize="3113,912" o:gfxdata="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Nb3aO6+AAAA2wAAAA8AAAAAAAAAAQAgAAAAIgAAAGRycy9kb3ducmV2Lnht&#10;bFBLAQIUABQAAAAIAIdO4kAzLwWeOwAAADkAAAAVAAAAAAAAAAEAIAAAAA0BAABkcnMvZ3JvdXBz&#10;aGFwZXhtbC54bWxQSwUGAAAAAAYABgBgAQAAygMAAAAA&#10;">
                                      <o:lock v:ext="edit" aspectratio="f"/>
                                      <v:group id="_x0000_s1026" o:spid="_x0000_s1026" o:spt="203" style="position:absolute;left:5179;top:262067;height:912;width:1057;" coordorigin="5269,262052" coordsize="1057,912" o:gfxdata="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iX2mb0AAADbAAAADwAAAAAAAAABACAAAAAiAAAAZHJzL2Rvd25yZXYueG1s&#10;UEsBAhQAFAAAAAgAh07iQDMvBZ47AAAAOQAAABUAAAAAAAAAAQAgAAAADAEAAGRycy9ncm91cHNo&#10;YXBleG1sLnhtbFBLBQYAAAAABgAGAGABAADJAwAAAAA=&#10;">
                                        <o:lock v:ext="edit" aspectratio="f"/>
                                        <v:shape id="_x0000_s1026" o:spid="_x0000_s1026" o:spt="4" type="#_x0000_t4" style="position:absolute;left:5494;top:262052;height:750;width:628;v-text-anchor:middle;" filled="f" stroked="t" coordsize="21600,21600" o:gfxdata="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LiRe8AAAA&#10;2wAAAA8AAAAAAAAAAQAgAAAAIgAAAGRycy9kb3ducmV2LnhtbFBLAQIUABQAAAAIAIdO4kAzLwWe&#10;OwAAADkAAAAQAAAAAAAAAAEAIAAAAAsBAABkcnMvc2hhcGV4bWwueG1sUEsFBgAAAAAGAAYAWwEA&#10;ALUDAAAAAA==&#10;">
                                          <v:fill on="f" focussize="0,0"/>
                                          <v:stroke weight="2pt" color="#395E8A" joinstyle="round"/>
                                          <v:imagedata o:title=""/>
                                          <o:lock v:ext="edit" aspectratio="f"/>
                                          <v:textbox>
                                            <w:txbxContent>
                                              <w:p w14:paraId="46CE00CF">
                                                <w:pPr>
                                                  <w:rPr>
                                                    <w:rFonts w:hint="eastAsia"/>
                                                    <w:lang w:val="en-US" w:eastAsia="zh-CN"/>
                                                  </w:rPr>
                                                </w:pPr>
                                              </w:p>
                                            </w:txbxContent>
                                          </v:textbox>
                                        </v:shape>
                                        <v:rect id="_x0000_s1026" o:spid="_x0000_s1026" o:spt="1" style="position:absolute;left:5269;top:262150;height:814;width:1057;" filled="f" stroked="f" coordsize="21600,21600" o:gfxdata="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LH+c7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237BBE6A">
                                                <w:pPr>
                                                  <w:jc w:val="center"/>
                                                  <w:rPr>
                                                    <w:rFonts w:hint="eastAsia"/>
                                                    <w:sz w:val="18"/>
                                                    <w:szCs w:val="21"/>
                                                    <w:lang w:val="en-US" w:eastAsia="zh-CN"/>
                                                  </w:rPr>
                                                </w:pPr>
                                                <w:r>
                                                  <w:rPr>
                                                    <w:rFonts w:hint="eastAsia"/>
                                                    <w:sz w:val="18"/>
                                                    <w:szCs w:val="21"/>
                                                    <w:lang w:val="en-US" w:eastAsia="zh-CN"/>
                                                  </w:rPr>
                                                  <w:t>锡膏</w:t>
                                                </w:r>
                                              </w:p>
                                              <w:p w14:paraId="696E5D62">
                                                <w:pPr>
                                                  <w:jc w:val="center"/>
                                                  <w:rPr>
                                                    <w:rFonts w:hint="default" w:eastAsia="宋体"/>
                                                    <w:sz w:val="18"/>
                                                    <w:szCs w:val="21"/>
                                                    <w:lang w:val="en-US" w:eastAsia="zh-CN"/>
                                                  </w:rPr>
                                                </w:pPr>
                                                <w:r>
                                                  <w:rPr>
                                                    <w:rFonts w:hint="eastAsia"/>
                                                    <w:sz w:val="18"/>
                                                    <w:szCs w:val="21"/>
                                                    <w:lang w:val="en-US" w:eastAsia="zh-CN"/>
                                                  </w:rPr>
                                                  <w:t>检查</w:t>
                                                </w:r>
                                              </w:p>
                                            </w:txbxContent>
                                          </v:textbox>
                                        </v:rect>
                                      </v:group>
                                      <v:group id="_x0000_s1026" o:spid="_x0000_s1026" o:spt="203" style="position:absolute;left:3122;top:262243;height:414;width:2281;" coordorigin="3122,262243" coordsize="2281,414" o:gfxdata="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qcxu7b0AAADbAAAADwAAAAAAAAABACAAAAAiAAAAZHJzL2Rvd25yZXYueG1s&#10;UEsBAhQAFAAAAAgAh07iQDMvBZ47AAAAOQAAABUAAAAAAAAAAQAgAAAADAEAAGRycy9ncm91cHNo&#10;YXBleG1sLnhtbFBLBQYAAAAABgAGAGABAADJAwAAAAA=&#10;">
                                        <o:lock v:ext="edit" aspectratio="f"/>
                                        <v:group id="_x0000_s1026" o:spid="_x0000_s1026" o:spt="203" style="position:absolute;left:3122;top:262243;height:414;width:2021;" coordorigin="3122,262243" coordsize="2021,414" o:gfxdata="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ZHvCavAAAANsAAAAPAAAAAAAAAAEAIAAAACIAAABkcnMvZG93bnJldi54bWxQ&#10;SwECFAAUAAAACACHTuJAMy8FnjsAAAA5AAAAFQAAAAAAAAABACAAAAALAQAAZHJzL2dyb3Vwc2hh&#10;cGV4bWwueG1sUEsFBgAAAAAGAAYAYAEAAMgDAAAAAA==&#10;">
                                          <o:lock v:ext="edit" aspectratio="f"/>
                                          <v:rect id="_x0000_s1026" o:spid="_x0000_s1026" o:spt="1" style="position:absolute;left:3122;top:262243;height:414;width:872;v-text-anchor:middle;" filled="f" stroked="t" coordsize="21600,21600" o:gfxdata="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f3Gb7sAAADb&#10;AAAADwAAAAAAAAABACAAAAAiAAAAZHJzL2Rvd25yZXYueG1sUEsBAhQAFAAAAAgAh07iQDMvBZ47&#10;AAAAOQAAABAAAAAAAAAAAQAgAAAACgEAAGRycy9zaGFwZXhtbC54bWxQSwUGAAAAAAYABgBbAQAA&#10;tAMAAAAA&#10;">
                                            <v:fill on="f" focussize="0,0"/>
                                            <v:stroke weight="2pt" color="#395E8A" joinstyle="round"/>
                                            <v:imagedata o:title=""/>
                                            <o:lock v:ext="edit" aspectratio="f"/>
                                            <v:textbox>
                                              <w:txbxContent>
                                                <w:p w14:paraId="2C7B836F">
                                                  <w:pPr>
                                                    <w:jc w:val="center"/>
                                                    <w:rPr>
                                                      <w:rFonts w:hint="eastAsia" w:eastAsia="宋体"/>
                                                      <w:color w:val="000000"/>
                                                      <w:sz w:val="20"/>
                                                      <w:szCs w:val="22"/>
                                                      <w:lang w:val="en-US" w:eastAsia="zh-CN"/>
                                                    </w:rPr>
                                                  </w:pPr>
                                                  <w:r>
                                                    <w:rPr>
                                                      <w:rFonts w:hint="eastAsia"/>
                                                      <w:color w:val="000000"/>
                                                      <w:sz w:val="20"/>
                                                      <w:szCs w:val="22"/>
                                                      <w:lang w:val="en-US" w:eastAsia="zh-CN"/>
                                                    </w:rPr>
                                                    <w:t>上料</w:t>
                                                  </w:r>
                                                </w:p>
                                              </w:txbxContent>
                                            </v:textbox>
                                          </v:rect>
                                          <v:rect id="_x0000_s1026" o:spid="_x0000_s1026" o:spt="1" style="position:absolute;left:4271;top:262243;height:414;width:872;v-text-anchor:middle;" filled="f" stroked="t" coordsize="21600,21600" o:gfxdata="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AYlIdtwAAANsAAAAP&#10;AAAAAAAAAAEAIAAAACIAAABkcnMvZG93bnJldi54bWxQSwECFAAUAAAACACHTuJAMy8FnjsAAAA5&#10;AAAAEAAAAAAAAAABACAAAAAGAQAAZHJzL3NoYXBleG1sLnhtbFBLBQYAAAAABgAGAFsBAACwAwAA&#10;AAA=&#10;">
                                            <v:fill on="f" focussize="0,0"/>
                                            <v:stroke weight="2pt" color="#395E8A" joinstyle="round"/>
                                            <v:imagedata o:title=""/>
                                            <o:lock v:ext="edit" aspectratio="f"/>
                                            <v:textbox>
                                              <w:txbxContent>
                                                <w:p w14:paraId="1E0DE656">
                                                  <w:pPr>
                                                    <w:jc w:val="center"/>
                                                    <w:rPr>
                                                      <w:rFonts w:hint="default" w:eastAsia="宋体"/>
                                                      <w:color w:val="000000"/>
                                                      <w:sz w:val="20"/>
                                                      <w:szCs w:val="22"/>
                                                      <w:lang w:val="en-US" w:eastAsia="zh-CN"/>
                                                    </w:rPr>
                                                  </w:pPr>
                                                  <w:r>
                                                    <w:rPr>
                                                      <w:rFonts w:hint="eastAsia"/>
                                                      <w:color w:val="000000"/>
                                                      <w:sz w:val="20"/>
                                                      <w:szCs w:val="22"/>
                                                      <w:lang w:val="en-US" w:eastAsia="zh-CN"/>
                                                    </w:rPr>
                                                    <w:t>印刷</w:t>
                                                  </w:r>
                                                </w:p>
                                              </w:txbxContent>
                                            </v:textbox>
                                          </v:rect>
                                          <v:shape id="_x0000_s1026" o:spid="_x0000_s1026" o:spt="32" type="#_x0000_t32" style="position:absolute;left:3994;top:262450;height:0;width:277;" filled="f" stroked="t" coordsize="21600,21600" o:gfxdata="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bUXZy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shape>
                                        </v:group>
                                        <v:shape id="_x0000_s1026" o:spid="_x0000_s1026" o:spt="32" type="#_x0000_t32" style="position:absolute;left:5143;top:262442;flip:y;height:8;width:261;" filled="f" stroked="t" coordsize="21600,21600" o:gfxdata="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A4ZjugAAANsA&#10;AAAPAAAAAAAAAAEAIAAAACIAAABkcnMvZG93bnJldi54bWxQSwECFAAUAAAACACHTuJAMy8FnjsA&#10;AAA5AAAAEAAAAAAAAAABACAAAAAJAQAAZHJzL3NoYXBleG1sLnhtbFBLBQYAAAAABgAGAFsBAACz&#10;AwAAAAA=&#10;">
                                          <v:fill on="f" focussize="0,0"/>
                                          <v:stroke color="#000000" joinstyle="round" endarrow="open"/>
                                          <v:imagedata o:title=""/>
                                          <o:lock v:ext="edit" aspectratio="f"/>
                                        </v:shape>
                                      </v:group>
                                    </v:group>
                                    <v:group id="_x0000_s1026" o:spid="_x0000_s1026" o:spt="203" style="position:absolute;left:5370;top:261350;height:717;width:723;" coordorigin="5370,261350" coordsize="723,717" o:gfxdata="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7xG5O+AAAA2wAAAA8AAAAAAAAAAQAgAAAAIgAAAGRycy9kb3ducmV2Lnht&#10;bFBLAQIUABQAAAAIAIdO4kAzLwWeOwAAADkAAAAVAAAAAAAAAAEAIAAAAA0BAABkcnMvZ3JvdXBz&#10;aGFwZXhtbC54bWxQSwUGAAAAAAYABgBgAQAAygMAAAAA&#10;">
                                      <o:lock v:ext="edit" aspectratio="f"/>
                                      <v:shape id="_x0000_s1026" o:spid="_x0000_s1026" o:spt="32" type="#_x0000_t32" style="position:absolute;left:5718;top:261816;flip:y;height:251;width:8;" filled="f" stroked="t" coordsize="21600,21600" o:gfxdata="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nb2P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shape>
                                      <v:group id="_x0000_s1026" o:spid="_x0000_s1026" o:spt="203" style="position:absolute;left:5370;top:261350;height:466;width:723;" coordorigin="5370,261350" coordsize="723,466" o:gfxdata="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EW8gf70AAADbAAAADwAAAAAAAAABACAAAAAiAAAAZHJzL2Rvd25yZXYueG1s&#10;UEsBAhQAFAAAAAgAh07iQDMvBZ47AAAAOQAAABUAAAAAAAAAAQAgAAAADAEAAGRycy9ncm91cHNo&#10;YXBleG1sLnhtbFBLBQYAAAAABgAGAGABAADJAwAAAAA=&#10;">
                                        <o:lock v:ext="edit" aspectratio="f"/>
                                        <v:shape id="_x0000_s1026" o:spid="_x0000_s1026" o:spt="3" type="#_x0000_t3" style="position:absolute;left:5444;top:261350;height:466;width:564;v-text-anchor:middle;" filled="f" stroked="t" coordsize="21600,21600" o:gfxdata="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D0EZ74A&#10;AADbAAAADwAAAAAAAAABACAAAAAiAAAAZHJzL2Rvd25yZXYueG1sUEsBAhQAFAAAAAgAh07iQDMv&#10;BZ47AAAAOQAAABAAAAAAAAAAAQAgAAAADQEAAGRycy9zaGFwZXhtbC54bWxQSwUGAAAAAAYABgBb&#10;AQAAtwMAAAAA&#10;">
                                          <v:fill on="f" focussize="0,0"/>
                                          <v:stroke weight="2pt" color="#395E8A" joinstyle="round"/>
                                          <v:imagedata o:title=""/>
                                          <o:lock v:ext="edit" aspectratio="f"/>
                                          <v:textbox>
                                            <w:txbxContent>
                                              <w:p w14:paraId="0BD68956">
                                                <w:pPr>
                                                  <w:rPr>
                                                    <w:rFonts w:hint="eastAsia"/>
                                                    <w:lang w:val="en-US" w:eastAsia="zh-CN"/>
                                                  </w:rPr>
                                                </w:pPr>
                                              </w:p>
                                            </w:txbxContent>
                                          </v:textbox>
                                        </v:shape>
                                        <v:rect id="_x0000_s1026" o:spid="_x0000_s1026" o:spt="1" style="position:absolute;left:5370;top:261408;height:364;width:723;" filled="f" stroked="f" coordsize="21600,21600" o:gfxdata="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solb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44F7795F">
                                                <w:pPr>
                                                  <w:jc w:val="center"/>
                                                  <w:rPr>
                                                    <w:rFonts w:hint="eastAsia" w:eastAsia="宋体"/>
                                                    <w:sz w:val="18"/>
                                                    <w:szCs w:val="21"/>
                                                    <w:lang w:val="en-US" w:eastAsia="zh-CN"/>
                                                  </w:rPr>
                                                </w:pPr>
                                                <w:r>
                                                  <w:rPr>
                                                    <w:rFonts w:hint="eastAsia"/>
                                                    <w:sz w:val="18"/>
                                                    <w:szCs w:val="21"/>
                                                    <w:lang w:val="en-US" w:eastAsia="zh-CN"/>
                                                  </w:rPr>
                                                  <w:t>返工</w:t>
                                                </w:r>
                                              </w:p>
                                            </w:txbxContent>
                                          </v:textbox>
                                        </v:rect>
                                      </v:group>
                                    </v:group>
                                  </v:group>
                                </v:group>
                              </v:group>
                              <v:group id="_x0000_s1026" o:spid="_x0000_s1026" o:spt="203" style="position:absolute;left:8817;top:261315;height:747;width:723;" coordorigin="5360,261350" coordsize="723,747" o:gfxdata="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ARiD570AAADbAAAADwAAAAAAAAABACAAAAAiAAAAZHJzL2Rvd25yZXYueG1s&#10;UEsBAhQAFAAAAAgAh07iQDMvBZ47AAAAOQAAABUAAAAAAAAAAQAgAAAADAEAAGRycy9ncm91cHNo&#10;YXBleG1sLnhtbFBLBQYAAAAABgAGAGABAADJAwAAAAA=&#10;">
                                <o:lock v:ext="edit" aspectratio="f"/>
                                <v:shape id="_x0000_s1026" o:spid="_x0000_s1026" o:spt="32" type="#_x0000_t32" style="position:absolute;left:5726;top:261816;flip:x y;height:281;width:4;" filled="f" stroked="t" coordsize="21600,21600" o:gfxdata="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kpSO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shape>
                                <v:group id="_x0000_s1026" o:spid="_x0000_s1026" o:spt="203" style="position:absolute;left:5360;top:261350;height:466;width:723;" coordorigin="5360,261350" coordsize="723,466" o:gfxdata="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B/Lsg67AAAA2wAAAA8AAAAAAAAAAQAgAAAAIgAAAGRycy9kb3ducmV2LnhtbFBL&#10;AQIUABQAAAAIAIdO4kAzLwWeOwAAADkAAAAVAAAAAAAAAAEAIAAAAAoBAABkcnMvZ3JvdXBzaGFw&#10;ZXhtbC54bWxQSwUGAAAAAAYABgBgAQAAxwMAAAAA&#10;">
                                  <o:lock v:ext="edit" aspectratio="f"/>
                                  <v:shape id="_x0000_s1026" o:spid="_x0000_s1026" o:spt="3" type="#_x0000_t3" style="position:absolute;left:5444;top:261350;height:466;width:564;v-text-anchor:middle;" filled="f" stroked="t" coordsize="21600,21600" o:gfxdata="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jyr+b4A&#10;AADbAAAADwAAAAAAAAABACAAAAAiAAAAZHJzL2Rvd25yZXYueG1sUEsBAhQAFAAAAAgAh07iQDMv&#10;BZ47AAAAOQAAABAAAAAAAAAAAQAgAAAADQEAAGRycy9zaGFwZXhtbC54bWxQSwUGAAAAAAYABgBb&#10;AQAAtwMAAAAA&#10;">
                                    <v:fill on="f" focussize="0,0"/>
                                    <v:stroke weight="2pt" color="#395E8A" joinstyle="round"/>
                                    <v:imagedata o:title=""/>
                                    <o:lock v:ext="edit" aspectratio="f"/>
                                    <v:textbox>
                                      <w:txbxContent>
                                        <w:p w14:paraId="26570579">
                                          <w:pPr>
                                            <w:rPr>
                                              <w:rFonts w:hint="eastAsia"/>
                                              <w:lang w:val="en-US" w:eastAsia="zh-CN"/>
                                            </w:rPr>
                                          </w:pPr>
                                        </w:p>
                                      </w:txbxContent>
                                    </v:textbox>
                                  </v:shape>
                                  <v:rect id="_x0000_s1026" o:spid="_x0000_s1026" o:spt="1" style="position:absolute;left:5360;top:261397;height:364;width:723;" filled="f" stroked="f" coordsize="21600,21600" o:gfxdata="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lUd0L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6493068D">
                                          <w:pPr>
                                            <w:jc w:val="center"/>
                                            <w:rPr>
                                              <w:rFonts w:hint="default" w:eastAsia="宋体"/>
                                              <w:sz w:val="18"/>
                                              <w:szCs w:val="21"/>
                                              <w:lang w:val="en-US" w:eastAsia="zh-CN"/>
                                            </w:rPr>
                                          </w:pPr>
                                          <w:r>
                                            <w:rPr>
                                              <w:rFonts w:hint="eastAsia"/>
                                              <w:sz w:val="18"/>
                                              <w:szCs w:val="21"/>
                                              <w:lang w:val="en-US" w:eastAsia="zh-CN"/>
                                            </w:rPr>
                                            <w:t>修复</w:t>
                                          </w:r>
                                        </w:p>
                                      </w:txbxContent>
                                    </v:textbox>
                                  </v:rect>
                                </v:group>
                              </v:group>
                              <v:shape id="_x0000_s1026" o:spid="_x0000_s1026" o:spt="33" type="#_x0000_t33" style="position:absolute;left:8612;top:261548;flip:y;height:887;width:289;rotation:11796480f;" filled="f" stroked="t" coordsize="21600,21600" o:gfxdata="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cU3jrsAAADb&#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shape>
                            </v:group>
                            <v:rect id="_x0000_s1026" o:spid="_x0000_s1026" o:spt="1" style="position:absolute;left:9251;top:261753;height:387;width:632;" filled="f" stroked="f" coordsize="21600,21600" o:gfxdata="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yyY8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1B49C134">
                                    <w:pPr>
                                      <w:rPr>
                                        <w:rFonts w:hint="eastAsia" w:eastAsia="宋体"/>
                                        <w:sz w:val="18"/>
                                        <w:szCs w:val="21"/>
                                        <w:lang w:val="en-US" w:eastAsia="zh-CN"/>
                                      </w:rPr>
                                    </w:pPr>
                                    <w:r>
                                      <w:rPr>
                                        <w:rFonts w:hint="eastAsia"/>
                                        <w:sz w:val="18"/>
                                        <w:szCs w:val="21"/>
                                        <w:lang w:val="en-US" w:eastAsia="zh-CN"/>
                                      </w:rPr>
                                      <w:t>NG</w:t>
                                    </w:r>
                                  </w:p>
                                </w:txbxContent>
                              </v:textbox>
                            </v:rect>
                          </v:group>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2189480</wp:posOffset>
                            </wp:positionH>
                            <wp:positionV relativeFrom="paragraph">
                              <wp:posOffset>802005</wp:posOffset>
                            </wp:positionV>
                            <wp:extent cx="0" cy="0"/>
                            <wp:effectExtent l="0" t="0" r="0" b="0"/>
                            <wp:wrapNone/>
                            <wp:docPr id="1087" name="直接箭头连接符 45"/>
                            <wp:cNvGraphicFramePr/>
                            <a:graphic xmlns:a="http://schemas.openxmlformats.org/drawingml/2006/main">
                              <a:graphicData uri="http://schemas.microsoft.com/office/word/2010/wordprocessingShape">
                                <wps:wsp>
                                  <wps:cNvCnPr/>
                                  <wps:spPr>
                                    <a:xfrm>
                                      <a:off x="0" y="0"/>
                                      <a:ext cx="0" cy="0"/>
                                    </a:xfrm>
                                    <a:prstGeom prst="straightConnector1">
                                      <a:avLst/>
                                    </a:prstGeom>
                                    <a:ln w="9525" cap="flat" cmpd="sng">
                                      <a:solidFill>
                                        <a:srgbClr val="4A7DBA"/>
                                      </a:solidFill>
                                      <a:prstDash val="solid"/>
                                      <a:round/>
                                      <a:tailEnd type="arrow" w="med" len="med"/>
                                    </a:ln>
                                  </wps:spPr>
                                  <wps:bodyPr/>
                                </wps:wsp>
                              </a:graphicData>
                            </a:graphic>
                          </wp:anchor>
                        </w:drawing>
                      </mc:Choice>
                      <mc:Fallback>
                        <w:pict>
                          <v:shape id="直接箭头连接符 45" o:spid="_x0000_s1026" o:spt="32" type="#_x0000_t32" style="position:absolute;left:0pt;margin-left:172.4pt;margin-top:63.15pt;height:0pt;width:0pt;z-index:251660288;mso-width-relative:page;mso-height-relative:page;" filled="f" stroked="t" coordsize="21600,21600" o:gfxdata="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dtF+f9MAAAALAQAADwAAAAAAAAABACAAAAAiAAAAZHJzL2Rvd25yZXYueG1s&#10;UEsBAhQAFAAAAAgAh07iQMUiZRT9AQAAywMAAA4AAAAAAAAAAQAgAAAAIgEAAGRycy9lMm9Eb2Mu&#10;eG1sUEsFBgAAAAAGAAYAWQEAAJEFAAAAAA==&#10;">
                            <v:fill on="f" focussize="0,0"/>
                            <v:stroke color="#4A7DBA" joinstyle="round" endarrow="open"/>
                            <v:imagedata o:title=""/>
                            <o:lock v:ext="edit" aspectratio="f"/>
                          </v:shape>
                        </w:pict>
                      </mc:Fallback>
                    </mc:AlternateContent>
                  </w:r>
                </w:p>
              </w:tc>
            </w:tr>
          </w:tbl>
          <w:p w14:paraId="631EAE6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图2-1 SMT贴片工艺流程及排污节点图</w:t>
            </w:r>
          </w:p>
          <w:tbl>
            <w:tblPr>
              <w:tblStyle w:val="18"/>
              <w:tblW w:w="7945"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945"/>
            </w:tblGrid>
            <w:tr w14:paraId="546894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6" w:hRule="atLeast"/>
              </w:trPr>
              <w:tc>
                <w:tcPr>
                  <w:tcW w:w="7945" w:type="dxa"/>
                </w:tcPr>
                <w:p w14:paraId="0854CE41">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rPr>
                    <w:drawing>
                      <wp:inline distT="0" distB="0" distL="0" distR="0">
                        <wp:extent cx="4904740" cy="3071495"/>
                        <wp:effectExtent l="0" t="0" r="10160" b="14605"/>
                        <wp:docPr id="1088" name="图片 1"/>
                        <wp:cNvGraphicFramePr/>
                        <a:graphic xmlns:a="http://schemas.openxmlformats.org/drawingml/2006/main">
                          <a:graphicData uri="http://schemas.openxmlformats.org/drawingml/2006/picture">
                            <pic:pic xmlns:pic="http://schemas.openxmlformats.org/drawingml/2006/picture">
                              <pic:nvPicPr>
                                <pic:cNvPr id="1088" name="图片 1"/>
                                <pic:cNvPicPr/>
                              </pic:nvPicPr>
                              <pic:blipFill>
                                <a:blip r:embed="rId13" cstate="print"/>
                                <a:srcRect/>
                                <a:stretch>
                                  <a:fillRect/>
                                </a:stretch>
                              </pic:blipFill>
                              <pic:spPr>
                                <a:xfrm>
                                  <a:off x="0" y="0"/>
                                  <a:ext cx="4904740" cy="3071495"/>
                                </a:xfrm>
                                <a:prstGeom prst="rect">
                                  <a:avLst/>
                                </a:prstGeom>
                                <a:ln>
                                  <a:noFill/>
                                </a:ln>
                              </pic:spPr>
                            </pic:pic>
                          </a:graphicData>
                        </a:graphic>
                      </wp:inline>
                    </w:drawing>
                  </w:r>
                </w:p>
              </w:tc>
            </w:tr>
          </w:tbl>
          <w:p w14:paraId="13FE0D2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图2-2 DIP成品生产工艺流程及排污节点图</w:t>
            </w:r>
          </w:p>
          <w:p w14:paraId="25A25A83">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工艺流程简述：</w:t>
            </w:r>
          </w:p>
          <w:p w14:paraId="4E37032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（1）SMT工艺流程简述</w:t>
            </w:r>
          </w:p>
          <w:p w14:paraId="1F740410">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STM工艺一种将表面贴装元器件（SMD）直接贴装到印刷电路板（PCB）上的先进电子组装技术。</w:t>
            </w:r>
          </w:p>
          <w:p w14:paraId="504CDC43">
            <w:pPr>
              <w:keepNext w:val="0"/>
              <w:keepLines w:val="0"/>
              <w:pageBreakBefore w:val="0"/>
              <w:widowControl w:val="0"/>
              <w:numPr>
                <w:ilvl w:val="0"/>
                <w:numId w:val="6"/>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PCB准备：PCB表面用酒精清洁，确保无氧化或污染物，焊盘设计需符合SMD尺寸和间距要求；</w:t>
            </w:r>
          </w:p>
          <w:p w14:paraId="567267F1">
            <w:pPr>
              <w:keepNext w:val="0"/>
              <w:keepLines w:val="0"/>
              <w:pageBreakBefore w:val="0"/>
              <w:widowControl w:val="0"/>
              <w:numPr>
                <w:ilvl w:val="0"/>
                <w:numId w:val="6"/>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u w:val="single"/>
                <w:lang w:val="en-US" w:eastAsia="zh-CN"/>
              </w:rPr>
            </w:pPr>
            <w:r>
              <w:rPr>
                <w:rFonts w:hint="default" w:ascii="Times New Roman" w:hAnsi="Times New Roman" w:eastAsia="宋体" w:cs="Times New Roman"/>
                <w:color w:val="auto"/>
                <w:sz w:val="24"/>
                <w:szCs w:val="32"/>
                <w:u w:val="single"/>
                <w:lang w:val="en-US" w:eastAsia="zh-CN"/>
              </w:rPr>
              <w:t>锡膏印刷：通过钢网将锡膏精准印刷到PCB焊盘上，钢网开口与焊盘对齐，印刷后需要及时用超声波和水基清洗剂清洗钢网，防止网孔堵塞，维持钢网网孔通畅，保证后续印刷的锡膏量均匀、位置精准，减少贴片后焊盘污染风险，生产过程会产生废清洗液（含碱危险废物）和少量的废气、废锡渣；</w:t>
            </w:r>
          </w:p>
          <w:p w14:paraId="440830F2">
            <w:pPr>
              <w:keepNext w:val="0"/>
              <w:keepLines w:val="0"/>
              <w:pageBreakBefore w:val="0"/>
              <w:widowControl w:val="0"/>
              <w:numPr>
                <w:ilvl w:val="0"/>
                <w:numId w:val="6"/>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u w:val="single"/>
                <w:lang w:val="en-US" w:eastAsia="zh-CN"/>
              </w:rPr>
            </w:pPr>
            <w:r>
              <w:rPr>
                <w:rFonts w:hint="default" w:ascii="Times New Roman" w:hAnsi="Times New Roman" w:eastAsia="宋体" w:cs="Times New Roman"/>
                <w:color w:val="auto"/>
                <w:sz w:val="24"/>
                <w:szCs w:val="32"/>
                <w:u w:val="single"/>
                <w:lang w:val="en-US" w:eastAsia="zh-CN"/>
              </w:rPr>
              <w:t>贴片即元器件放置：贴片机将SMD精准贴装到锡膏位置，采用灌封胶粘合，该过程会产生少量的废气，主要污染物是非甲烷总烃；</w:t>
            </w:r>
          </w:p>
          <w:p w14:paraId="0ECE83FD">
            <w:pPr>
              <w:keepNext w:val="0"/>
              <w:keepLines w:val="0"/>
              <w:pageBreakBefore w:val="0"/>
              <w:widowControl w:val="0"/>
              <w:numPr>
                <w:ilvl w:val="0"/>
                <w:numId w:val="6"/>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u w:val="single"/>
                <w:lang w:val="en-US" w:eastAsia="zh-CN"/>
              </w:rPr>
            </w:pPr>
            <w:r>
              <w:rPr>
                <w:rFonts w:hint="default" w:ascii="Times New Roman" w:hAnsi="Times New Roman" w:eastAsia="宋体" w:cs="Times New Roman"/>
                <w:color w:val="auto"/>
                <w:sz w:val="24"/>
                <w:szCs w:val="32"/>
                <w:u w:val="single"/>
                <w:lang w:val="en-US" w:eastAsia="zh-CN"/>
              </w:rPr>
              <w:t>回流焊接：PCB放置在回流焊设备的传送带上，用回流焊机使熔化的焊料形成波峰，让PCB通过波峰完成焊接，生产过程会产生一定量的废气（颗粒物、锡及其化合物）及废锡渣；</w:t>
            </w:r>
          </w:p>
          <w:p w14:paraId="4DB7CE3B">
            <w:pPr>
              <w:keepNext w:val="0"/>
              <w:keepLines w:val="0"/>
              <w:pageBreakBefore w:val="0"/>
              <w:widowControl w:val="0"/>
              <w:numPr>
                <w:ilvl w:val="0"/>
                <w:numId w:val="6"/>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检测与返修：检查焊点质量、元件偏移或缺失，不良品通过返修台（热风枪）手动修复；</w:t>
            </w:r>
          </w:p>
          <w:p w14:paraId="19C2EEDA">
            <w:pPr>
              <w:keepNext w:val="0"/>
              <w:keepLines w:val="0"/>
              <w:pageBreakBefore w:val="0"/>
              <w:widowControl w:val="0"/>
              <w:numPr>
                <w:ilvl w:val="0"/>
                <w:numId w:val="6"/>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.清洗与测试：用酒精和清洗剂去除焊接过程中残留的助焊剂、油污等杂质，保持PCB表面的清洁，提高电路板的可靠性和稳定性，</w:t>
            </w:r>
            <w:r>
              <w:rPr>
                <w:rFonts w:hint="default" w:ascii="Times New Roman" w:hAnsi="Times New Roman" w:eastAsia="宋体" w:cs="Times New Roman"/>
                <w:color w:val="auto"/>
                <w:sz w:val="24"/>
                <w:szCs w:val="32"/>
                <w:u w:val="single"/>
                <w:lang w:val="en-US" w:eastAsia="zh-CN"/>
              </w:rPr>
              <w:t>该过程会产生少量的废酒精，部分酒精会挥发产生少量废气</w:t>
            </w:r>
            <w:r>
              <w:rPr>
                <w:rFonts w:hint="default" w:ascii="Times New Roman" w:hAnsi="Times New Roman" w:eastAsia="宋体" w:cs="Times New Roman"/>
                <w:color w:val="auto"/>
                <w:sz w:val="24"/>
                <w:szCs w:val="32"/>
                <w:lang w:val="en-US" w:eastAsia="zh-CN"/>
              </w:rPr>
              <w:t>。</w:t>
            </w:r>
          </w:p>
          <w:p w14:paraId="286C708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（2）DIP成品工艺流程简述</w:t>
            </w:r>
          </w:p>
          <w:p w14:paraId="6E7B924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DIP成品工艺是一种传统的通孔插装技术，主要针对双列直插式封装元器件的组装工艺。</w:t>
            </w:r>
          </w:p>
          <w:p w14:paraId="27D8D40C">
            <w:pPr>
              <w:keepNext w:val="0"/>
              <w:keepLines w:val="0"/>
              <w:pageBreakBefore w:val="0"/>
              <w:widowControl w:val="0"/>
              <w:numPr>
                <w:ilvl w:val="0"/>
                <w:numId w:val="7"/>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u w:val="single"/>
                <w:lang w:val="en-US" w:eastAsia="zh-CN"/>
              </w:rPr>
            </w:pPr>
            <w:r>
              <w:rPr>
                <w:rFonts w:hint="default" w:ascii="Times New Roman" w:hAnsi="Times New Roman" w:eastAsia="宋体" w:cs="Times New Roman"/>
                <w:color w:val="auto"/>
                <w:sz w:val="24"/>
                <w:szCs w:val="32"/>
                <w:u w:val="single"/>
                <w:lang w:val="en-US" w:eastAsia="zh-CN"/>
              </w:rPr>
              <w:t>PCB准备：PCB是电子元件的载体，由绝缘基板、铜箔等组成，PCB准备主要是进行钻孔定位；</w:t>
            </w:r>
          </w:p>
          <w:p w14:paraId="69D9327A">
            <w:pPr>
              <w:keepNext w:val="0"/>
              <w:keepLines w:val="0"/>
              <w:pageBreakBefore w:val="0"/>
              <w:widowControl w:val="0"/>
              <w:numPr>
                <w:ilvl w:val="0"/>
                <w:numId w:val="7"/>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u w:val="single"/>
                <w:lang w:val="en-US" w:eastAsia="zh-CN"/>
              </w:rPr>
            </w:pPr>
            <w:r>
              <w:rPr>
                <w:rFonts w:hint="default" w:ascii="Times New Roman" w:hAnsi="Times New Roman" w:eastAsia="宋体" w:cs="Times New Roman"/>
                <w:color w:val="auto"/>
                <w:sz w:val="24"/>
                <w:szCs w:val="32"/>
                <w:u w:val="single"/>
                <w:lang w:val="en-US" w:eastAsia="zh-CN"/>
              </w:rPr>
              <w:t>元件插装：DIP元件引脚插入PCB通孔；</w:t>
            </w:r>
          </w:p>
          <w:p w14:paraId="3F76A637">
            <w:pPr>
              <w:keepNext w:val="0"/>
              <w:keepLines w:val="0"/>
              <w:pageBreakBefore w:val="0"/>
              <w:widowControl w:val="0"/>
              <w:numPr>
                <w:ilvl w:val="0"/>
                <w:numId w:val="7"/>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u w:val="single"/>
                <w:lang w:val="en-US" w:eastAsia="zh-CN"/>
              </w:rPr>
            </w:pPr>
            <w:r>
              <w:rPr>
                <w:rFonts w:hint="default" w:ascii="Times New Roman" w:hAnsi="Times New Roman" w:eastAsia="宋体" w:cs="Times New Roman"/>
                <w:color w:val="auto"/>
                <w:sz w:val="24"/>
                <w:szCs w:val="32"/>
                <w:u w:val="single"/>
                <w:lang w:val="en-US" w:eastAsia="zh-CN"/>
              </w:rPr>
              <w:t>波峰焊接：焊接前在PCB板焊接部位涂覆助焊剂，去除氧化物、降低焊料表面张力，提高焊接效果，再通过波峰焊炉，熔融无铅焊条在PCB上形成焊点，该生产过程会产生废气、废渣，主要污染物是颗粒物和锡焊渣；</w:t>
            </w:r>
          </w:p>
          <w:p w14:paraId="12DBF077">
            <w:pPr>
              <w:keepNext w:val="0"/>
              <w:keepLines w:val="0"/>
              <w:pageBreakBefore w:val="0"/>
              <w:widowControl w:val="0"/>
              <w:numPr>
                <w:ilvl w:val="0"/>
                <w:numId w:val="7"/>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u w:val="single"/>
                <w:lang w:val="en-US" w:eastAsia="zh-CN"/>
              </w:rPr>
            </w:pPr>
            <w:r>
              <w:rPr>
                <w:rFonts w:hint="default" w:ascii="Times New Roman" w:hAnsi="Times New Roman" w:eastAsia="宋体" w:cs="Times New Roman"/>
                <w:color w:val="auto"/>
                <w:sz w:val="24"/>
                <w:szCs w:val="32"/>
                <w:u w:val="single"/>
                <w:lang w:val="en-US" w:eastAsia="zh-CN"/>
              </w:rPr>
              <w:t>剪脚与清洗：使用剪脚设备将焊接后伸出PCB板的元件引脚剪至合适长度，用酒精清洗残留助焊剂、油污、杂质等，该过程少量酒精挥发产生废气；</w:t>
            </w:r>
          </w:p>
          <w:p w14:paraId="07B03316">
            <w:pPr>
              <w:keepNext w:val="0"/>
              <w:keepLines w:val="0"/>
              <w:pageBreakBefore w:val="0"/>
              <w:widowControl w:val="0"/>
              <w:numPr>
                <w:ilvl w:val="0"/>
                <w:numId w:val="7"/>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检测与返修：检查焊点饱满度、引脚垂直度、漏装或错装，不良品需补焊或更换元件，</w:t>
            </w:r>
            <w:r>
              <w:rPr>
                <w:rFonts w:hint="default" w:ascii="Times New Roman" w:hAnsi="Times New Roman" w:eastAsia="宋体" w:cs="Times New Roman"/>
                <w:color w:val="auto"/>
                <w:sz w:val="24"/>
                <w:szCs w:val="32"/>
                <w:u w:val="single"/>
                <w:lang w:val="en-US" w:eastAsia="zh-CN"/>
              </w:rPr>
              <w:t>修复过程会使用脱漆剂，该过程会产生VOCs，主要成分是二氯甲烷</w:t>
            </w:r>
            <w:r>
              <w:rPr>
                <w:rFonts w:hint="default" w:ascii="Times New Roman" w:hAnsi="Times New Roman" w:eastAsia="宋体" w:cs="Times New Roman"/>
                <w:color w:val="auto"/>
                <w:sz w:val="24"/>
                <w:szCs w:val="32"/>
                <w:lang w:val="en-US" w:eastAsia="zh-CN"/>
              </w:rPr>
              <w:t>；</w:t>
            </w:r>
          </w:p>
          <w:p w14:paraId="47E229C9">
            <w:pPr>
              <w:keepNext w:val="0"/>
              <w:keepLines w:val="0"/>
              <w:pageBreakBefore w:val="0"/>
              <w:widowControl w:val="0"/>
              <w:numPr>
                <w:ilvl w:val="0"/>
                <w:numId w:val="7"/>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表面涂覆：针对特定元件或焊点进行精准涂覆，通过密闭的在线式智能涂覆系统，采用喷涂的方式将三防漆涂覆于电路板表面，实现机械加固、防腐和绝缘保护的作用，该过程用到三防漆/胶，</w:t>
            </w:r>
            <w:r>
              <w:rPr>
                <w:rFonts w:hint="default" w:ascii="Times New Roman" w:hAnsi="Times New Roman" w:eastAsia="宋体" w:cs="Times New Roman"/>
                <w:color w:val="auto"/>
                <w:sz w:val="24"/>
                <w:szCs w:val="32"/>
                <w:u w:val="single"/>
                <w:lang w:val="en-US" w:eastAsia="zh-CN"/>
              </w:rPr>
              <w:t>会产生少量废气，故涂覆过程全程密闭，并用集气罩收集排入管道经两级活性炭处理后排放</w:t>
            </w:r>
            <w:r>
              <w:rPr>
                <w:rFonts w:hint="default" w:ascii="Times New Roman" w:hAnsi="Times New Roman" w:eastAsia="宋体" w:cs="Times New Roman"/>
                <w:color w:val="auto"/>
                <w:sz w:val="24"/>
                <w:szCs w:val="32"/>
                <w:lang w:val="en-US" w:eastAsia="zh-CN"/>
              </w:rPr>
              <w:t>；</w:t>
            </w:r>
          </w:p>
          <w:p w14:paraId="0FB490BF">
            <w:pPr>
              <w:keepNext w:val="0"/>
              <w:keepLines w:val="0"/>
              <w:pageBreakBefore w:val="0"/>
              <w:widowControl w:val="0"/>
              <w:numPr>
                <w:ilvl w:val="0"/>
                <w:numId w:val="7"/>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组装：车间工人进行最后装配工作，通过灌封胶粘合，装配完成；</w:t>
            </w:r>
          </w:p>
          <w:p w14:paraId="18B26189">
            <w:pPr>
              <w:keepNext w:val="0"/>
              <w:keepLines w:val="0"/>
              <w:pageBreakBefore w:val="0"/>
              <w:widowControl w:val="0"/>
              <w:numPr>
                <w:ilvl w:val="0"/>
                <w:numId w:val="7"/>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性能测试：验证电路性能；</w:t>
            </w:r>
          </w:p>
          <w:p w14:paraId="4965B87E">
            <w:pPr>
              <w:keepNext w:val="0"/>
              <w:keepLines w:val="0"/>
              <w:pageBreakBefore w:val="0"/>
              <w:widowControl w:val="0"/>
              <w:numPr>
                <w:ilvl w:val="0"/>
                <w:numId w:val="7"/>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.包装。</w:t>
            </w:r>
          </w:p>
          <w:p w14:paraId="7CBCD2B1">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Times New Roman" w:hAnsi="Times New Roman" w:eastAsia="宋体" w:cs="Times New Roman"/>
                <w:color w:val="auto"/>
                <w:lang w:val="en-US" w:eastAsia="zh-CN"/>
              </w:rPr>
            </w:pPr>
          </w:p>
        </w:tc>
      </w:tr>
      <w:tr w14:paraId="1490B1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823" w:type="dxa"/>
            <w:vAlign w:val="center"/>
          </w:tcPr>
          <w:p w14:paraId="22D99C24">
            <w:pPr>
              <w:pStyle w:val="15"/>
              <w:adjustRightInd w:val="0"/>
              <w:snapToGrid w:val="0"/>
              <w:spacing w:before="0" w:beforeAutospacing="0" w:after="0" w:afterAutospacing="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kern w:val="2"/>
                <w:sz w:val="24"/>
                <w:szCs w:val="24"/>
              </w:rPr>
              <w:t>与项目有关的原有环境污染问题</w:t>
            </w:r>
          </w:p>
        </w:tc>
        <w:tc>
          <w:tcPr>
            <w:tcW w:w="8161" w:type="dxa"/>
            <w:vAlign w:val="center"/>
          </w:tcPr>
          <w:p w14:paraId="070FD37E">
            <w:pPr>
              <w:adjustRightInd w:val="0"/>
              <w:snapToGrid w:val="0"/>
              <w:jc w:val="center"/>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本项目为新建项目，不存在与项目有关的原有环境污染问题。</w:t>
            </w:r>
          </w:p>
        </w:tc>
      </w:tr>
    </w:tbl>
    <w:p w14:paraId="4561EA9B">
      <w:pPr>
        <w:pStyle w:val="15"/>
        <w:jc w:val="center"/>
        <w:rPr>
          <w:rFonts w:hint="default" w:ascii="Times New Roman" w:hAnsi="Times New Roman" w:eastAsia="宋体" w:cs="Times New Roman"/>
          <w:snapToGrid w:val="0"/>
          <w:color w:val="auto"/>
          <w:sz w:val="36"/>
          <w:szCs w:val="36"/>
        </w:rPr>
        <w:sectPr>
          <w:footerReference r:id="rId8" w:type="default"/>
          <w:pgSz w:w="11906" w:h="16838"/>
          <w:pgMar w:top="1701" w:right="1531" w:bottom="1701" w:left="1531" w:header="851" w:footer="851" w:gutter="0"/>
          <w:pgNumType w:fmt="decimal"/>
          <w:cols w:space="720" w:num="1"/>
          <w:docGrid w:linePitch="312" w:charSpace="0"/>
        </w:sectPr>
      </w:pPr>
    </w:p>
    <w:p w14:paraId="27E37104">
      <w:pPr>
        <w:pStyle w:val="15"/>
        <w:jc w:val="center"/>
        <w:outlineLvl w:val="0"/>
        <w:rPr>
          <w:rFonts w:hint="default" w:ascii="Times New Roman" w:hAnsi="Times New Roman" w:eastAsia="宋体" w:cs="Times New Roman"/>
          <w:snapToGrid w:val="0"/>
          <w:color w:val="auto"/>
          <w:sz w:val="30"/>
          <w:szCs w:val="30"/>
        </w:rPr>
      </w:pPr>
      <w:bookmarkStart w:id="5" w:name="_Toc15688"/>
      <w:r>
        <w:rPr>
          <w:rFonts w:hint="default" w:ascii="Times New Roman" w:hAnsi="Times New Roman" w:eastAsia="宋体" w:cs="Times New Roman"/>
          <w:snapToGrid w:val="0"/>
          <w:color w:val="auto"/>
          <w:sz w:val="30"/>
          <w:szCs w:val="30"/>
        </w:rPr>
        <w:t>三、区域环境质量现状、环境保护目标及评价标准</w:t>
      </w:r>
      <w:bookmarkEnd w:id="5"/>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0"/>
        <w:gridCol w:w="8191"/>
      </w:tblGrid>
      <w:tr w14:paraId="56AC7C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058" w:hRule="atLeast"/>
          <w:jc w:val="center"/>
        </w:trPr>
        <w:tc>
          <w:tcPr>
            <w:tcW w:w="870" w:type="dxa"/>
            <w:vAlign w:val="center"/>
          </w:tcPr>
          <w:p w14:paraId="0BF50E75">
            <w:pPr>
              <w:adjustRightInd w:val="0"/>
              <w:snapToGrid w:val="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区域</w:t>
            </w:r>
          </w:p>
          <w:p w14:paraId="49DA475B">
            <w:pPr>
              <w:adjustRightInd w:val="0"/>
              <w:snapToGrid w:val="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环境</w:t>
            </w:r>
          </w:p>
          <w:p w14:paraId="065F01FD">
            <w:pPr>
              <w:adjustRightInd w:val="0"/>
              <w:snapToGrid w:val="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质量</w:t>
            </w:r>
          </w:p>
          <w:p w14:paraId="149B0894">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 w:val="24"/>
                <w:szCs w:val="24"/>
              </w:rPr>
              <w:t>现状</w:t>
            </w:r>
          </w:p>
        </w:tc>
        <w:tc>
          <w:tcPr>
            <w:tcW w:w="8191" w:type="dxa"/>
            <w:vAlign w:val="center"/>
          </w:tcPr>
          <w:p w14:paraId="5F2DC29A">
            <w:pPr>
              <w:pStyle w:val="2"/>
              <w:numPr>
                <w:ilvl w:val="0"/>
                <w:numId w:val="8"/>
              </w:numPr>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环境空气</w:t>
            </w:r>
          </w:p>
          <w:p w14:paraId="0DF3293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①常规污染物</w:t>
            </w:r>
          </w:p>
          <w:p w14:paraId="46173F1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根据《建设项目环境影响报告表编制技术指南（污染影响类）》（试行），“常规污染物引用与建设项目距离近的有效数据，包括近3年的规划环境影响评价的监测数据，国家、地方环境空气质量监测网数据或生态环境主管部门公开发布的质量数据等”。本项目行政区划属于雁峰区，本次评价引用衡阳市生态环境局2025年1月24日发布的2024年1-12月全市环境质量状况的通报中相关数据对项目所在区域环境空气质量现状进行评价。</w:t>
            </w:r>
          </w:p>
          <w:p w14:paraId="22A8BC47">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bCs/>
                <w:color w:val="auto"/>
                <w:lang w:val="en-US" w:eastAsia="zh-CN"/>
              </w:rPr>
              <w:t>表3-1 区域环境空气质量现状评价表</w:t>
            </w:r>
          </w:p>
          <w:tbl>
            <w:tblPr>
              <w:tblStyle w:val="18"/>
              <w:tblW w:w="4996" w:type="pct"/>
              <w:tblInd w:w="-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6"/>
              <w:gridCol w:w="1059"/>
              <w:gridCol w:w="2102"/>
              <w:gridCol w:w="1091"/>
              <w:gridCol w:w="978"/>
              <w:gridCol w:w="1075"/>
              <w:gridCol w:w="888"/>
            </w:tblGrid>
            <w:tr w14:paraId="6AB76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1" w:type="pct"/>
                  <w:vAlign w:val="center"/>
                </w:tcPr>
                <w:p w14:paraId="6881B5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考核区域</w:t>
                  </w:r>
                </w:p>
              </w:tc>
              <w:tc>
                <w:tcPr>
                  <w:tcW w:w="665" w:type="pct"/>
                  <w:vAlign w:val="center"/>
                </w:tcPr>
                <w:p w14:paraId="1703ED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w:t>
                  </w:r>
                </w:p>
              </w:tc>
              <w:tc>
                <w:tcPr>
                  <w:tcW w:w="1320" w:type="pct"/>
                  <w:vAlign w:val="center"/>
                </w:tcPr>
                <w:p w14:paraId="65CA37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年评价指标</w:t>
                  </w:r>
                </w:p>
              </w:tc>
              <w:tc>
                <w:tcPr>
                  <w:tcW w:w="685" w:type="pct"/>
                  <w:vAlign w:val="center"/>
                </w:tcPr>
                <w:p w14:paraId="41FCCA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浓度</w:t>
                  </w:r>
                </w:p>
                <w:p w14:paraId="1A760FF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μg/m</w:t>
                  </w:r>
                  <w:r>
                    <w:rPr>
                      <w:rFonts w:hint="default" w:ascii="Times New Roman" w:hAnsi="Times New Roman" w:eastAsia="宋体" w:cs="Times New Roman"/>
                      <w:color w:val="auto"/>
                      <w:vertAlign w:val="superscript"/>
                      <w:lang w:val="en-US" w:eastAsia="zh-CN"/>
                    </w:rPr>
                    <w:t>3</w:t>
                  </w:r>
                </w:p>
              </w:tc>
              <w:tc>
                <w:tcPr>
                  <w:tcW w:w="614" w:type="pct"/>
                  <w:vAlign w:val="center"/>
                </w:tcPr>
                <w:p w14:paraId="7CDE09B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标准值</w:t>
                  </w:r>
                  <w:r>
                    <w:rPr>
                      <w:rFonts w:hint="default" w:ascii="Times New Roman" w:hAnsi="Times New Roman" w:eastAsia="宋体" w:cs="Times New Roman"/>
                      <w:color w:val="auto"/>
                      <w:lang w:val="en-US" w:eastAsia="zh-CN"/>
                    </w:rPr>
                    <w:t>μg/m</w:t>
                  </w:r>
                  <w:r>
                    <w:rPr>
                      <w:rFonts w:hint="default" w:ascii="Times New Roman" w:hAnsi="Times New Roman" w:eastAsia="宋体" w:cs="Times New Roman"/>
                      <w:color w:val="auto"/>
                      <w:vertAlign w:val="superscript"/>
                      <w:lang w:val="en-US" w:eastAsia="zh-CN"/>
                    </w:rPr>
                    <w:t>3</w:t>
                  </w:r>
                </w:p>
              </w:tc>
              <w:tc>
                <w:tcPr>
                  <w:tcW w:w="675" w:type="pct"/>
                  <w:vAlign w:val="center"/>
                </w:tcPr>
                <w:p w14:paraId="72C011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占标率%</w:t>
                  </w:r>
                </w:p>
              </w:tc>
              <w:tc>
                <w:tcPr>
                  <w:tcW w:w="557" w:type="pct"/>
                  <w:vAlign w:val="center"/>
                </w:tcPr>
                <w:p w14:paraId="072219B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达标情况</w:t>
                  </w:r>
                </w:p>
              </w:tc>
            </w:tr>
            <w:tr w14:paraId="6DFA7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1" w:type="pct"/>
                  <w:vMerge w:val="restart"/>
                  <w:vAlign w:val="center"/>
                </w:tcPr>
                <w:p w14:paraId="0C8AAF4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雁峰区</w:t>
                  </w:r>
                </w:p>
              </w:tc>
              <w:tc>
                <w:tcPr>
                  <w:tcW w:w="665" w:type="pct"/>
                  <w:vAlign w:val="center"/>
                </w:tcPr>
                <w:p w14:paraId="7600D4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PM</w:t>
                  </w:r>
                  <w:r>
                    <w:rPr>
                      <w:rFonts w:hint="default" w:ascii="Times New Roman" w:hAnsi="Times New Roman" w:eastAsia="宋体" w:cs="Times New Roman"/>
                      <w:color w:val="auto"/>
                      <w:sz w:val="21"/>
                      <w:szCs w:val="21"/>
                      <w:vertAlign w:val="subscript"/>
                      <w:lang w:val="en-US" w:eastAsia="zh-CN"/>
                    </w:rPr>
                    <w:t>2.5</w:t>
                  </w:r>
                </w:p>
              </w:tc>
              <w:tc>
                <w:tcPr>
                  <w:tcW w:w="1320" w:type="pct"/>
                  <w:vAlign w:val="center"/>
                </w:tcPr>
                <w:p w14:paraId="101D6C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年平均质量浓度</w:t>
                  </w:r>
                </w:p>
              </w:tc>
              <w:tc>
                <w:tcPr>
                  <w:tcW w:w="685" w:type="pct"/>
                  <w:vAlign w:val="center"/>
                </w:tcPr>
                <w:p w14:paraId="2FCBCA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37</w:t>
                  </w:r>
                </w:p>
              </w:tc>
              <w:tc>
                <w:tcPr>
                  <w:tcW w:w="614" w:type="pct"/>
                  <w:vAlign w:val="center"/>
                </w:tcPr>
                <w:p w14:paraId="3A29F1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35</w:t>
                  </w:r>
                </w:p>
              </w:tc>
              <w:tc>
                <w:tcPr>
                  <w:tcW w:w="675" w:type="pct"/>
                  <w:vAlign w:val="center"/>
                </w:tcPr>
                <w:p w14:paraId="57142CA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105.7</w:t>
                  </w:r>
                </w:p>
              </w:tc>
              <w:tc>
                <w:tcPr>
                  <w:tcW w:w="557" w:type="pct"/>
                  <w:vAlign w:val="center"/>
                </w:tcPr>
                <w:p w14:paraId="634676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不达标</w:t>
                  </w:r>
                </w:p>
              </w:tc>
            </w:tr>
            <w:tr w14:paraId="69433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1" w:type="pct"/>
                  <w:vMerge w:val="continue"/>
                  <w:vAlign w:val="center"/>
                </w:tcPr>
                <w:p w14:paraId="21301F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65" w:type="pct"/>
                  <w:vAlign w:val="center"/>
                </w:tcPr>
                <w:p w14:paraId="1F03D9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PM</w:t>
                  </w:r>
                  <w:r>
                    <w:rPr>
                      <w:rFonts w:hint="default" w:ascii="Times New Roman" w:hAnsi="Times New Roman" w:eastAsia="宋体" w:cs="Times New Roman"/>
                      <w:color w:val="auto"/>
                      <w:sz w:val="21"/>
                      <w:szCs w:val="21"/>
                      <w:vertAlign w:val="subscript"/>
                      <w:lang w:val="en-US" w:eastAsia="zh-CN"/>
                    </w:rPr>
                    <w:t>10</w:t>
                  </w:r>
                </w:p>
              </w:tc>
              <w:tc>
                <w:tcPr>
                  <w:tcW w:w="1320" w:type="pct"/>
                  <w:vAlign w:val="center"/>
                </w:tcPr>
                <w:p w14:paraId="25DA0C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年平均质量浓度</w:t>
                  </w:r>
                </w:p>
              </w:tc>
              <w:tc>
                <w:tcPr>
                  <w:tcW w:w="685" w:type="pct"/>
                  <w:vAlign w:val="center"/>
                </w:tcPr>
                <w:p w14:paraId="0335DF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52</w:t>
                  </w:r>
                </w:p>
              </w:tc>
              <w:tc>
                <w:tcPr>
                  <w:tcW w:w="614" w:type="pct"/>
                  <w:vAlign w:val="center"/>
                </w:tcPr>
                <w:p w14:paraId="1978E1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70</w:t>
                  </w:r>
                </w:p>
              </w:tc>
              <w:tc>
                <w:tcPr>
                  <w:tcW w:w="675" w:type="pct"/>
                  <w:vAlign w:val="center"/>
                </w:tcPr>
                <w:p w14:paraId="468CF9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74.3</w:t>
                  </w:r>
                </w:p>
              </w:tc>
              <w:tc>
                <w:tcPr>
                  <w:tcW w:w="557" w:type="pct"/>
                  <w:vAlign w:val="center"/>
                </w:tcPr>
                <w:p w14:paraId="67C6504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w:t>
                  </w:r>
                </w:p>
              </w:tc>
            </w:tr>
            <w:tr w14:paraId="46C45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1" w:type="pct"/>
                  <w:vMerge w:val="continue"/>
                  <w:vAlign w:val="center"/>
                </w:tcPr>
                <w:p w14:paraId="4950B3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65" w:type="pct"/>
                  <w:vAlign w:val="center"/>
                </w:tcPr>
                <w:p w14:paraId="39DBBB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O</w:t>
                  </w:r>
                  <w:r>
                    <w:rPr>
                      <w:rFonts w:hint="default" w:ascii="Times New Roman" w:hAnsi="Times New Roman" w:eastAsia="宋体" w:cs="Times New Roman"/>
                      <w:color w:val="auto"/>
                      <w:sz w:val="21"/>
                      <w:szCs w:val="21"/>
                      <w:vertAlign w:val="subscript"/>
                      <w:lang w:val="en-US" w:eastAsia="zh-CN"/>
                    </w:rPr>
                    <w:t>3</w:t>
                  </w:r>
                </w:p>
              </w:tc>
              <w:tc>
                <w:tcPr>
                  <w:tcW w:w="1320" w:type="pct"/>
                  <w:vAlign w:val="center"/>
                </w:tcPr>
                <w:p w14:paraId="734C1F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日最大8小时平均第90位百分位数</w:t>
                  </w:r>
                </w:p>
              </w:tc>
              <w:tc>
                <w:tcPr>
                  <w:tcW w:w="685" w:type="pct"/>
                  <w:vAlign w:val="center"/>
                </w:tcPr>
                <w:p w14:paraId="0796990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140</w:t>
                  </w:r>
                </w:p>
              </w:tc>
              <w:tc>
                <w:tcPr>
                  <w:tcW w:w="614" w:type="pct"/>
                  <w:vAlign w:val="center"/>
                </w:tcPr>
                <w:p w14:paraId="3151B9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160</w:t>
                  </w:r>
                </w:p>
              </w:tc>
              <w:tc>
                <w:tcPr>
                  <w:tcW w:w="675" w:type="pct"/>
                  <w:vAlign w:val="center"/>
                </w:tcPr>
                <w:p w14:paraId="156E93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87.5</w:t>
                  </w:r>
                </w:p>
              </w:tc>
              <w:tc>
                <w:tcPr>
                  <w:tcW w:w="557" w:type="pct"/>
                  <w:vAlign w:val="center"/>
                </w:tcPr>
                <w:p w14:paraId="1252F4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w:t>
                  </w:r>
                </w:p>
              </w:tc>
            </w:tr>
            <w:tr w14:paraId="09BD4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1" w:type="pct"/>
                  <w:vMerge w:val="continue"/>
                  <w:vAlign w:val="center"/>
                </w:tcPr>
                <w:p w14:paraId="7B2445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65" w:type="pct"/>
                  <w:vAlign w:val="center"/>
                </w:tcPr>
                <w:p w14:paraId="2BC3C2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SO</w:t>
                  </w:r>
                  <w:r>
                    <w:rPr>
                      <w:rFonts w:hint="default" w:ascii="Times New Roman" w:hAnsi="Times New Roman" w:eastAsia="宋体" w:cs="Times New Roman"/>
                      <w:color w:val="auto"/>
                      <w:sz w:val="21"/>
                      <w:szCs w:val="21"/>
                      <w:vertAlign w:val="subscript"/>
                      <w:lang w:val="en-US" w:eastAsia="zh-CN"/>
                    </w:rPr>
                    <w:t>2</w:t>
                  </w:r>
                </w:p>
              </w:tc>
              <w:tc>
                <w:tcPr>
                  <w:tcW w:w="1320" w:type="pct"/>
                  <w:vAlign w:val="center"/>
                </w:tcPr>
                <w:p w14:paraId="234B92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年平均质量浓度</w:t>
                  </w:r>
                </w:p>
              </w:tc>
              <w:tc>
                <w:tcPr>
                  <w:tcW w:w="685" w:type="pct"/>
                  <w:vAlign w:val="center"/>
                </w:tcPr>
                <w:p w14:paraId="27C4E4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w:t>
                  </w:r>
                </w:p>
              </w:tc>
              <w:tc>
                <w:tcPr>
                  <w:tcW w:w="614" w:type="pct"/>
                  <w:vAlign w:val="center"/>
                </w:tcPr>
                <w:p w14:paraId="662C10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60</w:t>
                  </w:r>
                </w:p>
              </w:tc>
              <w:tc>
                <w:tcPr>
                  <w:tcW w:w="675" w:type="pct"/>
                  <w:vAlign w:val="center"/>
                </w:tcPr>
                <w:p w14:paraId="6E6024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16.7</w:t>
                  </w:r>
                </w:p>
              </w:tc>
              <w:tc>
                <w:tcPr>
                  <w:tcW w:w="557" w:type="pct"/>
                  <w:vAlign w:val="center"/>
                </w:tcPr>
                <w:p w14:paraId="7B7B80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w:t>
                  </w:r>
                </w:p>
              </w:tc>
            </w:tr>
            <w:tr w14:paraId="0733F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1" w:type="pct"/>
                  <w:vMerge w:val="continue"/>
                  <w:vAlign w:val="center"/>
                </w:tcPr>
                <w:p w14:paraId="68190D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65" w:type="pct"/>
                  <w:vAlign w:val="center"/>
                </w:tcPr>
                <w:p w14:paraId="41CFEF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NO</w:t>
                  </w:r>
                  <w:r>
                    <w:rPr>
                      <w:rFonts w:hint="default" w:ascii="Times New Roman" w:hAnsi="Times New Roman" w:eastAsia="宋体" w:cs="Times New Roman"/>
                      <w:color w:val="auto"/>
                      <w:sz w:val="21"/>
                      <w:szCs w:val="21"/>
                      <w:vertAlign w:val="subscript"/>
                      <w:lang w:val="en-US" w:eastAsia="zh-CN"/>
                    </w:rPr>
                    <w:t>2</w:t>
                  </w:r>
                </w:p>
              </w:tc>
              <w:tc>
                <w:tcPr>
                  <w:tcW w:w="1320" w:type="pct"/>
                  <w:vAlign w:val="center"/>
                </w:tcPr>
                <w:p w14:paraId="7C8FD9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年平均质量浓度</w:t>
                  </w:r>
                </w:p>
              </w:tc>
              <w:tc>
                <w:tcPr>
                  <w:tcW w:w="685" w:type="pct"/>
                  <w:vAlign w:val="center"/>
                </w:tcPr>
                <w:p w14:paraId="1790E0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16</w:t>
                  </w:r>
                </w:p>
              </w:tc>
              <w:tc>
                <w:tcPr>
                  <w:tcW w:w="614" w:type="pct"/>
                  <w:vAlign w:val="center"/>
                </w:tcPr>
                <w:p w14:paraId="26EDB9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40</w:t>
                  </w:r>
                </w:p>
              </w:tc>
              <w:tc>
                <w:tcPr>
                  <w:tcW w:w="675" w:type="pct"/>
                  <w:vAlign w:val="center"/>
                </w:tcPr>
                <w:p w14:paraId="358F41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40.0</w:t>
                  </w:r>
                </w:p>
              </w:tc>
              <w:tc>
                <w:tcPr>
                  <w:tcW w:w="557" w:type="pct"/>
                  <w:vAlign w:val="center"/>
                </w:tcPr>
                <w:p w14:paraId="07920C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w:t>
                  </w:r>
                </w:p>
              </w:tc>
            </w:tr>
            <w:tr w14:paraId="4BB36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1" w:type="pct"/>
                  <w:vMerge w:val="continue"/>
                  <w:vAlign w:val="center"/>
                </w:tcPr>
                <w:p w14:paraId="0B7C32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665" w:type="pct"/>
                  <w:vAlign w:val="center"/>
                </w:tcPr>
                <w:p w14:paraId="5B7AD1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CO</w:t>
                  </w:r>
                </w:p>
              </w:tc>
              <w:tc>
                <w:tcPr>
                  <w:tcW w:w="1320" w:type="pct"/>
                  <w:vAlign w:val="center"/>
                </w:tcPr>
                <w:p w14:paraId="63F285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24小时平均第95位百分位数</w:t>
                  </w:r>
                </w:p>
              </w:tc>
              <w:tc>
                <w:tcPr>
                  <w:tcW w:w="685" w:type="pct"/>
                  <w:vAlign w:val="center"/>
                </w:tcPr>
                <w:p w14:paraId="5A302D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w:t>
                  </w:r>
                </w:p>
                <w:p w14:paraId="5CB804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lang w:val="en-US" w:eastAsia="zh-CN"/>
                    </w:rPr>
                    <w:t>mg/m</w:t>
                  </w:r>
                  <w:r>
                    <w:rPr>
                      <w:rFonts w:hint="default" w:ascii="Times New Roman" w:hAnsi="Times New Roman" w:eastAsia="宋体" w:cs="Times New Roman"/>
                      <w:color w:val="auto"/>
                      <w:vertAlign w:val="superscript"/>
                      <w:lang w:val="en-US" w:eastAsia="zh-CN"/>
                    </w:rPr>
                    <w:t>3</w:t>
                  </w:r>
                </w:p>
              </w:tc>
              <w:tc>
                <w:tcPr>
                  <w:tcW w:w="614" w:type="pct"/>
                  <w:vAlign w:val="center"/>
                </w:tcPr>
                <w:p w14:paraId="57B7C1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w:t>
                  </w:r>
                </w:p>
                <w:p w14:paraId="490A3D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lang w:val="en-US" w:eastAsia="zh-CN"/>
                    </w:rPr>
                    <w:t>mg/m</w:t>
                  </w:r>
                  <w:r>
                    <w:rPr>
                      <w:rFonts w:hint="default" w:ascii="Times New Roman" w:hAnsi="Times New Roman" w:eastAsia="宋体" w:cs="Times New Roman"/>
                      <w:color w:val="auto"/>
                      <w:vertAlign w:val="superscript"/>
                      <w:lang w:val="en-US" w:eastAsia="zh-CN"/>
                    </w:rPr>
                    <w:t>3</w:t>
                  </w:r>
                </w:p>
              </w:tc>
              <w:tc>
                <w:tcPr>
                  <w:tcW w:w="675" w:type="pct"/>
                  <w:vAlign w:val="center"/>
                </w:tcPr>
                <w:p w14:paraId="79D9DE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30.0</w:t>
                  </w:r>
                </w:p>
              </w:tc>
              <w:tc>
                <w:tcPr>
                  <w:tcW w:w="557" w:type="pct"/>
                  <w:vAlign w:val="center"/>
                </w:tcPr>
                <w:p w14:paraId="5F4E89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w:t>
                  </w:r>
                </w:p>
              </w:tc>
            </w:tr>
          </w:tbl>
          <w:p w14:paraId="4407CE84">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根据以上数据，雁峰区2024年除PM</w:t>
            </w:r>
            <w:r>
              <w:rPr>
                <w:rFonts w:hint="default" w:ascii="Times New Roman" w:hAnsi="Times New Roman" w:eastAsia="宋体" w:cs="Times New Roman"/>
                <w:color w:val="auto"/>
                <w:sz w:val="24"/>
                <w:szCs w:val="32"/>
                <w:vertAlign w:val="subscript"/>
                <w:lang w:val="en-US" w:eastAsia="zh-CN"/>
              </w:rPr>
              <w:t>2.5</w:t>
            </w:r>
            <w:r>
              <w:rPr>
                <w:rFonts w:hint="default" w:ascii="Times New Roman" w:hAnsi="Times New Roman" w:eastAsia="宋体" w:cs="Times New Roman"/>
                <w:color w:val="auto"/>
                <w:sz w:val="24"/>
                <w:szCs w:val="32"/>
                <w:lang w:val="en-US" w:eastAsia="zh-CN"/>
              </w:rPr>
              <w:t>浓度有轻微超标外，PM</w:t>
            </w:r>
            <w:r>
              <w:rPr>
                <w:rFonts w:hint="default" w:ascii="Times New Roman" w:hAnsi="Times New Roman" w:eastAsia="宋体" w:cs="Times New Roman"/>
                <w:color w:val="auto"/>
                <w:sz w:val="24"/>
                <w:szCs w:val="32"/>
                <w:vertAlign w:val="subscript"/>
                <w:lang w:val="en-US" w:eastAsia="zh-CN"/>
              </w:rPr>
              <w:t>10</w:t>
            </w:r>
            <w:r>
              <w:rPr>
                <w:rFonts w:hint="default" w:ascii="Times New Roman" w:hAnsi="Times New Roman" w:eastAsia="宋体" w:cs="Times New Roman"/>
                <w:color w:val="auto"/>
                <w:sz w:val="24"/>
                <w:szCs w:val="32"/>
                <w:lang w:val="en-US" w:eastAsia="zh-CN"/>
              </w:rPr>
              <w:t>、O</w:t>
            </w:r>
            <w:r>
              <w:rPr>
                <w:rFonts w:hint="default" w:ascii="Times New Roman" w:hAnsi="Times New Roman" w:eastAsia="宋体" w:cs="Times New Roman"/>
                <w:color w:val="auto"/>
                <w:sz w:val="24"/>
                <w:szCs w:val="32"/>
                <w:vertAlign w:val="subscript"/>
                <w:lang w:val="en-US" w:eastAsia="zh-CN"/>
              </w:rPr>
              <w:t>3</w:t>
            </w:r>
            <w:r>
              <w:rPr>
                <w:rFonts w:hint="default" w:ascii="Times New Roman" w:hAnsi="Times New Roman" w:eastAsia="宋体" w:cs="Times New Roman"/>
                <w:color w:val="auto"/>
                <w:sz w:val="24"/>
                <w:szCs w:val="32"/>
                <w:lang w:val="en-US" w:eastAsia="zh-CN"/>
              </w:rPr>
              <w:t>、SO</w:t>
            </w:r>
            <w:r>
              <w:rPr>
                <w:rFonts w:hint="default" w:ascii="Times New Roman" w:hAnsi="Times New Roman" w:eastAsia="宋体" w:cs="Times New Roman"/>
                <w:color w:val="auto"/>
                <w:sz w:val="24"/>
                <w:szCs w:val="32"/>
                <w:vertAlign w:val="subscript"/>
                <w:lang w:val="en-US" w:eastAsia="zh-CN"/>
              </w:rPr>
              <w:t>2</w:t>
            </w:r>
            <w:r>
              <w:rPr>
                <w:rFonts w:hint="default" w:ascii="Times New Roman" w:hAnsi="Times New Roman" w:eastAsia="宋体" w:cs="Times New Roman"/>
                <w:color w:val="auto"/>
                <w:sz w:val="24"/>
                <w:szCs w:val="32"/>
                <w:lang w:val="en-US" w:eastAsia="zh-CN"/>
              </w:rPr>
              <w:t>、NO</w:t>
            </w:r>
            <w:r>
              <w:rPr>
                <w:rFonts w:hint="default" w:ascii="Times New Roman" w:hAnsi="Times New Roman" w:eastAsia="宋体" w:cs="Times New Roman"/>
                <w:color w:val="auto"/>
                <w:sz w:val="24"/>
                <w:szCs w:val="32"/>
                <w:vertAlign w:val="subscript"/>
                <w:lang w:val="en-US" w:eastAsia="zh-CN"/>
              </w:rPr>
              <w:t>2</w:t>
            </w:r>
            <w:r>
              <w:rPr>
                <w:rFonts w:hint="default" w:ascii="Times New Roman" w:hAnsi="Times New Roman" w:eastAsia="宋体" w:cs="Times New Roman"/>
                <w:color w:val="auto"/>
                <w:sz w:val="24"/>
                <w:szCs w:val="32"/>
                <w:lang w:val="en-US" w:eastAsia="zh-CN"/>
              </w:rPr>
              <w:t>、CO浓度值均能达到《环境空气质量标准》（GB3095-2012）及2018年修改单中二级标准浓度限值要求。项目位于环境空气质量不达标区。</w:t>
            </w:r>
          </w:p>
          <w:p w14:paraId="4764088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目前衡阳市生态环境局发布了《衡阳市“十四五”空气质量改善规划》，通过采取①优化产业结构、促进产业产品绿色升级、②优化能源结构，加快能源清洁低碳高效发展、③优化交通结构，大力发展绿色运输体系、④强化多污染减排，降低VOCs和氮氧化物排放水平、⑤深化系统治污，着力解决人民群众关切的突出环境问题、⑥推进大气污染治理体系和能力现代化、⑦完善体制机制，强化政策激励作用等措施，使衡阳市城区 PM</w:t>
            </w:r>
            <w:r>
              <w:rPr>
                <w:rFonts w:hint="default" w:ascii="Times New Roman" w:hAnsi="Times New Roman" w:eastAsia="宋体" w:cs="Times New Roman"/>
                <w:color w:val="auto"/>
                <w:sz w:val="24"/>
                <w:szCs w:val="32"/>
                <w:vertAlign w:val="subscript"/>
                <w:lang w:val="en-US" w:eastAsia="zh-CN"/>
              </w:rPr>
              <w:t>2.5</w:t>
            </w:r>
            <w:r>
              <w:rPr>
                <w:rFonts w:hint="default" w:ascii="Times New Roman" w:hAnsi="Times New Roman" w:eastAsia="宋体" w:cs="Times New Roman"/>
                <w:color w:val="auto"/>
                <w:sz w:val="24"/>
                <w:szCs w:val="32"/>
                <w:lang w:val="en-US" w:eastAsia="zh-CN"/>
              </w:rPr>
              <w:t>年均浓度在2025年达到33μg/m³。</w:t>
            </w:r>
          </w:p>
          <w:p w14:paraId="5737AE0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②特征污染物</w:t>
            </w:r>
          </w:p>
          <w:p w14:paraId="14A60BA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u w:val="single"/>
                <w:lang w:val="en-US" w:eastAsia="zh-CN"/>
              </w:rPr>
            </w:pPr>
            <w:r>
              <w:rPr>
                <w:rFonts w:hint="default" w:ascii="Times New Roman" w:hAnsi="Times New Roman" w:eastAsia="宋体" w:cs="Times New Roman"/>
                <w:color w:val="auto"/>
                <w:sz w:val="24"/>
                <w:szCs w:val="32"/>
                <w:lang w:val="en-US" w:eastAsia="zh-CN"/>
              </w:rPr>
              <w:t>本项目特征污染物为非甲烷总烃、</w:t>
            </w:r>
            <w:r>
              <w:rPr>
                <w:rFonts w:hint="default" w:ascii="Times New Roman" w:hAnsi="Times New Roman" w:eastAsia="宋体" w:cs="Times New Roman"/>
                <w:color w:val="auto"/>
                <w:sz w:val="24"/>
                <w:szCs w:val="32"/>
                <w:u w:val="single"/>
                <w:lang w:val="en-US" w:eastAsia="zh-CN"/>
              </w:rPr>
              <w:t>TSP、二氯甲烷、锡及其化合物</w:t>
            </w:r>
            <w:r>
              <w:rPr>
                <w:rFonts w:hint="default" w:ascii="Times New Roman" w:hAnsi="Times New Roman" w:eastAsia="宋体" w:cs="Times New Roman"/>
                <w:color w:val="auto"/>
                <w:sz w:val="24"/>
                <w:szCs w:val="32"/>
                <w:lang w:val="en-US" w:eastAsia="zh-CN"/>
              </w:rPr>
              <w:t>。</w:t>
            </w:r>
            <w:r>
              <w:rPr>
                <w:rFonts w:hint="default" w:ascii="Times New Roman" w:hAnsi="Times New Roman" w:eastAsia="宋体" w:cs="Times New Roman"/>
                <w:color w:val="auto"/>
                <w:sz w:val="24"/>
                <w:szCs w:val="32"/>
                <w:u w:val="single"/>
                <w:lang w:val="en-US" w:eastAsia="zh-CN"/>
              </w:rPr>
              <w:t>根据《建设项目环境影响报告表编制技术指南》(污染影响类)，项目排放国家、地方环境空气质量标准中有标准限值要求的特征污染物时应进行区域环境质量调查，但根据生态环境部评估中心的相关回复：污染影响类技术指南中提到“排放国家、地方环境空气质量标准中有标准限值要求的特征污染物”，其中环境空气质量标准指《环境空气质量标准》(GB3095)和地方的环境空气质量标准，不包括《环境影响评价技术导则大气环境》(HJ2.2-2018)附录D、《工业企业设计卫生标准》(TJ36-97)、《前苏联居住区标准》(CH245-71)、环境影响评价技术导则制药建设项目》(HJ611-2011)《大气污染物综合排放标准详解》等导则或参考资料。排放的特征污染物需要在国家、地方环境空气质量标准中有限值要求才涉及现状监测，且优先引用现有监测数据，</w:t>
            </w:r>
          </w:p>
          <w:p w14:paraId="3828B20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u w:val="single"/>
                <w:lang w:val="en-US" w:eastAsia="zh-CN"/>
              </w:rPr>
            </w:pPr>
            <w:r>
              <w:rPr>
                <w:rFonts w:hint="default" w:ascii="Times New Roman" w:hAnsi="Times New Roman" w:eastAsia="宋体" w:cs="Times New Roman"/>
                <w:color w:val="auto"/>
                <w:sz w:val="24"/>
                <w:szCs w:val="32"/>
                <w:u w:val="single"/>
                <w:lang w:val="en-US" w:eastAsia="zh-CN"/>
              </w:rPr>
              <w:t>本项目特征因子主要为非甲烷总烃、TSP、二氯甲烷，目前国内没有关于二氯甲烷和锡及其化合物的标准限值，根据上述回复，本项目无需对二氯甲烷和锡及其化合物进行环境质量现状监测。</w:t>
            </w:r>
          </w:p>
          <w:p w14:paraId="3B1B931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highlight w:val="yellow"/>
                <w:lang w:val="en-US" w:eastAsia="zh-CN"/>
              </w:rPr>
            </w:pPr>
            <w:r>
              <w:rPr>
                <w:rFonts w:hint="default" w:ascii="Times New Roman" w:hAnsi="Times New Roman" w:eastAsia="宋体" w:cs="Times New Roman"/>
                <w:color w:val="auto"/>
                <w:sz w:val="24"/>
                <w:szCs w:val="32"/>
                <w:lang w:val="en-US" w:eastAsia="zh-CN"/>
              </w:rPr>
              <w:t>根据《建设项目环境影响报告表编制技术指南（污染影响类）》（试行），“排放国家、地方环境空气质量标准中有标准限值的特征污染物时，引用建设项目周边5千米范围内近3年的现有监测数据”。本次评价引用</w:t>
            </w:r>
            <w:r>
              <w:rPr>
                <w:rFonts w:hint="default" w:ascii="Times New Roman" w:hAnsi="Times New Roman" w:eastAsia="宋体" w:cs="Times New Roman"/>
                <w:color w:val="auto"/>
                <w:sz w:val="24"/>
                <w:szCs w:val="32"/>
                <w:highlight w:val="none"/>
                <w:lang w:val="en-US" w:eastAsia="zh-CN"/>
              </w:rPr>
              <w:t>《衡阳高新技术产业开发区调区扩区规划环境影响报告书》中相关数据进行分析，非甲烷总烃引用数据监测时间为2024.3.19-2024.3.25，监测点位为曹家町，该点位经纬度坐标为：E112.568614693°，N26.791611032°，距离本项目地址3km，位于本项目地址5km范围内，符合引用数据的要求。具体数据见表3-2。TSP引用数据监测时间为2022.12.10-2022.12.11，监测点位为夕阳红生态老年公寓，该点位经纬度坐标为112°34′44.57478″,26°49′3.82808″，距离本项目1.5km，位于本项目地址5km范围内，符合引用数据的要求。</w:t>
            </w:r>
          </w:p>
          <w:p w14:paraId="28E16FF6">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eastAsia="宋体" w:cs="Times New Roman"/>
                <w:b/>
                <w:bCs/>
                <w:color w:val="auto"/>
                <w:lang w:val="en-US" w:eastAsia="zh-CN"/>
              </w:rPr>
            </w:pPr>
          </w:p>
          <w:p w14:paraId="1C969B54">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eastAsia="宋体" w:cs="Times New Roman"/>
                <w:b/>
                <w:bCs/>
                <w:color w:val="auto"/>
                <w:lang w:val="en-US" w:eastAsia="zh-CN"/>
              </w:rPr>
            </w:pPr>
          </w:p>
          <w:p w14:paraId="54185B15">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表3-2 非甲烷总烃、TSP监测结果一览表</w:t>
            </w:r>
          </w:p>
          <w:tbl>
            <w:tblPr>
              <w:tblStyle w:val="1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6"/>
              <w:gridCol w:w="1197"/>
              <w:gridCol w:w="703"/>
              <w:gridCol w:w="783"/>
              <w:gridCol w:w="750"/>
              <w:gridCol w:w="850"/>
              <w:gridCol w:w="934"/>
              <w:gridCol w:w="1017"/>
              <w:gridCol w:w="792"/>
            </w:tblGrid>
            <w:tr w14:paraId="6D747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7" w:type="pct"/>
                  <w:vAlign w:val="center"/>
                </w:tcPr>
                <w:p w14:paraId="6B80A0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采样</w:t>
                  </w:r>
                </w:p>
                <w:p w14:paraId="769302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点位</w:t>
                  </w:r>
                </w:p>
              </w:tc>
              <w:tc>
                <w:tcPr>
                  <w:tcW w:w="751" w:type="pct"/>
                  <w:vAlign w:val="center"/>
                </w:tcPr>
                <w:p w14:paraId="1C2D98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采样日期</w:t>
                  </w:r>
                </w:p>
              </w:tc>
              <w:tc>
                <w:tcPr>
                  <w:tcW w:w="1404" w:type="pct"/>
                  <w:gridSpan w:val="3"/>
                  <w:vAlign w:val="center"/>
                </w:tcPr>
                <w:p w14:paraId="05A815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非甲烷总烃小时值</w:t>
                  </w:r>
                </w:p>
                <w:p w14:paraId="5D9C40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检测结果（mg/m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w:t>
                  </w:r>
                </w:p>
              </w:tc>
              <w:tc>
                <w:tcPr>
                  <w:tcW w:w="533" w:type="pct"/>
                  <w:vAlign w:val="center"/>
                </w:tcPr>
                <w:p w14:paraId="2E9431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标准值</w:t>
                  </w:r>
                </w:p>
              </w:tc>
              <w:tc>
                <w:tcPr>
                  <w:tcW w:w="586" w:type="pct"/>
                  <w:vAlign w:val="center"/>
                </w:tcPr>
                <w:p w14:paraId="1192D8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占标率%</w:t>
                  </w:r>
                </w:p>
              </w:tc>
              <w:tc>
                <w:tcPr>
                  <w:tcW w:w="638" w:type="pct"/>
                  <w:vAlign w:val="center"/>
                </w:tcPr>
                <w:p w14:paraId="3734DD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超标率%</w:t>
                  </w:r>
                </w:p>
              </w:tc>
              <w:tc>
                <w:tcPr>
                  <w:tcW w:w="497" w:type="pct"/>
                  <w:vAlign w:val="center"/>
                </w:tcPr>
                <w:p w14:paraId="6F00E7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达标情况</w:t>
                  </w:r>
                </w:p>
              </w:tc>
            </w:tr>
            <w:tr w14:paraId="56956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7" w:type="pct"/>
                  <w:vMerge w:val="restart"/>
                  <w:vAlign w:val="center"/>
                </w:tcPr>
                <w:p w14:paraId="1EF128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斯林村</w:t>
                  </w:r>
                </w:p>
              </w:tc>
              <w:tc>
                <w:tcPr>
                  <w:tcW w:w="751" w:type="pct"/>
                  <w:vAlign w:val="center"/>
                </w:tcPr>
                <w:p w14:paraId="2EC527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2024.3.19</w:t>
                  </w:r>
                </w:p>
              </w:tc>
              <w:tc>
                <w:tcPr>
                  <w:tcW w:w="441" w:type="pct"/>
                  <w:vAlign w:val="center"/>
                </w:tcPr>
                <w:p w14:paraId="1D8773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1.12</w:t>
                  </w:r>
                </w:p>
              </w:tc>
              <w:tc>
                <w:tcPr>
                  <w:tcW w:w="491" w:type="pct"/>
                  <w:vAlign w:val="center"/>
                </w:tcPr>
                <w:p w14:paraId="0D80D9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1.08</w:t>
                  </w:r>
                </w:p>
              </w:tc>
              <w:tc>
                <w:tcPr>
                  <w:tcW w:w="470" w:type="pct"/>
                  <w:vAlign w:val="center"/>
                </w:tcPr>
                <w:p w14:paraId="51C623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1.13</w:t>
                  </w:r>
                </w:p>
              </w:tc>
              <w:tc>
                <w:tcPr>
                  <w:tcW w:w="533" w:type="pct"/>
                  <w:vAlign w:val="center"/>
                </w:tcPr>
                <w:p w14:paraId="191F76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586" w:type="pct"/>
                  <w:vAlign w:val="center"/>
                </w:tcPr>
                <w:p w14:paraId="0DE03D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55.50</w:t>
                  </w:r>
                </w:p>
              </w:tc>
              <w:tc>
                <w:tcPr>
                  <w:tcW w:w="638" w:type="pct"/>
                  <w:vAlign w:val="center"/>
                </w:tcPr>
                <w:p w14:paraId="433AF2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497" w:type="pct"/>
                  <w:vAlign w:val="center"/>
                </w:tcPr>
                <w:p w14:paraId="0678DA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w:t>
                  </w:r>
                </w:p>
              </w:tc>
            </w:tr>
            <w:tr w14:paraId="5A773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7" w:type="pct"/>
                  <w:vMerge w:val="continue"/>
                  <w:vAlign w:val="center"/>
                </w:tcPr>
                <w:p w14:paraId="7BD1B1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751" w:type="pct"/>
                  <w:vAlign w:val="center"/>
                </w:tcPr>
                <w:p w14:paraId="54AD874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2024.3.20</w:t>
                  </w:r>
                </w:p>
              </w:tc>
              <w:tc>
                <w:tcPr>
                  <w:tcW w:w="441" w:type="pct"/>
                  <w:vAlign w:val="center"/>
                </w:tcPr>
                <w:p w14:paraId="0261D1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0.68</w:t>
                  </w:r>
                </w:p>
              </w:tc>
              <w:tc>
                <w:tcPr>
                  <w:tcW w:w="491" w:type="pct"/>
                  <w:vAlign w:val="center"/>
                </w:tcPr>
                <w:p w14:paraId="106ED1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0.71</w:t>
                  </w:r>
                </w:p>
              </w:tc>
              <w:tc>
                <w:tcPr>
                  <w:tcW w:w="470" w:type="pct"/>
                  <w:vAlign w:val="center"/>
                </w:tcPr>
                <w:p w14:paraId="5B62CC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0.67</w:t>
                  </w:r>
                </w:p>
              </w:tc>
              <w:tc>
                <w:tcPr>
                  <w:tcW w:w="533" w:type="pct"/>
                  <w:vAlign w:val="center"/>
                </w:tcPr>
                <w:p w14:paraId="5AAAFE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586" w:type="pct"/>
                  <w:vAlign w:val="center"/>
                </w:tcPr>
                <w:p w14:paraId="252AC5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34.33</w:t>
                  </w:r>
                </w:p>
              </w:tc>
              <w:tc>
                <w:tcPr>
                  <w:tcW w:w="638" w:type="pct"/>
                  <w:vAlign w:val="center"/>
                </w:tcPr>
                <w:p w14:paraId="102058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497" w:type="pct"/>
                  <w:vAlign w:val="center"/>
                </w:tcPr>
                <w:p w14:paraId="14BC8E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w:t>
                  </w:r>
                </w:p>
              </w:tc>
            </w:tr>
            <w:tr w14:paraId="2AAB5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7" w:type="pct"/>
                  <w:vMerge w:val="continue"/>
                  <w:vAlign w:val="center"/>
                </w:tcPr>
                <w:p w14:paraId="52306C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751" w:type="pct"/>
                  <w:vAlign w:val="center"/>
                </w:tcPr>
                <w:p w14:paraId="148D09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2024.3.21</w:t>
                  </w:r>
                </w:p>
              </w:tc>
              <w:tc>
                <w:tcPr>
                  <w:tcW w:w="441" w:type="pct"/>
                  <w:vAlign w:val="center"/>
                </w:tcPr>
                <w:p w14:paraId="794B42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1.16</w:t>
                  </w:r>
                </w:p>
              </w:tc>
              <w:tc>
                <w:tcPr>
                  <w:tcW w:w="491" w:type="pct"/>
                  <w:vAlign w:val="center"/>
                </w:tcPr>
                <w:p w14:paraId="49DD4D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1.16</w:t>
                  </w:r>
                </w:p>
              </w:tc>
              <w:tc>
                <w:tcPr>
                  <w:tcW w:w="470" w:type="pct"/>
                  <w:vAlign w:val="center"/>
                </w:tcPr>
                <w:p w14:paraId="49B882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1.15</w:t>
                  </w:r>
                </w:p>
              </w:tc>
              <w:tc>
                <w:tcPr>
                  <w:tcW w:w="533" w:type="pct"/>
                  <w:vAlign w:val="center"/>
                </w:tcPr>
                <w:p w14:paraId="06C5AB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586" w:type="pct"/>
                  <w:vAlign w:val="center"/>
                </w:tcPr>
                <w:p w14:paraId="01D4FF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57.83</w:t>
                  </w:r>
                </w:p>
              </w:tc>
              <w:tc>
                <w:tcPr>
                  <w:tcW w:w="638" w:type="pct"/>
                  <w:vAlign w:val="center"/>
                </w:tcPr>
                <w:p w14:paraId="0867C7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497" w:type="pct"/>
                  <w:vAlign w:val="center"/>
                </w:tcPr>
                <w:p w14:paraId="6C6696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w:t>
                  </w:r>
                </w:p>
              </w:tc>
            </w:tr>
            <w:tr w14:paraId="19C1F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7" w:type="pct"/>
                  <w:vMerge w:val="continue"/>
                  <w:vAlign w:val="center"/>
                </w:tcPr>
                <w:p w14:paraId="4012A1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751" w:type="pct"/>
                  <w:vAlign w:val="center"/>
                </w:tcPr>
                <w:p w14:paraId="29B241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2024.3.22</w:t>
                  </w:r>
                </w:p>
              </w:tc>
              <w:tc>
                <w:tcPr>
                  <w:tcW w:w="441" w:type="pct"/>
                  <w:vAlign w:val="center"/>
                </w:tcPr>
                <w:p w14:paraId="1416ED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1.12</w:t>
                  </w:r>
                </w:p>
              </w:tc>
              <w:tc>
                <w:tcPr>
                  <w:tcW w:w="491" w:type="pct"/>
                  <w:vAlign w:val="center"/>
                </w:tcPr>
                <w:p w14:paraId="3B6B61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1.10</w:t>
                  </w:r>
                </w:p>
              </w:tc>
              <w:tc>
                <w:tcPr>
                  <w:tcW w:w="470" w:type="pct"/>
                  <w:vAlign w:val="center"/>
                </w:tcPr>
                <w:p w14:paraId="632A115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1.11</w:t>
                  </w:r>
                </w:p>
              </w:tc>
              <w:tc>
                <w:tcPr>
                  <w:tcW w:w="533" w:type="pct"/>
                  <w:vAlign w:val="center"/>
                </w:tcPr>
                <w:p w14:paraId="7F2834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586" w:type="pct"/>
                  <w:vAlign w:val="center"/>
                </w:tcPr>
                <w:p w14:paraId="7CDE7A0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55.50</w:t>
                  </w:r>
                </w:p>
              </w:tc>
              <w:tc>
                <w:tcPr>
                  <w:tcW w:w="638" w:type="pct"/>
                  <w:vAlign w:val="center"/>
                </w:tcPr>
                <w:p w14:paraId="4282E03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497" w:type="pct"/>
                  <w:vAlign w:val="center"/>
                </w:tcPr>
                <w:p w14:paraId="3BC815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w:t>
                  </w:r>
                </w:p>
              </w:tc>
            </w:tr>
            <w:tr w14:paraId="35F7C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7" w:type="pct"/>
                  <w:vMerge w:val="continue"/>
                  <w:vAlign w:val="center"/>
                </w:tcPr>
                <w:p w14:paraId="724048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751" w:type="pct"/>
                  <w:vAlign w:val="center"/>
                </w:tcPr>
                <w:p w14:paraId="73FA21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2024.3.23</w:t>
                  </w:r>
                </w:p>
              </w:tc>
              <w:tc>
                <w:tcPr>
                  <w:tcW w:w="441" w:type="pct"/>
                  <w:vAlign w:val="center"/>
                </w:tcPr>
                <w:p w14:paraId="505B3E1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0.73</w:t>
                  </w:r>
                </w:p>
              </w:tc>
              <w:tc>
                <w:tcPr>
                  <w:tcW w:w="491" w:type="pct"/>
                  <w:vAlign w:val="center"/>
                </w:tcPr>
                <w:p w14:paraId="420BDC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0.72</w:t>
                  </w:r>
                </w:p>
              </w:tc>
              <w:tc>
                <w:tcPr>
                  <w:tcW w:w="470" w:type="pct"/>
                  <w:vAlign w:val="center"/>
                </w:tcPr>
                <w:p w14:paraId="37648F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0.73</w:t>
                  </w:r>
                </w:p>
              </w:tc>
              <w:tc>
                <w:tcPr>
                  <w:tcW w:w="533" w:type="pct"/>
                  <w:vAlign w:val="center"/>
                </w:tcPr>
                <w:p w14:paraId="3CCF64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586" w:type="pct"/>
                  <w:vAlign w:val="center"/>
                </w:tcPr>
                <w:p w14:paraId="3F5A5D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36.33</w:t>
                  </w:r>
                </w:p>
              </w:tc>
              <w:tc>
                <w:tcPr>
                  <w:tcW w:w="638" w:type="pct"/>
                  <w:vAlign w:val="center"/>
                </w:tcPr>
                <w:p w14:paraId="666B9A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497" w:type="pct"/>
                  <w:vAlign w:val="center"/>
                </w:tcPr>
                <w:p w14:paraId="09BBC2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w:t>
                  </w:r>
                </w:p>
              </w:tc>
            </w:tr>
            <w:tr w14:paraId="0E349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7" w:type="pct"/>
                  <w:vMerge w:val="continue"/>
                  <w:vAlign w:val="center"/>
                </w:tcPr>
                <w:p w14:paraId="2FEDD3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751" w:type="pct"/>
                  <w:vAlign w:val="center"/>
                </w:tcPr>
                <w:p w14:paraId="336800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2024.3.24</w:t>
                  </w:r>
                </w:p>
              </w:tc>
              <w:tc>
                <w:tcPr>
                  <w:tcW w:w="441" w:type="pct"/>
                  <w:vAlign w:val="center"/>
                </w:tcPr>
                <w:p w14:paraId="7E27E0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0.73</w:t>
                  </w:r>
                </w:p>
              </w:tc>
              <w:tc>
                <w:tcPr>
                  <w:tcW w:w="491" w:type="pct"/>
                  <w:vAlign w:val="center"/>
                </w:tcPr>
                <w:p w14:paraId="25AFF6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0.73</w:t>
                  </w:r>
                </w:p>
              </w:tc>
              <w:tc>
                <w:tcPr>
                  <w:tcW w:w="470" w:type="pct"/>
                  <w:vAlign w:val="center"/>
                </w:tcPr>
                <w:p w14:paraId="4FBCEC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0.71</w:t>
                  </w:r>
                </w:p>
              </w:tc>
              <w:tc>
                <w:tcPr>
                  <w:tcW w:w="533" w:type="pct"/>
                  <w:vAlign w:val="center"/>
                </w:tcPr>
                <w:p w14:paraId="17500C3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586" w:type="pct"/>
                  <w:vAlign w:val="center"/>
                </w:tcPr>
                <w:p w14:paraId="7D5726A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36.17</w:t>
                  </w:r>
                </w:p>
              </w:tc>
              <w:tc>
                <w:tcPr>
                  <w:tcW w:w="638" w:type="pct"/>
                  <w:vAlign w:val="center"/>
                </w:tcPr>
                <w:p w14:paraId="6C3825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497" w:type="pct"/>
                  <w:vAlign w:val="center"/>
                </w:tcPr>
                <w:p w14:paraId="0A4935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w:t>
                  </w:r>
                </w:p>
              </w:tc>
            </w:tr>
            <w:tr w14:paraId="611F1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7" w:type="pct"/>
                  <w:vMerge w:val="continue"/>
                  <w:vAlign w:val="center"/>
                </w:tcPr>
                <w:p w14:paraId="3B4963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751" w:type="pct"/>
                  <w:vAlign w:val="center"/>
                </w:tcPr>
                <w:p w14:paraId="2A2BA7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2024.3.25</w:t>
                  </w:r>
                </w:p>
              </w:tc>
              <w:tc>
                <w:tcPr>
                  <w:tcW w:w="441" w:type="pct"/>
                  <w:vAlign w:val="center"/>
                </w:tcPr>
                <w:p w14:paraId="14AC83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0.73</w:t>
                  </w:r>
                </w:p>
              </w:tc>
              <w:tc>
                <w:tcPr>
                  <w:tcW w:w="491" w:type="pct"/>
                  <w:vAlign w:val="center"/>
                </w:tcPr>
                <w:p w14:paraId="2B33F0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0.75</w:t>
                  </w:r>
                </w:p>
              </w:tc>
              <w:tc>
                <w:tcPr>
                  <w:tcW w:w="470" w:type="pct"/>
                  <w:vAlign w:val="center"/>
                </w:tcPr>
                <w:p w14:paraId="532251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0.75</w:t>
                  </w:r>
                </w:p>
              </w:tc>
              <w:tc>
                <w:tcPr>
                  <w:tcW w:w="533" w:type="pct"/>
                  <w:vAlign w:val="center"/>
                </w:tcPr>
                <w:p w14:paraId="0A9604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p>
              </w:tc>
              <w:tc>
                <w:tcPr>
                  <w:tcW w:w="586" w:type="pct"/>
                  <w:vAlign w:val="center"/>
                </w:tcPr>
                <w:p w14:paraId="2D9AA3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37.17</w:t>
                  </w:r>
                </w:p>
              </w:tc>
              <w:tc>
                <w:tcPr>
                  <w:tcW w:w="638" w:type="pct"/>
                  <w:vAlign w:val="center"/>
                </w:tcPr>
                <w:p w14:paraId="374E51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497" w:type="pct"/>
                  <w:vAlign w:val="center"/>
                </w:tcPr>
                <w:p w14:paraId="41F7DB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w:t>
                  </w:r>
                </w:p>
              </w:tc>
            </w:tr>
            <w:tr w14:paraId="795EB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36" w:type="dxa"/>
                  <w:vAlign w:val="center"/>
                </w:tcPr>
                <w:p w14:paraId="097664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采样</w:t>
                  </w:r>
                </w:p>
                <w:p w14:paraId="3E82B3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u w:val="single"/>
                      <w:vertAlign w:val="baseline"/>
                      <w:lang w:val="en-US" w:eastAsia="zh-CN"/>
                    </w:rPr>
                    <w:t>点位</w:t>
                  </w:r>
                </w:p>
              </w:tc>
              <w:tc>
                <w:tcPr>
                  <w:tcW w:w="1197" w:type="dxa"/>
                  <w:vAlign w:val="center"/>
                </w:tcPr>
                <w:p w14:paraId="134F65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采样日期</w:t>
                  </w:r>
                </w:p>
              </w:tc>
              <w:tc>
                <w:tcPr>
                  <w:tcW w:w="1404" w:type="pct"/>
                  <w:gridSpan w:val="3"/>
                  <w:vAlign w:val="center"/>
                </w:tcPr>
                <w:p w14:paraId="3DB56F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TSP日均值（</w:t>
                  </w:r>
                  <w:r>
                    <w:rPr>
                      <w:rFonts w:hint="default" w:ascii="Times New Roman" w:hAnsi="Times New Roman" w:eastAsia="宋体" w:cs="Times New Roman"/>
                      <w:color w:val="auto"/>
                      <w:sz w:val="21"/>
                      <w:szCs w:val="21"/>
                      <w:highlight w:val="none"/>
                      <w:u w:val="single"/>
                      <w:lang w:val="en-US" w:eastAsia="zh-CN"/>
                    </w:rPr>
                    <w:t>μg/m</w:t>
                  </w:r>
                  <w:r>
                    <w:rPr>
                      <w:rFonts w:hint="default" w:ascii="Times New Roman" w:hAnsi="Times New Roman" w:eastAsia="宋体" w:cs="Times New Roman"/>
                      <w:color w:val="auto"/>
                      <w:sz w:val="21"/>
                      <w:szCs w:val="21"/>
                      <w:highlight w:val="none"/>
                      <w:u w:val="single"/>
                      <w:vertAlign w:val="superscript"/>
                      <w:lang w:val="en-US" w:eastAsia="zh-CN"/>
                    </w:rPr>
                    <w:t>3</w:t>
                  </w:r>
                  <w:r>
                    <w:rPr>
                      <w:rFonts w:hint="default" w:ascii="Times New Roman" w:hAnsi="Times New Roman" w:eastAsia="宋体" w:cs="Times New Roman"/>
                      <w:color w:val="auto"/>
                      <w:sz w:val="21"/>
                      <w:szCs w:val="21"/>
                      <w:u w:val="single"/>
                      <w:vertAlign w:val="baseline"/>
                      <w:lang w:val="en-US" w:eastAsia="zh-CN"/>
                    </w:rPr>
                    <w:t>）</w:t>
                  </w:r>
                </w:p>
              </w:tc>
              <w:tc>
                <w:tcPr>
                  <w:tcW w:w="850" w:type="dxa"/>
                  <w:vAlign w:val="center"/>
                </w:tcPr>
                <w:p w14:paraId="18C209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标准值</w:t>
                  </w:r>
                </w:p>
              </w:tc>
              <w:tc>
                <w:tcPr>
                  <w:tcW w:w="934" w:type="dxa"/>
                  <w:vAlign w:val="center"/>
                </w:tcPr>
                <w:p w14:paraId="178002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占标率%</w:t>
                  </w:r>
                </w:p>
              </w:tc>
              <w:tc>
                <w:tcPr>
                  <w:tcW w:w="1017" w:type="dxa"/>
                  <w:vAlign w:val="center"/>
                </w:tcPr>
                <w:p w14:paraId="6F6B28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超标率%</w:t>
                  </w:r>
                </w:p>
              </w:tc>
              <w:tc>
                <w:tcPr>
                  <w:tcW w:w="792" w:type="dxa"/>
                  <w:vAlign w:val="center"/>
                </w:tcPr>
                <w:p w14:paraId="122256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达标情况</w:t>
                  </w:r>
                </w:p>
              </w:tc>
            </w:tr>
            <w:tr w14:paraId="69315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587" w:type="pct"/>
                  <w:vMerge w:val="restart"/>
                  <w:vAlign w:val="center"/>
                </w:tcPr>
                <w:p w14:paraId="645C4A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夕阳红生态老年公寓</w:t>
                  </w:r>
                </w:p>
              </w:tc>
              <w:tc>
                <w:tcPr>
                  <w:tcW w:w="751" w:type="pct"/>
                  <w:vAlign w:val="center"/>
                </w:tcPr>
                <w:p w14:paraId="0F27B8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2022.12.10</w:t>
                  </w:r>
                </w:p>
              </w:tc>
              <w:tc>
                <w:tcPr>
                  <w:tcW w:w="1404" w:type="pct"/>
                  <w:gridSpan w:val="3"/>
                  <w:vAlign w:val="center"/>
                </w:tcPr>
                <w:p w14:paraId="6A4053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154</w:t>
                  </w:r>
                </w:p>
              </w:tc>
              <w:tc>
                <w:tcPr>
                  <w:tcW w:w="533" w:type="pct"/>
                  <w:vAlign w:val="center"/>
                </w:tcPr>
                <w:p w14:paraId="3F35370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300</w:t>
                  </w:r>
                </w:p>
              </w:tc>
              <w:tc>
                <w:tcPr>
                  <w:tcW w:w="586" w:type="pct"/>
                  <w:vAlign w:val="center"/>
                </w:tcPr>
                <w:p w14:paraId="608FA5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51.33</w:t>
                  </w:r>
                </w:p>
              </w:tc>
              <w:tc>
                <w:tcPr>
                  <w:tcW w:w="638" w:type="pct"/>
                  <w:vAlign w:val="center"/>
                </w:tcPr>
                <w:p w14:paraId="5E4D36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497" w:type="pct"/>
                  <w:vAlign w:val="center"/>
                </w:tcPr>
                <w:p w14:paraId="54CDC8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达标</w:t>
                  </w:r>
                </w:p>
              </w:tc>
            </w:tr>
            <w:tr w14:paraId="503F0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7" w:type="pct"/>
                  <w:vMerge w:val="continue"/>
                  <w:vAlign w:val="center"/>
                </w:tcPr>
                <w:p w14:paraId="256FA0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single"/>
                      <w:lang w:val="en-US" w:eastAsia="zh-CN"/>
                    </w:rPr>
                  </w:pPr>
                </w:p>
              </w:tc>
              <w:tc>
                <w:tcPr>
                  <w:tcW w:w="751" w:type="pct"/>
                  <w:vAlign w:val="center"/>
                </w:tcPr>
                <w:p w14:paraId="098475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2022.12.11</w:t>
                  </w:r>
                </w:p>
              </w:tc>
              <w:tc>
                <w:tcPr>
                  <w:tcW w:w="1404" w:type="pct"/>
                  <w:gridSpan w:val="3"/>
                  <w:vAlign w:val="center"/>
                </w:tcPr>
                <w:p w14:paraId="0CC544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165</w:t>
                  </w:r>
                </w:p>
              </w:tc>
              <w:tc>
                <w:tcPr>
                  <w:tcW w:w="533" w:type="pct"/>
                  <w:vAlign w:val="center"/>
                </w:tcPr>
                <w:p w14:paraId="1128DD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300</w:t>
                  </w:r>
                </w:p>
              </w:tc>
              <w:tc>
                <w:tcPr>
                  <w:tcW w:w="586" w:type="pct"/>
                  <w:vAlign w:val="center"/>
                </w:tcPr>
                <w:p w14:paraId="7CF3E0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55.00</w:t>
                  </w:r>
                </w:p>
              </w:tc>
              <w:tc>
                <w:tcPr>
                  <w:tcW w:w="638" w:type="pct"/>
                  <w:vAlign w:val="center"/>
                </w:tcPr>
                <w:p w14:paraId="183643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497" w:type="pct"/>
                  <w:vAlign w:val="center"/>
                </w:tcPr>
                <w:p w14:paraId="5AA1AE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达标</w:t>
                  </w:r>
                </w:p>
              </w:tc>
            </w:tr>
          </w:tbl>
          <w:p w14:paraId="60891E7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lang w:val="en-US" w:eastAsia="zh-CN"/>
              </w:rPr>
              <w:t>根据上表可知，项目所在区域环境空气非甲烷总烃满足《大气污染综合排放标准详解》中的相关规定，</w:t>
            </w:r>
            <w:r>
              <w:rPr>
                <w:rFonts w:hint="default" w:ascii="Times New Roman" w:hAnsi="Times New Roman" w:eastAsia="宋体" w:cs="Times New Roman"/>
                <w:color w:val="auto"/>
                <w:sz w:val="24"/>
                <w:szCs w:val="32"/>
                <w:u w:val="single"/>
                <w:lang w:val="en-US" w:eastAsia="zh-CN"/>
              </w:rPr>
              <w:t>TSP满足《环境空气质量标准》（GB3095-2012）二级限值要求。</w:t>
            </w:r>
          </w:p>
          <w:p w14:paraId="3EA14CED">
            <w:pPr>
              <w:pStyle w:val="2"/>
              <w:keepNext w:val="0"/>
              <w:keepLines w:val="0"/>
              <w:pageBreakBefore w:val="0"/>
              <w:widowControl w:val="0"/>
              <w:numPr>
                <w:ilvl w:val="0"/>
                <w:numId w:val="8"/>
              </w:numPr>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地表水环境</w:t>
            </w:r>
          </w:p>
          <w:p w14:paraId="2C60CAA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本项目生产过程无废水产生，主要废水来源为生活污水，废水经化粪池预处理后通过园区污水管网排入铜桥港污水处理厂进一步处理达标后排入湘江。为了解区域纳污水体湘江的水环境质量现状，本次评价引用了衡阳市生态环境局2025年1月24日发布的</w:t>
            </w:r>
            <w:r>
              <w:rPr>
                <w:rFonts w:hint="default" w:ascii="Times New Roman" w:hAnsi="Times New Roman" w:eastAsia="宋体" w:cs="Times New Roman"/>
                <w:color w:val="auto"/>
                <w:sz w:val="24"/>
                <w:szCs w:val="32"/>
                <w:highlight w:val="none"/>
                <w:lang w:val="en-US" w:eastAsia="zh-CN"/>
              </w:rPr>
              <w:t>《关于2024年12月及1-12月全市环境质量状况的通报》附表5雁峰区数据</w:t>
            </w:r>
            <w:r>
              <w:rPr>
                <w:rFonts w:hint="default" w:ascii="Times New Roman" w:hAnsi="Times New Roman" w:eastAsia="宋体" w:cs="Times New Roman"/>
                <w:color w:val="auto"/>
                <w:sz w:val="24"/>
                <w:szCs w:val="32"/>
                <w:lang w:val="en-US" w:eastAsia="zh-CN"/>
              </w:rPr>
              <w:t>进行评价，符合《建设项目环境影响报告表编制技术指南（污染影响类）》（试行）中引用地表水监测数据的有关规定。</w:t>
            </w:r>
          </w:p>
          <w:p w14:paraId="1F4F24C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color w:val="auto"/>
                <w:sz w:val="24"/>
                <w:szCs w:val="32"/>
                <w:lang w:val="en-US" w:eastAsia="zh-CN"/>
              </w:rPr>
              <w:t>监测数据统计见下表。</w:t>
            </w:r>
          </w:p>
          <w:p w14:paraId="302D81A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color w:val="auto"/>
                <w:lang w:val="en-US" w:eastAsia="zh-CN"/>
              </w:rPr>
            </w:pPr>
          </w:p>
          <w:p w14:paraId="7BFBAD5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color w:val="auto"/>
                <w:lang w:val="en-US" w:eastAsia="zh-CN"/>
              </w:rPr>
            </w:pPr>
          </w:p>
          <w:p w14:paraId="285966C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color w:val="auto"/>
                <w:lang w:val="en-US" w:eastAsia="zh-CN"/>
              </w:rPr>
            </w:pPr>
          </w:p>
          <w:p w14:paraId="3B0DBA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color w:val="auto"/>
                <w:lang w:val="en-US" w:eastAsia="zh-CN"/>
              </w:rPr>
            </w:pPr>
          </w:p>
          <w:p w14:paraId="1FBFFCC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color w:val="auto"/>
                <w:lang w:val="en-US" w:eastAsia="zh-CN"/>
              </w:rPr>
            </w:pPr>
          </w:p>
          <w:p w14:paraId="4E97E44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表3-3 地表水监测统计结果</w:t>
            </w:r>
          </w:p>
          <w:p w14:paraId="7D4221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173355</wp:posOffset>
                      </wp:positionH>
                      <wp:positionV relativeFrom="paragraph">
                        <wp:posOffset>1607185</wp:posOffset>
                      </wp:positionV>
                      <wp:extent cx="4648835" cy="400050"/>
                      <wp:effectExtent l="14605" t="14605" r="22860" b="23495"/>
                      <wp:wrapNone/>
                      <wp:docPr id="1089" name="矩形 2"/>
                      <wp:cNvGraphicFramePr/>
                      <a:graphic xmlns:a="http://schemas.openxmlformats.org/drawingml/2006/main">
                        <a:graphicData uri="http://schemas.microsoft.com/office/word/2010/wordprocessingShape">
                          <wps:wsp>
                            <wps:cNvSpPr/>
                            <wps:spPr>
                              <a:xfrm>
                                <a:off x="0" y="0"/>
                                <a:ext cx="4648835" cy="400050"/>
                              </a:xfrm>
                              <a:prstGeom prst="rect">
                                <a:avLst/>
                              </a:prstGeom>
                              <a:ln w="28575" cap="flat" cmpd="sng">
                                <a:solidFill>
                                  <a:srgbClr val="FF0000"/>
                                </a:solidFill>
                                <a:prstDash val="solid"/>
                                <a:miter/>
                                <a:headEnd type="none" w="med" len="med"/>
                                <a:tailEnd type="none" w="med" len="med"/>
                              </a:ln>
                            </wps:spPr>
                            <wps:bodyPr/>
                          </wps:wsp>
                        </a:graphicData>
                      </a:graphic>
                    </wp:anchor>
                  </w:drawing>
                </mc:Choice>
                <mc:Fallback>
                  <w:pict>
                    <v:rect id="矩形 2" o:spid="_x0000_s1026" o:spt="1" style="position:absolute;left:0pt;margin-left:13.65pt;margin-top:126.55pt;height:31.5pt;width:366.05pt;z-index:251660288;mso-width-relative:page;mso-height-relative:page;" filled="f" stroked="t" coordsize="21600,21600" o:gfxdata="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fnU5n2QAAAAoBAAAPAAAAAAAAAAEAIAAAACIAAABkcnMvZG93bnJldi54bWxQSwECFAAUAAAA&#10;CACHTuJA27PLlu0BAADiAwAADgAAAAAAAAABACAAAAAoAQAAZHJzL2Uyb0RvYy54bWxQSwUGAAAA&#10;AAYABgBZAQAAhwUAAAAA&#10;">
                      <v:fill on="f" focussize="0,0"/>
                      <v:stroke weight="2.25pt" color="#FF0000" joinstyle="miter"/>
                      <v:imagedata o:title=""/>
                      <o:lock v:ext="edit" aspectratio="f"/>
                    </v:rect>
                  </w:pict>
                </mc:Fallback>
              </mc:AlternateContent>
            </w:r>
            <w:r>
              <w:rPr>
                <w:rFonts w:hint="default" w:ascii="Times New Roman" w:hAnsi="Times New Roman" w:eastAsia="宋体" w:cs="Times New Roman"/>
                <w:color w:val="auto"/>
              </w:rPr>
              <w:drawing>
                <wp:inline distT="0" distB="0" distL="0" distR="0">
                  <wp:extent cx="4679950" cy="3060065"/>
                  <wp:effectExtent l="0" t="0" r="6350" b="6985"/>
                  <wp:docPr id="1090" name="图片 14"/>
                  <wp:cNvGraphicFramePr/>
                  <a:graphic xmlns:a="http://schemas.openxmlformats.org/drawingml/2006/main">
                    <a:graphicData uri="http://schemas.openxmlformats.org/drawingml/2006/picture">
                      <pic:pic xmlns:pic="http://schemas.openxmlformats.org/drawingml/2006/picture">
                        <pic:nvPicPr>
                          <pic:cNvPr id="1090" name="图片 14"/>
                          <pic:cNvPicPr/>
                        </pic:nvPicPr>
                        <pic:blipFill>
                          <a:blip r:embed="rId14" cstate="print"/>
                          <a:srcRect/>
                          <a:stretch>
                            <a:fillRect/>
                          </a:stretch>
                        </pic:blipFill>
                        <pic:spPr>
                          <a:xfrm>
                            <a:off x="0" y="0"/>
                            <a:ext cx="4679950" cy="3060065"/>
                          </a:xfrm>
                          <a:prstGeom prst="rect">
                            <a:avLst/>
                          </a:prstGeom>
                          <a:ln>
                            <a:noFill/>
                          </a:ln>
                        </pic:spPr>
                      </pic:pic>
                    </a:graphicData>
                  </a:graphic>
                </wp:inline>
              </w:drawing>
            </w:r>
          </w:p>
          <w:p w14:paraId="697C1F10">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根据常规监测统计结果可知，</w:t>
            </w:r>
            <w:r>
              <w:rPr>
                <w:rFonts w:hint="default" w:ascii="Times New Roman" w:hAnsi="Times New Roman" w:eastAsia="宋体" w:cs="Times New Roman"/>
                <w:color w:val="auto"/>
                <w:sz w:val="24"/>
                <w:szCs w:val="32"/>
                <w:highlight w:val="none"/>
                <w:lang w:val="en-US" w:eastAsia="zh-CN"/>
              </w:rPr>
              <w:t>2024年湘江城南水厂、城北水厂断面</w:t>
            </w:r>
            <w:r>
              <w:rPr>
                <w:rFonts w:hint="default" w:ascii="Times New Roman" w:hAnsi="Times New Roman" w:eastAsia="宋体" w:cs="Times New Roman"/>
                <w:color w:val="auto"/>
                <w:sz w:val="24"/>
                <w:szCs w:val="32"/>
                <w:lang w:val="en-US" w:eastAsia="zh-CN"/>
              </w:rPr>
              <w:t>各项监测指标均能达到或优于《地表水环境质量标准》（GB 3838-2002）中II类标准，水环境质量较好。</w:t>
            </w:r>
          </w:p>
          <w:p w14:paraId="46671149">
            <w:pPr>
              <w:pStyle w:val="2"/>
              <w:keepNext w:val="0"/>
              <w:keepLines w:val="0"/>
              <w:pageBreakBefore w:val="0"/>
              <w:widowControl w:val="0"/>
              <w:numPr>
                <w:ilvl w:val="0"/>
                <w:numId w:val="8"/>
              </w:numPr>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声环境</w:t>
            </w:r>
          </w:p>
          <w:p w14:paraId="715CDED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《建设项目环境影响报告表编制技术指南（污染影响类）》（试行）明确区域声环境质量现状：厂界外周边50米范围内存在声环境保护目标的建设项目，应监测保护目标声环境质量现状并评价达标情况。</w:t>
            </w:r>
          </w:p>
          <w:p w14:paraId="6F57713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本项目所在区域为《声环境质量标准》（GB 3096-2008）中3类功能区，项目厂界外周边50m范围内无声环境保护目标，不需开展现状监测。</w:t>
            </w:r>
          </w:p>
          <w:p w14:paraId="5A145E92">
            <w:pPr>
              <w:pStyle w:val="2"/>
              <w:keepNext w:val="0"/>
              <w:keepLines w:val="0"/>
              <w:pageBreakBefore w:val="0"/>
              <w:widowControl w:val="0"/>
              <w:numPr>
                <w:ilvl w:val="0"/>
                <w:numId w:val="8"/>
              </w:numPr>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生态环境</w:t>
            </w:r>
          </w:p>
          <w:p w14:paraId="60A2E57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本项目位于衡山科学城半导体产业园一期，租赁两栋标准厂房进行建设，项目占地范围内无生态环境保护目标。</w:t>
            </w:r>
          </w:p>
          <w:p w14:paraId="10DCB295">
            <w:pPr>
              <w:pStyle w:val="2"/>
              <w:keepNext w:val="0"/>
              <w:keepLines w:val="0"/>
              <w:pageBreakBefore w:val="0"/>
              <w:widowControl w:val="0"/>
              <w:numPr>
                <w:ilvl w:val="0"/>
                <w:numId w:val="8"/>
              </w:numPr>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电磁辐射</w:t>
            </w:r>
          </w:p>
          <w:p w14:paraId="15FECEA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本项目不涉及电磁辐射项目，无需开展辐射现状监测与评价。</w:t>
            </w:r>
          </w:p>
          <w:p w14:paraId="479EE1BF">
            <w:pPr>
              <w:pStyle w:val="2"/>
              <w:keepNext w:val="0"/>
              <w:keepLines w:val="0"/>
              <w:pageBreakBefore w:val="0"/>
              <w:widowControl w:val="0"/>
              <w:numPr>
                <w:ilvl w:val="0"/>
                <w:numId w:val="8"/>
              </w:numPr>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地下水及土壤环境</w:t>
            </w:r>
          </w:p>
          <w:p w14:paraId="4CE1B57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4"/>
                <w:szCs w:val="32"/>
                <w:lang w:val="en-US" w:eastAsia="zh-CN"/>
              </w:rPr>
              <w:t>根据《建设项目环境影响报告表编制技术指南（污染影响类）》（试行）中要求，地下水、土壤环境原则上不开展环境质量现状调查。本项目采取相应的防护措施后，切断了土壤、地下水的污染途径，不会土壤、地下水造成影响，无需开展地下水、土壤环境质量现状调查。</w:t>
            </w:r>
          </w:p>
        </w:tc>
      </w:tr>
      <w:tr w14:paraId="0DEEC1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14" w:hRule="atLeast"/>
          <w:jc w:val="center"/>
        </w:trPr>
        <w:tc>
          <w:tcPr>
            <w:tcW w:w="870" w:type="dxa"/>
            <w:vAlign w:val="center"/>
          </w:tcPr>
          <w:p w14:paraId="56731FDE">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环境</w:t>
            </w:r>
          </w:p>
          <w:p w14:paraId="0825483F">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保护</w:t>
            </w:r>
          </w:p>
          <w:p w14:paraId="6B94EE21">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目标</w:t>
            </w:r>
          </w:p>
        </w:tc>
        <w:tc>
          <w:tcPr>
            <w:tcW w:w="8191" w:type="dxa"/>
            <w:vAlign w:val="center"/>
          </w:tcPr>
          <w:p w14:paraId="20BEDF11">
            <w:pPr>
              <w:keepNext w:val="0"/>
              <w:keepLines w:val="0"/>
              <w:pageBreakBefore w:val="0"/>
              <w:widowControl w:val="0"/>
              <w:kinsoku/>
              <w:wordWrap/>
              <w:overflowPunct/>
              <w:topLinePunct w:val="0"/>
              <w:autoSpaceDE/>
              <w:autoSpaceDN/>
              <w:bidi w:val="0"/>
              <w:adjustRightInd/>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本项目位于湖南省衡阳市高新区衡山科学城半导体产业园一期1#、6#栋，经现场踏勘，本项目环境保护目标情况如下：</w:t>
            </w:r>
          </w:p>
          <w:p w14:paraId="6641785C">
            <w:pPr>
              <w:pStyle w:val="2"/>
              <w:keepNext w:val="0"/>
              <w:keepLines w:val="0"/>
              <w:pageBreakBefore w:val="0"/>
              <w:widowControl w:val="0"/>
              <w:numPr>
                <w:ilvl w:val="0"/>
                <w:numId w:val="0"/>
              </w:numPr>
              <w:kinsoku/>
              <w:wordWrap/>
              <w:overflowPunct/>
              <w:topLinePunct w:val="0"/>
              <w:autoSpaceDE/>
              <w:autoSpaceDN/>
              <w:bidi w:val="0"/>
              <w:snapToGrid w:val="0"/>
              <w:spacing w:before="0" w:after="0" w:line="360" w:lineRule="auto"/>
              <w:ind w:leftChars="0" w:firstLine="482" w:firstLineChars="200"/>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1、大气环境保护目标</w:t>
            </w:r>
          </w:p>
          <w:p w14:paraId="6F0AF44C">
            <w:pPr>
              <w:keepNext w:val="0"/>
              <w:keepLines w:val="0"/>
              <w:pageBreakBefore w:val="0"/>
              <w:widowControl w:val="0"/>
              <w:kinsoku/>
              <w:wordWrap/>
              <w:overflowPunct/>
              <w:topLinePunct w:val="0"/>
              <w:autoSpaceDE/>
              <w:autoSpaceDN/>
              <w:bidi w:val="0"/>
              <w:adjustRightInd/>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项目所在地及周边500米范围内大气环境保护目标有衡山科学城东湖小区、衡山科学城凤凰园。</w:t>
            </w:r>
          </w:p>
          <w:p w14:paraId="42655E1E">
            <w:pPr>
              <w:pStyle w:val="2"/>
              <w:keepNext w:val="0"/>
              <w:keepLines w:val="0"/>
              <w:pageBreakBefore w:val="0"/>
              <w:widowControl w:val="0"/>
              <w:numPr>
                <w:ilvl w:val="0"/>
                <w:numId w:val="0"/>
              </w:numPr>
              <w:kinsoku/>
              <w:wordWrap/>
              <w:overflowPunct/>
              <w:topLinePunct w:val="0"/>
              <w:autoSpaceDE/>
              <w:autoSpaceDN/>
              <w:bidi w:val="0"/>
              <w:snapToGrid w:val="0"/>
              <w:spacing w:before="0" w:after="0" w:line="360" w:lineRule="auto"/>
              <w:ind w:leftChars="0" w:firstLine="482" w:firstLineChars="200"/>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2、声环境保护目标</w:t>
            </w:r>
          </w:p>
          <w:p w14:paraId="569722EF">
            <w:pPr>
              <w:keepNext w:val="0"/>
              <w:keepLines w:val="0"/>
              <w:pageBreakBefore w:val="0"/>
              <w:widowControl w:val="0"/>
              <w:kinsoku/>
              <w:wordWrap/>
              <w:overflowPunct/>
              <w:topLinePunct w:val="0"/>
              <w:autoSpaceDE/>
              <w:autoSpaceDN/>
              <w:bidi w:val="0"/>
              <w:adjustRightInd/>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项目厂界外50m范围无声环境保护目标。</w:t>
            </w:r>
          </w:p>
          <w:p w14:paraId="1E4BE08A">
            <w:pPr>
              <w:pStyle w:val="2"/>
              <w:keepNext w:val="0"/>
              <w:keepLines w:val="0"/>
              <w:pageBreakBefore w:val="0"/>
              <w:widowControl w:val="0"/>
              <w:numPr>
                <w:ilvl w:val="0"/>
                <w:numId w:val="0"/>
              </w:numPr>
              <w:kinsoku/>
              <w:wordWrap/>
              <w:overflowPunct/>
              <w:topLinePunct w:val="0"/>
              <w:autoSpaceDE/>
              <w:autoSpaceDN/>
              <w:bidi w:val="0"/>
              <w:snapToGrid w:val="0"/>
              <w:spacing w:before="0" w:after="0" w:line="360" w:lineRule="auto"/>
              <w:ind w:leftChars="0" w:firstLine="482" w:firstLineChars="200"/>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3、地下水环境保护目标</w:t>
            </w:r>
          </w:p>
          <w:p w14:paraId="0EE46680">
            <w:pPr>
              <w:keepNext w:val="0"/>
              <w:keepLines w:val="0"/>
              <w:pageBreakBefore w:val="0"/>
              <w:widowControl w:val="0"/>
              <w:kinsoku/>
              <w:wordWrap/>
              <w:overflowPunct/>
              <w:topLinePunct w:val="0"/>
              <w:autoSpaceDE/>
              <w:autoSpaceDN/>
              <w:bidi w:val="0"/>
              <w:adjustRightInd/>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项目厂界外500m范围内无地下水集中式饮用水水源和热水、矿泉水、温泉等特殊地下水资源。</w:t>
            </w:r>
          </w:p>
          <w:p w14:paraId="38526AB1">
            <w:pPr>
              <w:pStyle w:val="2"/>
              <w:keepNext w:val="0"/>
              <w:keepLines w:val="0"/>
              <w:pageBreakBefore w:val="0"/>
              <w:widowControl w:val="0"/>
              <w:numPr>
                <w:ilvl w:val="0"/>
                <w:numId w:val="0"/>
              </w:numPr>
              <w:kinsoku/>
              <w:wordWrap/>
              <w:overflowPunct/>
              <w:topLinePunct w:val="0"/>
              <w:autoSpaceDE/>
              <w:autoSpaceDN/>
              <w:bidi w:val="0"/>
              <w:snapToGrid w:val="0"/>
              <w:spacing w:before="0" w:after="0" w:line="360" w:lineRule="auto"/>
              <w:ind w:leftChars="0" w:firstLine="482" w:firstLineChars="200"/>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4、生态环境保护目标</w:t>
            </w:r>
          </w:p>
          <w:p w14:paraId="682B9D3E">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sz w:val="24"/>
                <w:szCs w:val="32"/>
                <w:lang w:val="en-US" w:eastAsia="zh-CN"/>
              </w:rPr>
              <w:t>本项目位于衡山科学城半导体产业园一期，租赁两栋标准厂房进行建设，项目占地范围内无生态环境保护目标。</w:t>
            </w:r>
          </w:p>
        </w:tc>
      </w:tr>
      <w:tr w14:paraId="2E395F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3" w:hRule="atLeast"/>
          <w:jc w:val="center"/>
        </w:trPr>
        <w:tc>
          <w:tcPr>
            <w:tcW w:w="870" w:type="dxa"/>
            <w:tcMar>
              <w:left w:w="28" w:type="dxa"/>
              <w:right w:w="28" w:type="dxa"/>
            </w:tcMar>
            <w:vAlign w:val="center"/>
          </w:tcPr>
          <w:p w14:paraId="4E2080E1">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污染</w:t>
            </w:r>
          </w:p>
          <w:p w14:paraId="7F7EF057">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物排</w:t>
            </w:r>
          </w:p>
          <w:p w14:paraId="3902280F">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放控</w:t>
            </w:r>
          </w:p>
          <w:p w14:paraId="121D95F9">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制标</w:t>
            </w:r>
          </w:p>
          <w:p w14:paraId="63532CC5">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准</w:t>
            </w:r>
          </w:p>
        </w:tc>
        <w:tc>
          <w:tcPr>
            <w:tcW w:w="8191" w:type="dxa"/>
            <w:vAlign w:val="center"/>
          </w:tcPr>
          <w:p w14:paraId="5F1B508B">
            <w:pPr>
              <w:pStyle w:val="2"/>
              <w:keepNext w:val="0"/>
              <w:keepLines w:val="0"/>
              <w:pageBreakBefore w:val="0"/>
              <w:widowControl w:val="0"/>
              <w:numPr>
                <w:ilvl w:val="0"/>
                <w:numId w:val="9"/>
              </w:numPr>
              <w:kinsoku/>
              <w:wordWrap/>
              <w:overflowPunct/>
              <w:topLinePunct w:val="0"/>
              <w:autoSpaceDE/>
              <w:autoSpaceDN/>
              <w:bidi w:val="0"/>
              <w:snapToGrid w:val="0"/>
              <w:spacing w:before="0" w:line="360" w:lineRule="auto"/>
              <w:ind w:left="0" w:leftChars="0" w:firstLine="0" w:firstLineChars="0"/>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大气污染物排放标准</w:t>
            </w:r>
          </w:p>
          <w:p w14:paraId="64A09C0F">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生产过程挥发性有机废气、焊接烟尘排放执行《大气污染物综合排放标准》（GB16297-1996）二级标准。</w:t>
            </w:r>
          </w:p>
          <w:p w14:paraId="36708988">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详见表3-4。</w:t>
            </w:r>
          </w:p>
          <w:p w14:paraId="5FD632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表3-4 废气污染物排放标准</w:t>
            </w:r>
          </w:p>
          <w:tbl>
            <w:tblPr>
              <w:tblStyle w:val="18"/>
              <w:tblW w:w="795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0"/>
              <w:gridCol w:w="1511"/>
              <w:gridCol w:w="2317"/>
              <w:gridCol w:w="1331"/>
              <w:gridCol w:w="1838"/>
            </w:tblGrid>
            <w:tr w14:paraId="04B09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0" w:type="dxa"/>
                  <w:vAlign w:val="center"/>
                </w:tcPr>
                <w:p w14:paraId="70A492E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污染源</w:t>
                  </w:r>
                </w:p>
              </w:tc>
              <w:tc>
                <w:tcPr>
                  <w:tcW w:w="1511" w:type="dxa"/>
                  <w:vAlign w:val="center"/>
                </w:tcPr>
                <w:p w14:paraId="6A342D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污染物</w:t>
                  </w:r>
                </w:p>
              </w:tc>
              <w:tc>
                <w:tcPr>
                  <w:tcW w:w="2317" w:type="dxa"/>
                  <w:vAlign w:val="center"/>
                </w:tcPr>
                <w:p w14:paraId="48C4DD2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最高允许排放浓度</w:t>
                  </w:r>
                </w:p>
                <w:p w14:paraId="4B70F0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mg/m</w:t>
                  </w:r>
                  <w:r>
                    <w:rPr>
                      <w:rFonts w:hint="default" w:ascii="Times New Roman" w:hAnsi="Times New Roman" w:eastAsia="宋体" w:cs="Times New Roman"/>
                      <w:color w:val="auto"/>
                      <w:vertAlign w:val="superscript"/>
                      <w:lang w:val="en-US" w:eastAsia="zh-CN"/>
                    </w:rPr>
                    <w:t>3</w:t>
                  </w:r>
                </w:p>
              </w:tc>
              <w:tc>
                <w:tcPr>
                  <w:tcW w:w="1331" w:type="dxa"/>
                  <w:vAlign w:val="center"/>
                </w:tcPr>
                <w:p w14:paraId="18713B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排放速率kg/h</w:t>
                  </w:r>
                </w:p>
              </w:tc>
              <w:tc>
                <w:tcPr>
                  <w:tcW w:w="1838" w:type="dxa"/>
                  <w:vAlign w:val="center"/>
                </w:tcPr>
                <w:p w14:paraId="51D8AB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标准来源</w:t>
                  </w:r>
                </w:p>
              </w:tc>
            </w:tr>
            <w:tr w14:paraId="33983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0" w:type="dxa"/>
                  <w:vMerge w:val="restart"/>
                  <w:vAlign w:val="center"/>
                </w:tcPr>
                <w:p w14:paraId="401A3E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无组织</w:t>
                  </w:r>
                </w:p>
              </w:tc>
              <w:tc>
                <w:tcPr>
                  <w:tcW w:w="1511" w:type="dxa"/>
                  <w:vAlign w:val="center"/>
                </w:tcPr>
                <w:p w14:paraId="4B76E0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NMHC</w:t>
                  </w:r>
                </w:p>
              </w:tc>
              <w:tc>
                <w:tcPr>
                  <w:tcW w:w="2317" w:type="dxa"/>
                  <w:vAlign w:val="center"/>
                </w:tcPr>
                <w:p w14:paraId="4758EB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highlight w:val="none"/>
                      <w:vertAlign w:val="baseline"/>
                      <w:lang w:val="en-US" w:eastAsia="zh-CN"/>
                    </w:rPr>
                    <w:t>周界外浓度最高点≤4</w:t>
                  </w:r>
                </w:p>
              </w:tc>
              <w:tc>
                <w:tcPr>
                  <w:tcW w:w="1331" w:type="dxa"/>
                  <w:vAlign w:val="center"/>
                </w:tcPr>
                <w:p w14:paraId="389A66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w:t>
                  </w:r>
                </w:p>
              </w:tc>
              <w:tc>
                <w:tcPr>
                  <w:tcW w:w="1838" w:type="dxa"/>
                  <w:vMerge w:val="restart"/>
                  <w:vAlign w:val="center"/>
                </w:tcPr>
                <w:p w14:paraId="4F6CBD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lang w:val="en-US" w:eastAsia="zh-CN"/>
                    </w:rPr>
                    <w:t>《大气污染物综合排放标准》（GB16297-1996）</w:t>
                  </w:r>
                </w:p>
              </w:tc>
            </w:tr>
            <w:tr w14:paraId="6C55D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0" w:type="dxa"/>
                  <w:vMerge w:val="continue"/>
                  <w:vAlign w:val="center"/>
                </w:tcPr>
                <w:p w14:paraId="183196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p>
              </w:tc>
              <w:tc>
                <w:tcPr>
                  <w:tcW w:w="1511" w:type="dxa"/>
                  <w:vAlign w:val="center"/>
                </w:tcPr>
                <w:p w14:paraId="0784EB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颗粒物</w:t>
                  </w:r>
                </w:p>
              </w:tc>
              <w:tc>
                <w:tcPr>
                  <w:tcW w:w="2317" w:type="dxa"/>
                  <w:vAlign w:val="center"/>
                </w:tcPr>
                <w:p w14:paraId="4951D2E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1.0</w:t>
                  </w:r>
                </w:p>
              </w:tc>
              <w:tc>
                <w:tcPr>
                  <w:tcW w:w="1331" w:type="dxa"/>
                  <w:vAlign w:val="center"/>
                </w:tcPr>
                <w:p w14:paraId="22A7D8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w:t>
                  </w:r>
                </w:p>
              </w:tc>
              <w:tc>
                <w:tcPr>
                  <w:tcW w:w="1838" w:type="dxa"/>
                  <w:vMerge w:val="continue"/>
                  <w:vAlign w:val="center"/>
                </w:tcPr>
                <w:p w14:paraId="29929C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p>
              </w:tc>
            </w:tr>
            <w:tr w14:paraId="06C23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0" w:type="dxa"/>
                  <w:vMerge w:val="continue"/>
                  <w:vAlign w:val="center"/>
                </w:tcPr>
                <w:p w14:paraId="1E6BBC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p>
              </w:tc>
              <w:tc>
                <w:tcPr>
                  <w:tcW w:w="1511" w:type="dxa"/>
                  <w:vAlign w:val="center"/>
                </w:tcPr>
                <w:p w14:paraId="7ED3C8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锡及其化合物</w:t>
                  </w:r>
                </w:p>
              </w:tc>
              <w:tc>
                <w:tcPr>
                  <w:tcW w:w="2317" w:type="dxa"/>
                  <w:vAlign w:val="center"/>
                </w:tcPr>
                <w:p w14:paraId="50A4F9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0.24</w:t>
                  </w:r>
                </w:p>
              </w:tc>
              <w:tc>
                <w:tcPr>
                  <w:tcW w:w="1331" w:type="dxa"/>
                  <w:vAlign w:val="center"/>
                </w:tcPr>
                <w:p w14:paraId="4AA90A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w:t>
                  </w:r>
                </w:p>
              </w:tc>
              <w:tc>
                <w:tcPr>
                  <w:tcW w:w="1838" w:type="dxa"/>
                  <w:vMerge w:val="continue"/>
                  <w:vAlign w:val="center"/>
                </w:tcPr>
                <w:p w14:paraId="7BE586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p>
              </w:tc>
            </w:tr>
            <w:tr w14:paraId="0775A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0" w:type="dxa"/>
                  <w:vMerge w:val="restart"/>
                  <w:vAlign w:val="center"/>
                </w:tcPr>
                <w:p w14:paraId="48A157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有组织</w:t>
                  </w:r>
                </w:p>
              </w:tc>
              <w:tc>
                <w:tcPr>
                  <w:tcW w:w="1511" w:type="dxa"/>
                  <w:vAlign w:val="center"/>
                </w:tcPr>
                <w:p w14:paraId="767E82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NMHC</w:t>
                  </w:r>
                </w:p>
              </w:tc>
              <w:tc>
                <w:tcPr>
                  <w:tcW w:w="2317" w:type="dxa"/>
                  <w:vAlign w:val="center"/>
                </w:tcPr>
                <w:p w14:paraId="3DA4F3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120</w:t>
                  </w:r>
                </w:p>
              </w:tc>
              <w:tc>
                <w:tcPr>
                  <w:tcW w:w="1331" w:type="dxa"/>
                  <w:vAlign w:val="center"/>
                </w:tcPr>
                <w:p w14:paraId="6ABFBB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highlight w:val="none"/>
                      <w:u w:val="single"/>
                      <w:vertAlign w:val="baseline"/>
                      <w:lang w:val="en-US" w:eastAsia="zh-CN"/>
                    </w:rPr>
                  </w:pPr>
                  <w:r>
                    <w:rPr>
                      <w:rFonts w:hint="default" w:ascii="Times New Roman" w:hAnsi="Times New Roman" w:eastAsia="宋体" w:cs="Times New Roman"/>
                      <w:color w:val="auto"/>
                      <w:highlight w:val="none"/>
                      <w:u w:val="single"/>
                      <w:vertAlign w:val="baseline"/>
                      <w:lang w:val="en-US" w:eastAsia="zh-CN"/>
                    </w:rPr>
                    <w:t>27.8</w:t>
                  </w:r>
                </w:p>
              </w:tc>
              <w:tc>
                <w:tcPr>
                  <w:tcW w:w="1838" w:type="dxa"/>
                  <w:vMerge w:val="restart"/>
                  <w:vAlign w:val="center"/>
                </w:tcPr>
                <w:p w14:paraId="1AAAAD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lang w:val="en-US" w:eastAsia="zh-CN"/>
                    </w:rPr>
                    <w:t>《大气污染物综合排放标准》（GB16297-1996）二级标准</w:t>
                  </w:r>
                </w:p>
              </w:tc>
            </w:tr>
            <w:tr w14:paraId="0E60F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0" w:type="dxa"/>
                  <w:vMerge w:val="continue"/>
                  <w:vAlign w:val="center"/>
                </w:tcPr>
                <w:p w14:paraId="731490E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u w:val="single"/>
                      <w:vertAlign w:val="baseline"/>
                      <w:lang w:val="en-US" w:eastAsia="zh-CN"/>
                    </w:rPr>
                  </w:pPr>
                </w:p>
              </w:tc>
              <w:tc>
                <w:tcPr>
                  <w:tcW w:w="1511" w:type="dxa"/>
                  <w:vAlign w:val="center"/>
                </w:tcPr>
                <w:p w14:paraId="2C3813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颗粒物</w:t>
                  </w:r>
                </w:p>
              </w:tc>
              <w:tc>
                <w:tcPr>
                  <w:tcW w:w="2317" w:type="dxa"/>
                  <w:vAlign w:val="center"/>
                </w:tcPr>
                <w:p w14:paraId="159AEE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120</w:t>
                  </w:r>
                </w:p>
              </w:tc>
              <w:tc>
                <w:tcPr>
                  <w:tcW w:w="1331" w:type="dxa"/>
                  <w:vAlign w:val="center"/>
                </w:tcPr>
                <w:p w14:paraId="4A5A80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11.03</w:t>
                  </w:r>
                </w:p>
              </w:tc>
              <w:tc>
                <w:tcPr>
                  <w:tcW w:w="1838" w:type="dxa"/>
                  <w:vMerge w:val="continue"/>
                  <w:vAlign w:val="center"/>
                </w:tcPr>
                <w:p w14:paraId="2BACA78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p>
              </w:tc>
            </w:tr>
            <w:tr w14:paraId="65197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0" w:type="dxa"/>
                  <w:vMerge w:val="continue"/>
                  <w:vAlign w:val="center"/>
                </w:tcPr>
                <w:p w14:paraId="070E50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u w:val="single"/>
                      <w:vertAlign w:val="baseline"/>
                      <w:lang w:val="en-US" w:eastAsia="zh-CN"/>
                    </w:rPr>
                  </w:pPr>
                </w:p>
              </w:tc>
              <w:tc>
                <w:tcPr>
                  <w:tcW w:w="1511" w:type="dxa"/>
                  <w:vAlign w:val="center"/>
                </w:tcPr>
                <w:p w14:paraId="2D33FE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锡及其化合物</w:t>
                  </w:r>
                </w:p>
              </w:tc>
              <w:tc>
                <w:tcPr>
                  <w:tcW w:w="2317" w:type="dxa"/>
                  <w:vAlign w:val="center"/>
                </w:tcPr>
                <w:p w14:paraId="6D095E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8.5</w:t>
                  </w:r>
                </w:p>
              </w:tc>
              <w:tc>
                <w:tcPr>
                  <w:tcW w:w="1331" w:type="dxa"/>
                  <w:vAlign w:val="center"/>
                </w:tcPr>
                <w:p w14:paraId="5179D9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u w:val="single"/>
                      <w:vertAlign w:val="baseline"/>
                      <w:lang w:val="en-US" w:eastAsia="zh-CN"/>
                    </w:rPr>
                  </w:pPr>
                  <w:r>
                    <w:rPr>
                      <w:rFonts w:hint="default" w:ascii="Times New Roman" w:hAnsi="Times New Roman" w:eastAsia="宋体" w:cs="Times New Roman"/>
                      <w:color w:val="auto"/>
                      <w:u w:val="single"/>
                      <w:vertAlign w:val="baseline"/>
                      <w:lang w:val="en-US" w:eastAsia="zh-CN"/>
                    </w:rPr>
                    <w:t>0.964</w:t>
                  </w:r>
                </w:p>
              </w:tc>
              <w:tc>
                <w:tcPr>
                  <w:tcW w:w="1838" w:type="dxa"/>
                  <w:vMerge w:val="continue"/>
                  <w:vAlign w:val="center"/>
                </w:tcPr>
                <w:p w14:paraId="7336B4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p>
              </w:tc>
            </w:tr>
          </w:tbl>
          <w:p w14:paraId="15B32831">
            <w:pPr>
              <w:pStyle w:val="2"/>
              <w:keepNext w:val="0"/>
              <w:keepLines w:val="0"/>
              <w:pageBreakBefore w:val="0"/>
              <w:widowControl w:val="0"/>
              <w:numPr>
                <w:ilvl w:val="0"/>
                <w:numId w:val="9"/>
              </w:numPr>
              <w:kinsoku/>
              <w:wordWrap/>
              <w:overflowPunct/>
              <w:topLinePunct w:val="0"/>
              <w:autoSpaceDE/>
              <w:autoSpaceDN/>
              <w:bidi w:val="0"/>
              <w:snapToGrid w:val="0"/>
              <w:spacing w:line="360" w:lineRule="auto"/>
              <w:ind w:left="0" w:leftChars="0" w:firstLine="0" w:firstLineChars="0"/>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废水</w:t>
            </w:r>
          </w:p>
          <w:p w14:paraId="42D36614">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项目生产过程无生产废水产生，废水主要为生活污水，经化粪池预处理后经园区管网排入铜桥港污水处理厂进一步处理。项目污水排放执行《污水综合排放标准》（GB8978-1996）中三级排放标准，同时满足铜桥港污水处理厂进水水质要求。铜桥港污水处理厂出水执行《城镇污水处理厂污染物排放标准》(GB18918-2002)一级A标准。详见下表。</w:t>
            </w:r>
          </w:p>
          <w:p w14:paraId="413F10DA">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bCs/>
                <w:color w:val="auto"/>
                <w:lang w:val="en-US" w:eastAsia="zh-CN"/>
              </w:rPr>
            </w:pPr>
          </w:p>
          <w:p w14:paraId="77304E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表3-5 废水排放标准限值摘录（单位：mg/L，pH无量纲）</w:t>
            </w:r>
          </w:p>
          <w:tbl>
            <w:tblPr>
              <w:tblStyle w:val="18"/>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91"/>
              <w:gridCol w:w="1057"/>
              <w:gridCol w:w="763"/>
              <w:gridCol w:w="849"/>
              <w:gridCol w:w="763"/>
              <w:gridCol w:w="700"/>
              <w:gridCol w:w="837"/>
            </w:tblGrid>
            <w:tr w14:paraId="39E06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1879" w:type="pct"/>
                  <w:vAlign w:val="center"/>
                </w:tcPr>
                <w:p w14:paraId="149018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标准</w:t>
                  </w:r>
                </w:p>
              </w:tc>
              <w:tc>
                <w:tcPr>
                  <w:tcW w:w="664" w:type="pct"/>
                  <w:vAlign w:val="center"/>
                </w:tcPr>
                <w:p w14:paraId="057377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污染因子</w:t>
                  </w:r>
                </w:p>
              </w:tc>
              <w:tc>
                <w:tcPr>
                  <w:tcW w:w="479" w:type="pct"/>
                  <w:vAlign w:val="center"/>
                </w:tcPr>
                <w:p w14:paraId="4A89D2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pH</w:t>
                  </w:r>
                </w:p>
              </w:tc>
              <w:tc>
                <w:tcPr>
                  <w:tcW w:w="533" w:type="pct"/>
                  <w:vAlign w:val="center"/>
                </w:tcPr>
                <w:p w14:paraId="10808C8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COD</w:t>
                  </w:r>
                  <w:r>
                    <w:rPr>
                      <w:rFonts w:hint="default" w:ascii="Times New Roman" w:hAnsi="Times New Roman" w:eastAsia="宋体" w:cs="Times New Roman"/>
                      <w:color w:val="auto"/>
                      <w:vertAlign w:val="subscript"/>
                      <w:lang w:val="en-US" w:eastAsia="zh-CN"/>
                    </w:rPr>
                    <w:t>Cr</w:t>
                  </w:r>
                </w:p>
              </w:tc>
              <w:tc>
                <w:tcPr>
                  <w:tcW w:w="479" w:type="pct"/>
                  <w:vAlign w:val="center"/>
                </w:tcPr>
                <w:p w14:paraId="474014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BOD</w:t>
                  </w:r>
                  <w:r>
                    <w:rPr>
                      <w:rFonts w:hint="default" w:ascii="Times New Roman" w:hAnsi="Times New Roman" w:eastAsia="宋体" w:cs="Times New Roman"/>
                      <w:color w:val="auto"/>
                      <w:vertAlign w:val="subscript"/>
                      <w:lang w:val="en-US" w:eastAsia="zh-CN"/>
                    </w:rPr>
                    <w:t>5</w:t>
                  </w:r>
                </w:p>
              </w:tc>
              <w:tc>
                <w:tcPr>
                  <w:tcW w:w="440" w:type="pct"/>
                  <w:vAlign w:val="center"/>
                </w:tcPr>
                <w:p w14:paraId="4AD384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SS</w:t>
                  </w:r>
                </w:p>
              </w:tc>
              <w:tc>
                <w:tcPr>
                  <w:tcW w:w="522" w:type="pct"/>
                  <w:vAlign w:val="center"/>
                </w:tcPr>
                <w:p w14:paraId="0A171E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氨氮</w:t>
                  </w:r>
                </w:p>
              </w:tc>
            </w:tr>
            <w:tr w14:paraId="28CB7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1879" w:type="pct"/>
                  <w:vAlign w:val="center"/>
                </w:tcPr>
                <w:p w14:paraId="2B70FE1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《污水综合排放标准》（GB8978-1996）三级</w:t>
                  </w:r>
                </w:p>
              </w:tc>
              <w:tc>
                <w:tcPr>
                  <w:tcW w:w="664" w:type="pct"/>
                  <w:vAlign w:val="center"/>
                </w:tcPr>
                <w:p w14:paraId="494640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表4标准</w:t>
                  </w:r>
                </w:p>
              </w:tc>
              <w:tc>
                <w:tcPr>
                  <w:tcW w:w="479" w:type="pct"/>
                  <w:vAlign w:val="center"/>
                </w:tcPr>
                <w:p w14:paraId="16663F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6-9</w:t>
                  </w:r>
                </w:p>
              </w:tc>
              <w:tc>
                <w:tcPr>
                  <w:tcW w:w="533" w:type="pct"/>
                  <w:vAlign w:val="center"/>
                </w:tcPr>
                <w:p w14:paraId="2587A9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500</w:t>
                  </w:r>
                </w:p>
              </w:tc>
              <w:tc>
                <w:tcPr>
                  <w:tcW w:w="479" w:type="pct"/>
                  <w:vAlign w:val="center"/>
                </w:tcPr>
                <w:p w14:paraId="3F03E4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300</w:t>
                  </w:r>
                </w:p>
              </w:tc>
              <w:tc>
                <w:tcPr>
                  <w:tcW w:w="440" w:type="pct"/>
                  <w:vAlign w:val="center"/>
                </w:tcPr>
                <w:p w14:paraId="30C593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400</w:t>
                  </w:r>
                </w:p>
              </w:tc>
              <w:tc>
                <w:tcPr>
                  <w:tcW w:w="522" w:type="pct"/>
                  <w:vAlign w:val="center"/>
                </w:tcPr>
                <w:p w14:paraId="68AEFB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w:t>
                  </w:r>
                </w:p>
              </w:tc>
            </w:tr>
            <w:tr w14:paraId="6D5BE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1879" w:type="pct"/>
                  <w:vAlign w:val="center"/>
                </w:tcPr>
                <w:p w14:paraId="3B0DCF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铜桥港污水处理厂设计进水水质标准</w:t>
                  </w:r>
                </w:p>
              </w:tc>
              <w:tc>
                <w:tcPr>
                  <w:tcW w:w="664" w:type="pct"/>
                  <w:vAlign w:val="center"/>
                </w:tcPr>
                <w:p w14:paraId="272388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w:t>
                  </w:r>
                </w:p>
              </w:tc>
              <w:tc>
                <w:tcPr>
                  <w:tcW w:w="479" w:type="pct"/>
                  <w:vAlign w:val="center"/>
                </w:tcPr>
                <w:p w14:paraId="473447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6-9</w:t>
                  </w:r>
                </w:p>
              </w:tc>
              <w:tc>
                <w:tcPr>
                  <w:tcW w:w="533" w:type="pct"/>
                  <w:vAlign w:val="center"/>
                </w:tcPr>
                <w:p w14:paraId="37B826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300</w:t>
                  </w:r>
                </w:p>
              </w:tc>
              <w:tc>
                <w:tcPr>
                  <w:tcW w:w="479" w:type="pct"/>
                  <w:vAlign w:val="center"/>
                </w:tcPr>
                <w:p w14:paraId="59D8C2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140</w:t>
                  </w:r>
                </w:p>
              </w:tc>
              <w:tc>
                <w:tcPr>
                  <w:tcW w:w="440" w:type="pct"/>
                  <w:vAlign w:val="center"/>
                </w:tcPr>
                <w:p w14:paraId="19C6C1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220</w:t>
                  </w:r>
                </w:p>
              </w:tc>
              <w:tc>
                <w:tcPr>
                  <w:tcW w:w="522" w:type="pct"/>
                  <w:vAlign w:val="center"/>
                </w:tcPr>
                <w:p w14:paraId="67651D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32</w:t>
                  </w:r>
                </w:p>
              </w:tc>
            </w:tr>
            <w:tr w14:paraId="5B2A0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879" w:type="pct"/>
                  <w:vAlign w:val="center"/>
                </w:tcPr>
                <w:p w14:paraId="26CD40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《城镇污水处理厂污染物排放标准》（GB18918-2002）</w:t>
                  </w:r>
                </w:p>
              </w:tc>
              <w:tc>
                <w:tcPr>
                  <w:tcW w:w="664" w:type="pct"/>
                  <w:vAlign w:val="center"/>
                </w:tcPr>
                <w:p w14:paraId="6A5879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一级A标准限值</w:t>
                  </w:r>
                </w:p>
              </w:tc>
              <w:tc>
                <w:tcPr>
                  <w:tcW w:w="479" w:type="pct"/>
                  <w:vAlign w:val="center"/>
                </w:tcPr>
                <w:p w14:paraId="01C67CA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6-9</w:t>
                  </w:r>
                </w:p>
              </w:tc>
              <w:tc>
                <w:tcPr>
                  <w:tcW w:w="533" w:type="pct"/>
                  <w:vAlign w:val="center"/>
                </w:tcPr>
                <w:p w14:paraId="709E06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50</w:t>
                  </w:r>
                </w:p>
              </w:tc>
              <w:tc>
                <w:tcPr>
                  <w:tcW w:w="479" w:type="pct"/>
                  <w:vAlign w:val="center"/>
                </w:tcPr>
                <w:p w14:paraId="3CC275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10</w:t>
                  </w:r>
                </w:p>
              </w:tc>
              <w:tc>
                <w:tcPr>
                  <w:tcW w:w="440" w:type="pct"/>
                  <w:vAlign w:val="center"/>
                </w:tcPr>
                <w:p w14:paraId="1852F21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10</w:t>
                  </w:r>
                </w:p>
              </w:tc>
              <w:tc>
                <w:tcPr>
                  <w:tcW w:w="522" w:type="pct"/>
                  <w:vAlign w:val="center"/>
                </w:tcPr>
                <w:p w14:paraId="4F99B7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5(8)*</w:t>
                  </w:r>
                </w:p>
              </w:tc>
            </w:tr>
            <w:tr w14:paraId="5BA48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5000" w:type="pct"/>
                  <w:gridSpan w:val="7"/>
                  <w:vAlign w:val="center"/>
                </w:tcPr>
                <w:p w14:paraId="313E9678">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*注：对于城镇污水处理厂，括号外数值为水温&gt;12℃时的控制指标，括号内数值为水温≤12℃时的控制指标。</w:t>
                  </w:r>
                </w:p>
              </w:tc>
            </w:tr>
          </w:tbl>
          <w:p w14:paraId="39EB9256">
            <w:pPr>
              <w:pStyle w:val="2"/>
              <w:numPr>
                <w:ilvl w:val="0"/>
                <w:numId w:val="9"/>
              </w:numPr>
              <w:ind w:left="0" w:leftChars="0" w:firstLine="0" w:firstLineChars="0"/>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噪声排放标准</w:t>
            </w:r>
          </w:p>
          <w:p w14:paraId="31A088BC">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施工期厂界噪声执行《建筑施工场界环境噪声排放标准》（GB12523-2011），运营期厂界噪声执行《工业企业厂界环境噪声排放标准》（GB12348-2008）中的3类标准。见表3-6。</w:t>
            </w:r>
          </w:p>
          <w:p w14:paraId="688A62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表3-6 厂界噪声排放标准</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1"/>
              <w:gridCol w:w="1140"/>
              <w:gridCol w:w="1485"/>
              <w:gridCol w:w="4258"/>
            </w:tblGrid>
            <w:tr w14:paraId="4114E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1" w:type="dxa"/>
                  <w:vAlign w:val="center"/>
                </w:tcPr>
                <w:p w14:paraId="2C807C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时期</w:t>
                  </w:r>
                </w:p>
              </w:tc>
              <w:tc>
                <w:tcPr>
                  <w:tcW w:w="1140" w:type="dxa"/>
                  <w:vAlign w:val="center"/>
                </w:tcPr>
                <w:p w14:paraId="06692B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类别</w:t>
                  </w:r>
                </w:p>
              </w:tc>
              <w:tc>
                <w:tcPr>
                  <w:tcW w:w="1485" w:type="dxa"/>
                  <w:vAlign w:val="center"/>
                </w:tcPr>
                <w:p w14:paraId="23D5E1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标准值</w:t>
                  </w:r>
                </w:p>
              </w:tc>
              <w:tc>
                <w:tcPr>
                  <w:tcW w:w="4258" w:type="dxa"/>
                  <w:vAlign w:val="center"/>
                </w:tcPr>
                <w:p w14:paraId="23A40E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执行标准</w:t>
                  </w:r>
                </w:p>
              </w:tc>
            </w:tr>
            <w:tr w14:paraId="0CF43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1" w:type="dxa"/>
                  <w:vMerge w:val="restart"/>
                  <w:vAlign w:val="center"/>
                </w:tcPr>
                <w:p w14:paraId="0CCC63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施工期</w:t>
                  </w:r>
                </w:p>
              </w:tc>
              <w:tc>
                <w:tcPr>
                  <w:tcW w:w="1140" w:type="dxa"/>
                  <w:vAlign w:val="center"/>
                </w:tcPr>
                <w:p w14:paraId="0412904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昼间</w:t>
                  </w:r>
                </w:p>
              </w:tc>
              <w:tc>
                <w:tcPr>
                  <w:tcW w:w="1485" w:type="dxa"/>
                  <w:vAlign w:val="center"/>
                </w:tcPr>
                <w:p w14:paraId="3BCD40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70dB（A）</w:t>
                  </w:r>
                </w:p>
              </w:tc>
              <w:tc>
                <w:tcPr>
                  <w:tcW w:w="4258" w:type="dxa"/>
                  <w:vMerge w:val="restart"/>
                  <w:vAlign w:val="center"/>
                </w:tcPr>
                <w:p w14:paraId="6DFDC2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《建筑施工场界环境噪声排放标准》（GB12523-2011）</w:t>
                  </w:r>
                </w:p>
              </w:tc>
            </w:tr>
            <w:tr w14:paraId="772FC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1" w:type="dxa"/>
                  <w:vMerge w:val="continue"/>
                  <w:vAlign w:val="center"/>
                </w:tcPr>
                <w:p w14:paraId="019FE9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p>
              </w:tc>
              <w:tc>
                <w:tcPr>
                  <w:tcW w:w="1140" w:type="dxa"/>
                  <w:vAlign w:val="center"/>
                </w:tcPr>
                <w:p w14:paraId="0D57A9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夜间</w:t>
                  </w:r>
                </w:p>
              </w:tc>
              <w:tc>
                <w:tcPr>
                  <w:tcW w:w="1485" w:type="dxa"/>
                  <w:vAlign w:val="center"/>
                </w:tcPr>
                <w:p w14:paraId="23294E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55dB（A）</w:t>
                  </w:r>
                </w:p>
              </w:tc>
              <w:tc>
                <w:tcPr>
                  <w:tcW w:w="4258" w:type="dxa"/>
                  <w:vMerge w:val="continue"/>
                  <w:vAlign w:val="center"/>
                </w:tcPr>
                <w:p w14:paraId="70AE07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p>
              </w:tc>
            </w:tr>
            <w:tr w14:paraId="5F025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1" w:type="dxa"/>
                  <w:vMerge w:val="restart"/>
                  <w:vAlign w:val="center"/>
                </w:tcPr>
                <w:p w14:paraId="2EF92F7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运营期</w:t>
                  </w:r>
                </w:p>
              </w:tc>
              <w:tc>
                <w:tcPr>
                  <w:tcW w:w="1140" w:type="dxa"/>
                  <w:vAlign w:val="center"/>
                </w:tcPr>
                <w:p w14:paraId="22F611F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昼间</w:t>
                  </w:r>
                </w:p>
              </w:tc>
              <w:tc>
                <w:tcPr>
                  <w:tcW w:w="1485" w:type="dxa"/>
                  <w:vAlign w:val="center"/>
                </w:tcPr>
                <w:p w14:paraId="4F1B51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65dB（A）</w:t>
                  </w:r>
                </w:p>
              </w:tc>
              <w:tc>
                <w:tcPr>
                  <w:tcW w:w="4258" w:type="dxa"/>
                  <w:vMerge w:val="restart"/>
                  <w:vAlign w:val="center"/>
                </w:tcPr>
                <w:p w14:paraId="2B26D5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《工业企业厂界环境噪声排放标准》（GB12348-2008）3类标准</w:t>
                  </w:r>
                </w:p>
              </w:tc>
            </w:tr>
            <w:tr w14:paraId="5609D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1" w:type="dxa"/>
                  <w:vMerge w:val="continue"/>
                  <w:vAlign w:val="center"/>
                </w:tcPr>
                <w:p w14:paraId="2615897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p>
              </w:tc>
              <w:tc>
                <w:tcPr>
                  <w:tcW w:w="1140" w:type="dxa"/>
                  <w:vAlign w:val="center"/>
                </w:tcPr>
                <w:p w14:paraId="1C1835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夜间</w:t>
                  </w:r>
                </w:p>
              </w:tc>
              <w:tc>
                <w:tcPr>
                  <w:tcW w:w="1485" w:type="dxa"/>
                  <w:vAlign w:val="center"/>
                </w:tcPr>
                <w:p w14:paraId="124998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55dB（A）</w:t>
                  </w:r>
                </w:p>
              </w:tc>
              <w:tc>
                <w:tcPr>
                  <w:tcW w:w="4258" w:type="dxa"/>
                  <w:vMerge w:val="continue"/>
                  <w:vAlign w:val="center"/>
                </w:tcPr>
                <w:p w14:paraId="7F49FE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p>
              </w:tc>
            </w:tr>
          </w:tbl>
          <w:p w14:paraId="6991F622">
            <w:pPr>
              <w:pStyle w:val="2"/>
              <w:keepNext w:val="0"/>
              <w:keepLines w:val="0"/>
              <w:pageBreakBefore w:val="0"/>
              <w:widowControl w:val="0"/>
              <w:numPr>
                <w:ilvl w:val="0"/>
                <w:numId w:val="9"/>
              </w:numPr>
              <w:kinsoku/>
              <w:wordWrap/>
              <w:overflowPunct/>
              <w:topLinePunct w:val="0"/>
              <w:autoSpaceDE/>
              <w:autoSpaceDN/>
              <w:bidi w:val="0"/>
              <w:spacing w:line="360" w:lineRule="auto"/>
              <w:ind w:left="0" w:leftChars="0" w:firstLine="0" w:firstLineChars="0"/>
              <w:textAlignment w:val="auto"/>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固体废物</w:t>
            </w:r>
          </w:p>
          <w:p w14:paraId="249534C6">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4"/>
                <w:szCs w:val="32"/>
                <w:lang w:val="en-US" w:eastAsia="zh-CN"/>
              </w:rPr>
              <w:t>一般工业固体废物处置执行《一般工业固体废物贮存和填埋污染控制标准》（GB 18599-2020）相关规定；危险废物执行《危险废物贮存污染控制标准》（GB 18597-2023）相关规定。</w:t>
            </w:r>
          </w:p>
          <w:p w14:paraId="024E6713">
            <w:pPr>
              <w:keepNext w:val="0"/>
              <w:keepLines w:val="0"/>
              <w:pageBreakBefore w:val="0"/>
              <w:widowControl w:val="0"/>
              <w:kinsoku/>
              <w:wordWrap/>
              <w:overflowPunct/>
              <w:topLinePunct w:val="0"/>
              <w:autoSpaceDE/>
              <w:autoSpaceDN/>
              <w:bidi w:val="0"/>
              <w:adjustRightInd w:val="0"/>
              <w:snapToGrid w:val="0"/>
              <w:spacing w:line="400" w:lineRule="exact"/>
              <w:ind w:leftChars="0" w:firstLine="420" w:firstLineChars="200"/>
              <w:textAlignment w:val="auto"/>
              <w:rPr>
                <w:rFonts w:hint="default" w:ascii="Times New Roman" w:hAnsi="Times New Roman" w:eastAsia="宋体" w:cs="Times New Roman"/>
                <w:color w:val="auto"/>
                <w:lang w:val="en-US" w:eastAsia="zh-CN"/>
              </w:rPr>
            </w:pPr>
          </w:p>
        </w:tc>
      </w:tr>
      <w:tr w14:paraId="73F9A7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70" w:type="dxa"/>
            <w:vAlign w:val="center"/>
          </w:tcPr>
          <w:p w14:paraId="429066ED">
            <w:pPr>
              <w:adjustRightInd w:val="0"/>
              <w:snapToGrid w:val="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总量</w:t>
            </w:r>
          </w:p>
          <w:p w14:paraId="20779D3A">
            <w:pPr>
              <w:adjustRightInd w:val="0"/>
              <w:snapToGrid w:val="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控制</w:t>
            </w:r>
          </w:p>
          <w:p w14:paraId="2FD12B20">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 w:val="24"/>
                <w:szCs w:val="24"/>
              </w:rPr>
              <w:t>指标</w:t>
            </w:r>
          </w:p>
        </w:tc>
        <w:tc>
          <w:tcPr>
            <w:tcW w:w="8191" w:type="dxa"/>
            <w:vAlign w:val="center"/>
          </w:tcPr>
          <w:p w14:paraId="3761B070">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依据《中华人民共和国环境保护法》《建设项目环境保护管理条例》等相关法律法规，以及生态环境部关于总量控制的相关政策要求，经综合判定，本项目的总量控制因子为：COD</w:t>
            </w:r>
            <w:r>
              <w:rPr>
                <w:rFonts w:hint="default" w:ascii="Times New Roman" w:hAnsi="Times New Roman" w:eastAsia="宋体" w:cs="Times New Roman"/>
                <w:color w:val="auto"/>
                <w:sz w:val="24"/>
                <w:szCs w:val="32"/>
                <w:vertAlign w:val="subscript"/>
                <w:lang w:val="en-US" w:eastAsia="zh-CN"/>
              </w:rPr>
              <w:t>Cr</w:t>
            </w:r>
            <w:r>
              <w:rPr>
                <w:rFonts w:hint="default" w:ascii="Times New Roman" w:hAnsi="Times New Roman" w:eastAsia="宋体" w:cs="Times New Roman"/>
                <w:color w:val="auto"/>
                <w:sz w:val="24"/>
                <w:szCs w:val="32"/>
                <w:lang w:val="en-US" w:eastAsia="zh-CN"/>
              </w:rPr>
              <w:t>、氨氮、SO</w:t>
            </w:r>
            <w:r>
              <w:rPr>
                <w:rFonts w:hint="default" w:ascii="Times New Roman" w:hAnsi="Times New Roman" w:eastAsia="宋体" w:cs="Times New Roman"/>
                <w:color w:val="auto"/>
                <w:sz w:val="24"/>
                <w:szCs w:val="32"/>
                <w:vertAlign w:val="subscript"/>
                <w:lang w:val="en-US" w:eastAsia="zh-CN"/>
              </w:rPr>
              <w:t>2</w:t>
            </w:r>
            <w:r>
              <w:rPr>
                <w:rFonts w:hint="default" w:ascii="Times New Roman" w:hAnsi="Times New Roman" w:eastAsia="宋体" w:cs="Times New Roman"/>
                <w:color w:val="auto"/>
                <w:sz w:val="24"/>
                <w:szCs w:val="32"/>
                <w:lang w:val="en-US" w:eastAsia="zh-CN"/>
              </w:rPr>
              <w:t>、NOx、VOCs。</w:t>
            </w:r>
          </w:p>
          <w:p w14:paraId="20C74204">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废水：生活污水经化粪池预处理后统一通过园区污水管网，排入铜桥港污水处理厂进一步处理，出水达到《城镇污水处理厂污染物排放标准》（GB18918-2002）一级A标准，最终排入湘江。项目仅涉及生活污水外排，</w:t>
            </w:r>
            <w:r>
              <w:rPr>
                <w:rFonts w:hint="default" w:ascii="Times New Roman" w:hAnsi="Times New Roman" w:eastAsia="宋体" w:cs="Times New Roman"/>
                <w:color w:val="auto"/>
                <w:sz w:val="24"/>
                <w:szCs w:val="32"/>
                <w:u w:val="single"/>
                <w:lang w:val="en-US" w:eastAsia="zh-CN"/>
              </w:rPr>
              <w:t>COD</w:t>
            </w:r>
            <w:r>
              <w:rPr>
                <w:rFonts w:hint="default" w:ascii="Times New Roman" w:hAnsi="Times New Roman" w:eastAsia="宋体" w:cs="Times New Roman"/>
                <w:color w:val="auto"/>
                <w:sz w:val="24"/>
                <w:szCs w:val="32"/>
                <w:u w:val="single"/>
                <w:vertAlign w:val="subscript"/>
                <w:lang w:val="en-US" w:eastAsia="zh-CN"/>
              </w:rPr>
              <w:t>Cr</w:t>
            </w:r>
            <w:r>
              <w:rPr>
                <w:rFonts w:hint="default" w:ascii="Times New Roman" w:hAnsi="Times New Roman" w:eastAsia="宋体" w:cs="Times New Roman"/>
                <w:color w:val="auto"/>
                <w:sz w:val="24"/>
                <w:szCs w:val="32"/>
                <w:u w:val="single"/>
                <w:lang w:val="en-US" w:eastAsia="zh-CN"/>
              </w:rPr>
              <w:t>、氨氮排放量分别为0.85t/a、0.17t/a，</w:t>
            </w:r>
            <w:r>
              <w:rPr>
                <w:rFonts w:hint="default" w:ascii="Times New Roman" w:hAnsi="Times New Roman" w:eastAsia="宋体" w:cs="Times New Roman"/>
                <w:color w:val="auto"/>
                <w:sz w:val="24"/>
                <w:szCs w:val="32"/>
                <w:lang w:val="en-US" w:eastAsia="zh-CN"/>
              </w:rPr>
              <w:t>汇入城市污水管网处理，废水污染物已纳入污水处理厂污染物排放总量内，无需申请废水排放总量。</w:t>
            </w:r>
          </w:p>
          <w:p w14:paraId="32E83D6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sz w:val="24"/>
                <w:szCs w:val="32"/>
                <w:highlight w:val="none"/>
                <w:lang w:val="en-US" w:eastAsia="zh-CN"/>
              </w:rPr>
              <w:t>废气：项目污染物排放总量控制因子</w:t>
            </w:r>
            <w:r>
              <w:rPr>
                <w:rFonts w:hint="default" w:ascii="Times New Roman" w:hAnsi="Times New Roman" w:eastAsia="宋体" w:cs="Times New Roman"/>
                <w:color w:val="auto"/>
                <w:sz w:val="24"/>
                <w:szCs w:val="32"/>
                <w:lang w:val="en-US" w:eastAsia="zh-CN"/>
              </w:rPr>
              <w:t>VOCs</w:t>
            </w:r>
            <w:r>
              <w:rPr>
                <w:rFonts w:hint="default" w:ascii="Times New Roman" w:hAnsi="Times New Roman" w:eastAsia="宋体" w:cs="Times New Roman"/>
                <w:color w:val="auto"/>
                <w:sz w:val="24"/>
                <w:szCs w:val="32"/>
                <w:highlight w:val="none"/>
                <w:lang w:val="en-US" w:eastAsia="zh-CN"/>
              </w:rPr>
              <w:t>排放量为2.04t/a，</w:t>
            </w:r>
            <w:r>
              <w:rPr>
                <w:rFonts w:hint="default" w:ascii="Times New Roman" w:hAnsi="Times New Roman" w:eastAsia="宋体" w:cs="Times New Roman"/>
                <w:color w:val="auto"/>
                <w:sz w:val="24"/>
                <w:szCs w:val="32"/>
                <w:highlight w:val="none"/>
                <w:u w:val="single"/>
                <w:lang w:val="en-US" w:eastAsia="zh-CN"/>
              </w:rPr>
              <w:t>其中有组织排放量为0.16t/a，无组织排放量为1.88t/a</w:t>
            </w:r>
            <w:r>
              <w:rPr>
                <w:rFonts w:hint="default" w:ascii="Times New Roman" w:hAnsi="Times New Roman" w:eastAsia="宋体" w:cs="Times New Roman"/>
                <w:color w:val="auto"/>
                <w:sz w:val="24"/>
                <w:szCs w:val="32"/>
                <w:highlight w:val="none"/>
                <w:lang w:val="en-US" w:eastAsia="zh-CN"/>
              </w:rPr>
              <w:t>。</w:t>
            </w:r>
          </w:p>
        </w:tc>
      </w:tr>
    </w:tbl>
    <w:p w14:paraId="6B4B230C">
      <w:pPr>
        <w:pStyle w:val="15"/>
        <w:jc w:val="center"/>
        <w:outlineLvl w:val="0"/>
        <w:rPr>
          <w:rFonts w:hint="default" w:ascii="Times New Roman" w:hAnsi="Times New Roman" w:eastAsia="宋体" w:cs="Times New Roman"/>
          <w:snapToGrid w:val="0"/>
          <w:color w:val="auto"/>
          <w:sz w:val="30"/>
          <w:szCs w:val="30"/>
        </w:rPr>
      </w:pPr>
      <w:r>
        <w:rPr>
          <w:rFonts w:hint="default" w:ascii="Times New Roman" w:hAnsi="Times New Roman" w:eastAsia="宋体" w:cs="Times New Roman"/>
          <w:snapToGrid w:val="0"/>
          <w:color w:val="auto"/>
          <w:sz w:val="36"/>
          <w:szCs w:val="36"/>
        </w:rPr>
        <w:br w:type="page"/>
      </w:r>
      <w:bookmarkStart w:id="6" w:name="_Toc15650"/>
      <w:r>
        <w:rPr>
          <w:rFonts w:hint="default" w:ascii="Times New Roman" w:hAnsi="Times New Roman" w:eastAsia="宋体" w:cs="Times New Roman"/>
          <w:snapToGrid w:val="0"/>
          <w:color w:val="auto"/>
          <w:sz w:val="30"/>
          <w:szCs w:val="30"/>
        </w:rPr>
        <w:t>四、主要环境影响和保护措施</w:t>
      </w:r>
      <w:bookmarkEnd w:id="6"/>
    </w:p>
    <w:tbl>
      <w:tblPr>
        <w:tblStyle w:val="17"/>
        <w:tblW w:w="892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75"/>
      </w:tblGrid>
      <w:tr w14:paraId="5AFCB2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746" w:type="dxa"/>
            <w:tcMar>
              <w:left w:w="28" w:type="dxa"/>
              <w:right w:w="28" w:type="dxa"/>
            </w:tcMar>
            <w:vAlign w:val="center"/>
          </w:tcPr>
          <w:p w14:paraId="7438DF02">
            <w:pPr>
              <w:pStyle w:val="15"/>
              <w:adjustRightInd w:val="0"/>
              <w:snapToGrid w:val="0"/>
              <w:spacing w:before="0" w:beforeAutospacing="0" w:after="0" w:afterAutospacing="0"/>
              <w:jc w:val="center"/>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施工</w:t>
            </w:r>
          </w:p>
          <w:p w14:paraId="7EF1B74B">
            <w:pPr>
              <w:pStyle w:val="15"/>
              <w:adjustRightInd w:val="0"/>
              <w:snapToGrid w:val="0"/>
              <w:spacing w:before="0" w:beforeAutospacing="0" w:after="0" w:afterAutospacing="0"/>
              <w:jc w:val="center"/>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期环</w:t>
            </w:r>
          </w:p>
          <w:p w14:paraId="6722929A">
            <w:pPr>
              <w:pStyle w:val="15"/>
              <w:adjustRightInd w:val="0"/>
              <w:snapToGrid w:val="0"/>
              <w:spacing w:before="0" w:beforeAutospacing="0" w:after="0" w:afterAutospacing="0"/>
              <w:jc w:val="center"/>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境保</w:t>
            </w:r>
          </w:p>
          <w:p w14:paraId="5D34BBD1">
            <w:pPr>
              <w:pStyle w:val="15"/>
              <w:adjustRightInd w:val="0"/>
              <w:snapToGrid w:val="0"/>
              <w:spacing w:before="0" w:beforeAutospacing="0" w:after="0" w:afterAutospacing="0"/>
              <w:jc w:val="center"/>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护措</w:t>
            </w:r>
          </w:p>
          <w:p w14:paraId="58572D1A">
            <w:pPr>
              <w:pStyle w:val="15"/>
              <w:adjustRightInd w:val="0"/>
              <w:snapToGrid w:val="0"/>
              <w:spacing w:before="0" w:beforeAutospacing="0" w:after="0" w:afterAutospacing="0"/>
              <w:jc w:val="center"/>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color w:val="auto"/>
                <w:kern w:val="2"/>
                <w:sz w:val="24"/>
                <w:szCs w:val="24"/>
              </w:rPr>
              <w:t>施</w:t>
            </w:r>
          </w:p>
        </w:tc>
        <w:tc>
          <w:tcPr>
            <w:tcW w:w="8175" w:type="dxa"/>
            <w:vAlign w:val="center"/>
          </w:tcPr>
          <w:p w14:paraId="69E9AFB3">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本项目租赁衡阳半导体产业园一期内一栋现有标准厂房进行建设，施工过程主要为厂房内部装修、设备安装等，不涉及土建工程。施工期污染工序主要为设备安装产生的噪声和废包材等。施工噪声通过采取规范操作、厂房隔声等措施，施工期厂界噪声满足《建筑施工场界环境噪声排放标准》（GB 12523-2011）限值要求。废包材主要为废纸箱、废木箱、废包装袋等，收集后外售废品回收单位，不外排。项目施工期短，施工期的影响随施工期结束而消除。</w:t>
            </w:r>
          </w:p>
          <w:p w14:paraId="1EAB0B2A">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Cs/>
                <w:color w:val="auto"/>
                <w:spacing w:val="-10"/>
                <w:sz w:val="24"/>
                <w:szCs w:val="24"/>
              </w:rPr>
            </w:pPr>
            <w:r>
              <w:rPr>
                <w:rFonts w:hint="default" w:ascii="Times New Roman" w:hAnsi="Times New Roman" w:eastAsia="宋体" w:cs="Times New Roman"/>
                <w:color w:val="auto"/>
                <w:sz w:val="24"/>
                <w:szCs w:val="32"/>
                <w:lang w:val="en-US" w:eastAsia="zh-CN"/>
              </w:rPr>
              <w:t>因此，本项目施工期对周边环境影响很小，不再进行详细分析。</w:t>
            </w:r>
          </w:p>
        </w:tc>
      </w:tr>
      <w:tr w14:paraId="0B9103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75" w:hRule="atLeast"/>
          <w:jc w:val="center"/>
        </w:trPr>
        <w:tc>
          <w:tcPr>
            <w:tcW w:w="746" w:type="dxa"/>
            <w:tcMar>
              <w:left w:w="28" w:type="dxa"/>
              <w:right w:w="28" w:type="dxa"/>
            </w:tcMar>
            <w:vAlign w:val="center"/>
          </w:tcPr>
          <w:p w14:paraId="0E62E6BA">
            <w:pPr>
              <w:adjustRightInd w:val="0"/>
              <w:snapToGrid w:val="0"/>
              <w:jc w:val="center"/>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运营</w:t>
            </w:r>
          </w:p>
          <w:p w14:paraId="6AEE47BC">
            <w:pPr>
              <w:adjustRightInd w:val="0"/>
              <w:snapToGrid w:val="0"/>
              <w:jc w:val="center"/>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期环</w:t>
            </w:r>
          </w:p>
          <w:p w14:paraId="59770502">
            <w:pPr>
              <w:adjustRightInd w:val="0"/>
              <w:snapToGrid w:val="0"/>
              <w:jc w:val="center"/>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境影</w:t>
            </w:r>
          </w:p>
          <w:p w14:paraId="14173D90">
            <w:pPr>
              <w:adjustRightInd w:val="0"/>
              <w:snapToGrid w:val="0"/>
              <w:jc w:val="center"/>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响和</w:t>
            </w:r>
          </w:p>
          <w:p w14:paraId="6F68843F">
            <w:pPr>
              <w:adjustRightInd w:val="0"/>
              <w:snapToGrid w:val="0"/>
              <w:jc w:val="center"/>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保护</w:t>
            </w:r>
          </w:p>
          <w:p w14:paraId="24DA2AA2">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 w:val="24"/>
                <w:szCs w:val="24"/>
              </w:rPr>
              <w:t>措施</w:t>
            </w:r>
          </w:p>
        </w:tc>
        <w:tc>
          <w:tcPr>
            <w:tcW w:w="8175" w:type="dxa"/>
            <w:vAlign w:val="center"/>
          </w:tcPr>
          <w:p w14:paraId="2744ED77">
            <w:pPr>
              <w:keepNext w:val="0"/>
              <w:keepLines w:val="0"/>
              <w:pageBreakBefore w:val="0"/>
              <w:widowControl w:val="0"/>
              <w:numPr>
                <w:ilvl w:val="0"/>
                <w:numId w:val="10"/>
              </w:numPr>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eastAsia="宋体" w:cs="Times New Roman"/>
                <w:b/>
                <w:bCs/>
                <w:color w:val="auto"/>
                <w:sz w:val="24"/>
                <w:szCs w:val="32"/>
                <w:lang w:val="en-US" w:eastAsia="zh-CN"/>
              </w:rPr>
              <w:t>废气</w:t>
            </w:r>
          </w:p>
          <w:p w14:paraId="596BE217">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（1）污染物源强核算</w:t>
            </w:r>
          </w:p>
          <w:p w14:paraId="7AAB05F3">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项目产生的废气主要为胶水、UV漆等使用过程所产生的有机废气、焊接产生的烟尘和锡及其化合物。</w:t>
            </w:r>
          </w:p>
          <w:p w14:paraId="2F33A3A0">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①有机废气</w:t>
            </w:r>
          </w:p>
          <w:p w14:paraId="50033F50">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szCs w:val="32"/>
                <w:u w:val="single"/>
                <w:lang w:val="en-US" w:eastAsia="zh-CN"/>
              </w:rPr>
            </w:pPr>
            <w:r>
              <w:rPr>
                <w:rFonts w:hint="default" w:ascii="Times New Roman" w:hAnsi="Times New Roman" w:eastAsia="宋体" w:cs="Times New Roman"/>
                <w:b w:val="0"/>
                <w:bCs w:val="0"/>
                <w:color w:val="auto"/>
                <w:sz w:val="24"/>
                <w:szCs w:val="32"/>
                <w:u w:val="single"/>
                <w:lang w:val="en-US" w:eastAsia="zh-CN"/>
              </w:rPr>
              <w:t>本项目产生挥发性有机废气的工序主要是波峰/回流焊接</w:t>
            </w:r>
            <w:r>
              <w:rPr>
                <w:rFonts w:hint="eastAsia" w:cs="Times New Roman"/>
                <w:b w:val="0"/>
                <w:bCs w:val="0"/>
                <w:color w:val="auto"/>
                <w:sz w:val="24"/>
                <w:szCs w:val="32"/>
                <w:u w:val="single"/>
                <w:lang w:val="en-US" w:eastAsia="zh-CN"/>
              </w:rPr>
              <w:t>（</w:t>
            </w:r>
            <w:r>
              <w:rPr>
                <w:rFonts w:hint="default" w:ascii="Times New Roman" w:hAnsi="Times New Roman" w:eastAsia="宋体" w:cs="Times New Roman"/>
                <w:b w:val="0"/>
                <w:bCs w:val="0"/>
                <w:color w:val="auto"/>
                <w:sz w:val="24"/>
                <w:szCs w:val="32"/>
                <w:u w:val="single"/>
                <w:lang w:val="en-US" w:eastAsia="zh-CN"/>
              </w:rPr>
              <w:t>无铅助焊剂</w:t>
            </w:r>
            <w:r>
              <w:rPr>
                <w:rFonts w:hint="eastAsia" w:cs="Times New Roman"/>
                <w:b w:val="0"/>
                <w:bCs w:val="0"/>
                <w:color w:val="auto"/>
                <w:sz w:val="24"/>
                <w:szCs w:val="32"/>
                <w:u w:val="single"/>
                <w:lang w:val="en-US" w:eastAsia="zh-CN"/>
              </w:rPr>
              <w:t>）</w:t>
            </w:r>
            <w:r>
              <w:rPr>
                <w:rFonts w:hint="default" w:ascii="Times New Roman" w:hAnsi="Times New Roman" w:eastAsia="宋体" w:cs="Times New Roman"/>
                <w:b w:val="0"/>
                <w:bCs w:val="0"/>
                <w:color w:val="auto"/>
                <w:sz w:val="24"/>
                <w:szCs w:val="32"/>
                <w:u w:val="single"/>
                <w:lang w:val="en-US" w:eastAsia="zh-CN"/>
              </w:rPr>
              <w:t>、表面涂覆</w:t>
            </w:r>
            <w:r>
              <w:rPr>
                <w:rFonts w:hint="eastAsia" w:cs="Times New Roman"/>
                <w:b w:val="0"/>
                <w:bCs w:val="0"/>
                <w:color w:val="auto"/>
                <w:sz w:val="24"/>
                <w:szCs w:val="32"/>
                <w:u w:val="single"/>
                <w:lang w:val="en-US" w:eastAsia="zh-CN"/>
              </w:rPr>
              <w:t>（</w:t>
            </w:r>
            <w:r>
              <w:rPr>
                <w:rFonts w:hint="default" w:ascii="Times New Roman" w:hAnsi="Times New Roman" w:eastAsia="宋体" w:cs="Times New Roman"/>
                <w:b w:val="0"/>
                <w:bCs w:val="0"/>
                <w:color w:val="auto"/>
                <w:sz w:val="24"/>
                <w:szCs w:val="32"/>
                <w:u w:val="single"/>
                <w:lang w:val="en-US" w:eastAsia="zh-CN"/>
              </w:rPr>
              <w:t>UV三防漆</w:t>
            </w:r>
            <w:r>
              <w:rPr>
                <w:rFonts w:hint="eastAsia" w:cs="Times New Roman"/>
                <w:b w:val="0"/>
                <w:bCs w:val="0"/>
                <w:color w:val="auto"/>
                <w:sz w:val="24"/>
                <w:szCs w:val="32"/>
                <w:u w:val="single"/>
                <w:lang w:val="en-US" w:eastAsia="zh-CN"/>
              </w:rPr>
              <w:t>）</w:t>
            </w:r>
            <w:r>
              <w:rPr>
                <w:rFonts w:hint="default" w:ascii="Times New Roman" w:hAnsi="Times New Roman" w:eastAsia="宋体" w:cs="Times New Roman"/>
                <w:b w:val="0"/>
                <w:bCs w:val="0"/>
                <w:color w:val="auto"/>
                <w:sz w:val="24"/>
                <w:szCs w:val="32"/>
                <w:u w:val="single"/>
                <w:lang w:val="en-US" w:eastAsia="zh-CN"/>
              </w:rPr>
              <w:t>、组装</w:t>
            </w:r>
            <w:r>
              <w:rPr>
                <w:rFonts w:hint="eastAsia" w:cs="Times New Roman"/>
                <w:b w:val="0"/>
                <w:bCs w:val="0"/>
                <w:color w:val="auto"/>
                <w:sz w:val="24"/>
                <w:szCs w:val="32"/>
                <w:u w:val="single"/>
                <w:lang w:val="en-US" w:eastAsia="zh-CN"/>
              </w:rPr>
              <w:t>（</w:t>
            </w:r>
            <w:r>
              <w:rPr>
                <w:rFonts w:hint="default" w:ascii="Times New Roman" w:hAnsi="Times New Roman" w:eastAsia="宋体" w:cs="Times New Roman"/>
                <w:b w:val="0"/>
                <w:bCs w:val="0"/>
                <w:color w:val="auto"/>
                <w:sz w:val="24"/>
                <w:szCs w:val="32"/>
                <w:u w:val="single"/>
                <w:lang w:val="en-US" w:eastAsia="zh-CN"/>
              </w:rPr>
              <w:t>自流灌封胶</w:t>
            </w:r>
            <w:r>
              <w:rPr>
                <w:rFonts w:hint="eastAsia" w:cs="Times New Roman"/>
                <w:b w:val="0"/>
                <w:bCs w:val="0"/>
                <w:color w:val="auto"/>
                <w:sz w:val="24"/>
                <w:szCs w:val="32"/>
                <w:u w:val="single"/>
                <w:lang w:val="en-US" w:eastAsia="zh-CN"/>
              </w:rPr>
              <w:t>）</w:t>
            </w:r>
            <w:r>
              <w:rPr>
                <w:rFonts w:hint="default" w:ascii="Times New Roman" w:hAnsi="Times New Roman" w:eastAsia="宋体" w:cs="Times New Roman"/>
                <w:b w:val="0"/>
                <w:bCs w:val="0"/>
                <w:color w:val="auto"/>
                <w:sz w:val="24"/>
                <w:szCs w:val="32"/>
                <w:u w:val="single"/>
                <w:lang w:val="en-US" w:eastAsia="zh-CN"/>
              </w:rPr>
              <w:t>、检测与返修</w:t>
            </w:r>
            <w:r>
              <w:rPr>
                <w:rFonts w:hint="eastAsia" w:cs="Times New Roman"/>
                <w:b w:val="0"/>
                <w:bCs w:val="0"/>
                <w:color w:val="auto"/>
                <w:sz w:val="24"/>
                <w:szCs w:val="32"/>
                <w:u w:val="single"/>
                <w:lang w:val="en-US" w:eastAsia="zh-CN"/>
              </w:rPr>
              <w:t>（</w:t>
            </w:r>
            <w:r>
              <w:rPr>
                <w:rFonts w:hint="default" w:ascii="Times New Roman" w:hAnsi="Times New Roman" w:eastAsia="宋体" w:cs="Times New Roman"/>
                <w:b w:val="0"/>
                <w:bCs w:val="0"/>
                <w:color w:val="auto"/>
                <w:sz w:val="24"/>
                <w:szCs w:val="32"/>
                <w:u w:val="single"/>
                <w:lang w:val="en-US" w:eastAsia="zh-CN"/>
              </w:rPr>
              <w:t>脱漆剂</w:t>
            </w:r>
            <w:r>
              <w:rPr>
                <w:rFonts w:hint="eastAsia" w:cs="Times New Roman"/>
                <w:b w:val="0"/>
                <w:bCs w:val="0"/>
                <w:color w:val="auto"/>
                <w:sz w:val="24"/>
                <w:szCs w:val="32"/>
                <w:u w:val="single"/>
                <w:lang w:val="en-US" w:eastAsia="zh-CN"/>
              </w:rPr>
              <w:t>）</w:t>
            </w:r>
            <w:r>
              <w:rPr>
                <w:rFonts w:hint="default" w:ascii="Times New Roman" w:hAnsi="Times New Roman" w:eastAsia="宋体" w:cs="Times New Roman"/>
                <w:b w:val="0"/>
                <w:bCs w:val="0"/>
                <w:color w:val="auto"/>
                <w:sz w:val="24"/>
                <w:szCs w:val="32"/>
                <w:u w:val="single"/>
                <w:lang w:val="en-US" w:eastAsia="zh-CN"/>
              </w:rPr>
              <w:t>，</w:t>
            </w:r>
            <w:r>
              <w:rPr>
                <w:rFonts w:hint="eastAsia" w:cs="Times New Roman"/>
                <w:b w:val="0"/>
                <w:bCs w:val="0"/>
                <w:color w:val="auto"/>
                <w:sz w:val="24"/>
                <w:szCs w:val="32"/>
                <w:u w:val="single"/>
                <w:lang w:val="en-US" w:eastAsia="zh-CN"/>
              </w:rPr>
              <w:t>其中</w:t>
            </w:r>
            <w:r>
              <w:rPr>
                <w:rFonts w:hint="default" w:ascii="Times New Roman" w:hAnsi="Times New Roman" w:eastAsia="宋体" w:cs="Times New Roman"/>
                <w:b w:val="0"/>
                <w:bCs w:val="0"/>
                <w:color w:val="auto"/>
                <w:sz w:val="24"/>
                <w:szCs w:val="32"/>
                <w:u w:val="single"/>
                <w:lang w:val="en-US" w:eastAsia="zh-CN"/>
              </w:rPr>
              <w:t>波峰/回流焊接、表面涂覆</w:t>
            </w:r>
            <w:r>
              <w:rPr>
                <w:rFonts w:hint="eastAsia" w:cs="Times New Roman"/>
                <w:b w:val="0"/>
                <w:bCs w:val="0"/>
                <w:color w:val="auto"/>
                <w:sz w:val="24"/>
                <w:szCs w:val="32"/>
                <w:u w:val="single"/>
                <w:lang w:val="en-US" w:eastAsia="zh-CN"/>
              </w:rPr>
              <w:t>两个工序产生的废气采用有组织排放形式，</w:t>
            </w:r>
            <w:r>
              <w:rPr>
                <w:rFonts w:hint="default" w:ascii="Times New Roman" w:hAnsi="Times New Roman" w:eastAsia="宋体" w:cs="Times New Roman"/>
                <w:b w:val="0"/>
                <w:bCs w:val="0"/>
                <w:color w:val="auto"/>
                <w:sz w:val="24"/>
                <w:szCs w:val="32"/>
                <w:u w:val="single"/>
                <w:lang w:val="en-US" w:eastAsia="zh-CN"/>
              </w:rPr>
              <w:t>组装、检测与返修</w:t>
            </w:r>
            <w:r>
              <w:rPr>
                <w:rFonts w:hint="eastAsia" w:cs="Times New Roman"/>
                <w:b w:val="0"/>
                <w:bCs w:val="0"/>
                <w:color w:val="auto"/>
                <w:sz w:val="24"/>
                <w:szCs w:val="32"/>
                <w:u w:val="single"/>
                <w:lang w:val="en-US" w:eastAsia="zh-CN"/>
              </w:rPr>
              <w:t>产生的废气采用无组织排放</w:t>
            </w:r>
            <w:r>
              <w:rPr>
                <w:rFonts w:hint="default" w:ascii="Times New Roman" w:hAnsi="Times New Roman" w:eastAsia="宋体" w:cs="Times New Roman"/>
                <w:b w:val="0"/>
                <w:bCs w:val="0"/>
                <w:color w:val="auto"/>
                <w:sz w:val="24"/>
                <w:szCs w:val="32"/>
                <w:u w:val="single"/>
                <w:lang w:val="en-US" w:eastAsia="zh-CN"/>
              </w:rPr>
              <w:t>，主要污染物以非甲烷总烃计。</w:t>
            </w:r>
          </w:p>
          <w:p w14:paraId="7F557E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4"/>
                <w:lang w:val="en-US" w:eastAsia="zh-CN"/>
              </w:rPr>
            </w:pPr>
            <w:r>
              <w:rPr>
                <w:rFonts w:hint="default" w:ascii="Times New Roman" w:hAnsi="Times New Roman" w:eastAsia="宋体" w:cs="Times New Roman"/>
                <w:b/>
                <w:bCs/>
                <w:color w:val="auto"/>
                <w:sz w:val="21"/>
                <w:szCs w:val="24"/>
                <w:lang w:val="en-US" w:eastAsia="zh-CN"/>
              </w:rPr>
              <w:t>表4-1 胶粘剂、涂料、溶剂中的VOCs带入量</w:t>
            </w:r>
          </w:p>
          <w:p w14:paraId="256EE8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4"/>
                <w:lang w:val="en-US" w:eastAsia="zh-CN"/>
              </w:rPr>
            </w:pPr>
            <w:r>
              <w:rPr>
                <w:rFonts w:hint="default" w:ascii="Times New Roman" w:hAnsi="Times New Roman" w:eastAsia="宋体" w:cs="Times New Roman"/>
                <w:b/>
                <w:bCs/>
                <w:color w:val="auto"/>
                <w:sz w:val="21"/>
                <w:szCs w:val="24"/>
                <w:lang w:val="en-US" w:eastAsia="zh-CN"/>
              </w:rPr>
              <w:t>（</w:t>
            </w:r>
            <w:r>
              <w:rPr>
                <w:rFonts w:hint="default" w:ascii="Times New Roman" w:hAnsi="Times New Roman" w:eastAsia="宋体" w:cs="Times New Roman"/>
                <w:b/>
                <w:bCs/>
                <w:color w:val="auto"/>
                <w:sz w:val="21"/>
                <w:szCs w:val="21"/>
                <w:vertAlign w:val="baseline"/>
                <w:lang w:val="en-US" w:eastAsia="zh-CN"/>
              </w:rPr>
              <w:t>VOCs含量来源：化学品安全技术说明书</w:t>
            </w:r>
            <w:r>
              <w:rPr>
                <w:rFonts w:hint="default" w:ascii="Times New Roman" w:hAnsi="Times New Roman" w:eastAsia="宋体" w:cs="Times New Roman"/>
                <w:b/>
                <w:bCs/>
                <w:color w:val="auto"/>
                <w:sz w:val="21"/>
                <w:szCs w:val="24"/>
                <w:lang w:val="en-US" w:eastAsia="zh-CN"/>
              </w:rPr>
              <w:t>）</w:t>
            </w:r>
          </w:p>
          <w:tbl>
            <w:tblPr>
              <w:tblStyle w:val="18"/>
              <w:tblW w:w="78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850"/>
              <w:gridCol w:w="767"/>
              <w:gridCol w:w="1050"/>
              <w:gridCol w:w="833"/>
              <w:gridCol w:w="1283"/>
              <w:gridCol w:w="1017"/>
              <w:gridCol w:w="1583"/>
            </w:tblGrid>
            <w:tr w14:paraId="7E32C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1277" w:type="dxa"/>
                  <w:gridSpan w:val="2"/>
                  <w:vMerge w:val="restart"/>
                  <w:vAlign w:val="center"/>
                </w:tcPr>
                <w:p w14:paraId="1B4F3B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物料名称</w:t>
                  </w:r>
                </w:p>
              </w:tc>
              <w:tc>
                <w:tcPr>
                  <w:tcW w:w="767" w:type="dxa"/>
                  <w:vMerge w:val="restart"/>
                  <w:vAlign w:val="center"/>
                </w:tcPr>
                <w:p w14:paraId="362534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年用量</w:t>
                  </w:r>
                </w:p>
                <w:p w14:paraId="4DFDF1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t/a</w:t>
                  </w:r>
                </w:p>
              </w:tc>
              <w:tc>
                <w:tcPr>
                  <w:tcW w:w="1883" w:type="dxa"/>
                  <w:gridSpan w:val="2"/>
                  <w:vAlign w:val="center"/>
                </w:tcPr>
                <w:p w14:paraId="6BDE26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VOCs量</w:t>
                  </w:r>
                </w:p>
              </w:tc>
              <w:tc>
                <w:tcPr>
                  <w:tcW w:w="1283" w:type="dxa"/>
                  <w:vMerge w:val="restart"/>
                  <w:vAlign w:val="center"/>
                </w:tcPr>
                <w:p w14:paraId="6CCCA4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GB 33372-2020/</w:t>
                  </w:r>
                  <w:r>
                    <w:rPr>
                      <w:rFonts w:hint="default" w:ascii="Times New Roman" w:hAnsi="Times New Roman" w:eastAsia="宋体" w:cs="Times New Roman"/>
                      <w:color w:val="auto"/>
                      <w:sz w:val="21"/>
                      <w:szCs w:val="21"/>
                      <w:vertAlign w:val="baseline"/>
                    </w:rPr>
                    <w:t>GB 30981-2020</w:t>
                  </w:r>
                </w:p>
              </w:tc>
              <w:tc>
                <w:tcPr>
                  <w:tcW w:w="1017" w:type="dxa"/>
                  <w:vMerge w:val="restart"/>
                  <w:vAlign w:val="center"/>
                </w:tcPr>
                <w:p w14:paraId="02EC07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类型</w:t>
                  </w:r>
                </w:p>
              </w:tc>
              <w:tc>
                <w:tcPr>
                  <w:tcW w:w="1583" w:type="dxa"/>
                  <w:vMerge w:val="restart"/>
                  <w:vAlign w:val="center"/>
                </w:tcPr>
                <w:p w14:paraId="4169FF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备注</w:t>
                  </w:r>
                </w:p>
              </w:tc>
            </w:tr>
            <w:tr w14:paraId="7E2E7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1277" w:type="dxa"/>
                  <w:gridSpan w:val="2"/>
                  <w:vMerge w:val="continue"/>
                  <w:vAlign w:val="center"/>
                </w:tcPr>
                <w:p w14:paraId="2009AD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rPr>
                  </w:pPr>
                </w:p>
              </w:tc>
              <w:tc>
                <w:tcPr>
                  <w:tcW w:w="767" w:type="dxa"/>
                  <w:vMerge w:val="continue"/>
                  <w:vAlign w:val="center"/>
                </w:tcPr>
                <w:p w14:paraId="3E23DB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rPr>
                  </w:pPr>
                </w:p>
              </w:tc>
              <w:tc>
                <w:tcPr>
                  <w:tcW w:w="1050" w:type="dxa"/>
                  <w:vAlign w:val="center"/>
                </w:tcPr>
                <w:p w14:paraId="76E423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含量</w:t>
                  </w:r>
                </w:p>
              </w:tc>
              <w:tc>
                <w:tcPr>
                  <w:tcW w:w="833" w:type="dxa"/>
                  <w:vAlign w:val="center"/>
                </w:tcPr>
                <w:p w14:paraId="5548CE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带入量</w:t>
                  </w:r>
                  <w:r>
                    <w:rPr>
                      <w:rFonts w:hint="default" w:ascii="Times New Roman" w:hAnsi="Times New Roman" w:eastAsia="宋体" w:cs="Times New Roman"/>
                      <w:color w:val="auto"/>
                      <w:sz w:val="21"/>
                      <w:szCs w:val="21"/>
                      <w:lang w:val="en-US" w:eastAsia="zh-CN"/>
                    </w:rPr>
                    <w:t>t/a</w:t>
                  </w:r>
                </w:p>
              </w:tc>
              <w:tc>
                <w:tcPr>
                  <w:tcW w:w="1283" w:type="dxa"/>
                  <w:vMerge w:val="continue"/>
                  <w:vAlign w:val="center"/>
                </w:tcPr>
                <w:p w14:paraId="4F337D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017" w:type="dxa"/>
                  <w:vMerge w:val="continue"/>
                  <w:vAlign w:val="center"/>
                </w:tcPr>
                <w:p w14:paraId="67A530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583" w:type="dxa"/>
                  <w:vMerge w:val="continue"/>
                  <w:vAlign w:val="center"/>
                </w:tcPr>
                <w:p w14:paraId="0C79D2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r>
            <w:tr w14:paraId="18F17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27" w:type="dxa"/>
                  <w:vMerge w:val="restart"/>
                  <w:vAlign w:val="center"/>
                </w:tcPr>
                <w:p w14:paraId="49531E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胶黏剂</w:t>
                  </w:r>
                </w:p>
              </w:tc>
              <w:tc>
                <w:tcPr>
                  <w:tcW w:w="850" w:type="dxa"/>
                  <w:vAlign w:val="center"/>
                </w:tcPr>
                <w:p w14:paraId="5B1B6D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lang w:val="en-US" w:eastAsia="zh-CN"/>
                    </w:rPr>
                    <w:t>三防UV胶</w:t>
                  </w:r>
                </w:p>
              </w:tc>
              <w:tc>
                <w:tcPr>
                  <w:tcW w:w="767" w:type="dxa"/>
                  <w:vAlign w:val="center"/>
                </w:tcPr>
                <w:p w14:paraId="66F044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3.332</w:t>
                  </w:r>
                </w:p>
              </w:tc>
              <w:tc>
                <w:tcPr>
                  <w:tcW w:w="1050" w:type="dxa"/>
                  <w:vAlign w:val="center"/>
                </w:tcPr>
                <w:p w14:paraId="56AB7A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20%</w:t>
                  </w:r>
                </w:p>
              </w:tc>
              <w:tc>
                <w:tcPr>
                  <w:tcW w:w="833" w:type="dxa"/>
                  <w:vAlign w:val="center"/>
                </w:tcPr>
                <w:p w14:paraId="45E387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0.67</w:t>
                  </w:r>
                </w:p>
              </w:tc>
              <w:tc>
                <w:tcPr>
                  <w:tcW w:w="1283" w:type="dxa"/>
                  <w:vAlign w:val="center"/>
                </w:tcPr>
                <w:p w14:paraId="74B1A6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50g/kg</w:t>
                  </w:r>
                </w:p>
              </w:tc>
              <w:tc>
                <w:tcPr>
                  <w:tcW w:w="1017" w:type="dxa"/>
                  <w:vAlign w:val="center"/>
                </w:tcPr>
                <w:p w14:paraId="178D8F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本体型</w:t>
                  </w:r>
                  <w:r>
                    <w:rPr>
                      <w:rFonts w:hint="default" w:ascii="Times New Roman" w:hAnsi="Times New Roman" w:eastAsia="宋体" w:cs="Times New Roman"/>
                      <w:color w:val="auto"/>
                      <w:sz w:val="21"/>
                      <w:szCs w:val="21"/>
                      <w:vertAlign w:val="baseline"/>
                    </w:rPr>
                    <w:t>胶粘剂</w:t>
                  </w:r>
                </w:p>
              </w:tc>
              <w:tc>
                <w:tcPr>
                  <w:tcW w:w="1583" w:type="dxa"/>
                  <w:vMerge w:val="restart"/>
                  <w:vAlign w:val="center"/>
                </w:tcPr>
                <w:p w14:paraId="6A7BDE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低VOCs物料</w:t>
                  </w:r>
                </w:p>
              </w:tc>
            </w:tr>
            <w:tr w14:paraId="53DC4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27" w:type="dxa"/>
                  <w:vMerge w:val="continue"/>
                  <w:vAlign w:val="center"/>
                </w:tcPr>
                <w:p w14:paraId="0E0A85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850" w:type="dxa"/>
                  <w:vAlign w:val="center"/>
                </w:tcPr>
                <w:p w14:paraId="676E2A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阻燃导热液体灌封胶</w:t>
                  </w:r>
                </w:p>
              </w:tc>
              <w:tc>
                <w:tcPr>
                  <w:tcW w:w="767" w:type="dxa"/>
                  <w:vAlign w:val="center"/>
                </w:tcPr>
                <w:p w14:paraId="1C4946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11.21</w:t>
                  </w:r>
                </w:p>
              </w:tc>
              <w:tc>
                <w:tcPr>
                  <w:tcW w:w="1050" w:type="dxa"/>
                  <w:vAlign w:val="center"/>
                </w:tcPr>
                <w:p w14:paraId="49EFE5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833" w:type="dxa"/>
                  <w:vAlign w:val="center"/>
                </w:tcPr>
                <w:p w14:paraId="447FBE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1283" w:type="dxa"/>
                  <w:vAlign w:val="center"/>
                </w:tcPr>
                <w:p w14:paraId="1F34DF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50g/kg</w:t>
                  </w:r>
                </w:p>
              </w:tc>
              <w:tc>
                <w:tcPr>
                  <w:tcW w:w="1017" w:type="dxa"/>
                  <w:vAlign w:val="center"/>
                </w:tcPr>
                <w:p w14:paraId="7CE0F9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本体型</w:t>
                  </w:r>
                  <w:r>
                    <w:rPr>
                      <w:rFonts w:hint="default" w:ascii="Times New Roman" w:hAnsi="Times New Roman" w:eastAsia="宋体" w:cs="Times New Roman"/>
                      <w:color w:val="auto"/>
                      <w:sz w:val="21"/>
                      <w:szCs w:val="21"/>
                      <w:vertAlign w:val="baseline"/>
                    </w:rPr>
                    <w:t>胶粘剂</w:t>
                  </w:r>
                </w:p>
              </w:tc>
              <w:tc>
                <w:tcPr>
                  <w:tcW w:w="1583" w:type="dxa"/>
                  <w:vMerge w:val="continue"/>
                  <w:vAlign w:val="center"/>
                </w:tcPr>
                <w:p w14:paraId="04ED8D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r>
            <w:tr w14:paraId="55837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27" w:type="dxa"/>
                  <w:vMerge w:val="continue"/>
                  <w:vAlign w:val="center"/>
                </w:tcPr>
                <w:p w14:paraId="53B6B5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850" w:type="dxa"/>
                  <w:vAlign w:val="center"/>
                </w:tcPr>
                <w:p w14:paraId="276ED0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自流灌封胶</w:t>
                  </w:r>
                </w:p>
              </w:tc>
              <w:tc>
                <w:tcPr>
                  <w:tcW w:w="767" w:type="dxa"/>
                  <w:vAlign w:val="center"/>
                </w:tcPr>
                <w:p w14:paraId="267151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38</w:t>
                  </w:r>
                </w:p>
              </w:tc>
              <w:tc>
                <w:tcPr>
                  <w:tcW w:w="1050" w:type="dxa"/>
                  <w:vAlign w:val="center"/>
                </w:tcPr>
                <w:p w14:paraId="75FA6F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833" w:type="dxa"/>
                  <w:vAlign w:val="center"/>
                </w:tcPr>
                <w:p w14:paraId="7F70C4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0.76</w:t>
                  </w:r>
                </w:p>
              </w:tc>
              <w:tc>
                <w:tcPr>
                  <w:tcW w:w="1283" w:type="dxa"/>
                  <w:vAlign w:val="center"/>
                </w:tcPr>
                <w:p w14:paraId="74D9B7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50g/kg</w:t>
                  </w:r>
                </w:p>
              </w:tc>
              <w:tc>
                <w:tcPr>
                  <w:tcW w:w="1017" w:type="dxa"/>
                  <w:vAlign w:val="center"/>
                </w:tcPr>
                <w:p w14:paraId="2699DF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本体型</w:t>
                  </w:r>
                  <w:r>
                    <w:rPr>
                      <w:rFonts w:hint="default" w:ascii="Times New Roman" w:hAnsi="Times New Roman" w:eastAsia="宋体" w:cs="Times New Roman"/>
                      <w:color w:val="auto"/>
                      <w:sz w:val="21"/>
                      <w:szCs w:val="21"/>
                      <w:vertAlign w:val="baseline"/>
                    </w:rPr>
                    <w:t>胶粘剂</w:t>
                  </w:r>
                </w:p>
              </w:tc>
              <w:tc>
                <w:tcPr>
                  <w:tcW w:w="1583" w:type="dxa"/>
                  <w:vAlign w:val="center"/>
                </w:tcPr>
                <w:p w14:paraId="762C1F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符合国家标准，无组织排放</w:t>
                  </w:r>
                </w:p>
              </w:tc>
            </w:tr>
            <w:tr w14:paraId="1A73F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27" w:type="dxa"/>
                  <w:vMerge w:val="continue"/>
                  <w:vAlign w:val="center"/>
                </w:tcPr>
                <w:p w14:paraId="52216D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2667" w:type="dxa"/>
                  <w:gridSpan w:val="3"/>
                  <w:vAlign w:val="center"/>
                </w:tcPr>
                <w:p w14:paraId="1134F2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小计</w:t>
                  </w:r>
                </w:p>
              </w:tc>
              <w:tc>
                <w:tcPr>
                  <w:tcW w:w="833" w:type="dxa"/>
                  <w:vAlign w:val="center"/>
                </w:tcPr>
                <w:p w14:paraId="3E5B4A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1.43</w:t>
                  </w:r>
                </w:p>
              </w:tc>
              <w:tc>
                <w:tcPr>
                  <w:tcW w:w="1283" w:type="dxa"/>
                  <w:vAlign w:val="center"/>
                </w:tcPr>
                <w:p w14:paraId="6536F8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017" w:type="dxa"/>
                  <w:vAlign w:val="center"/>
                </w:tcPr>
                <w:p w14:paraId="27833A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583" w:type="dxa"/>
                  <w:vAlign w:val="center"/>
                </w:tcPr>
                <w:p w14:paraId="3032BB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14:paraId="7F3B9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27" w:type="dxa"/>
                  <w:vMerge w:val="restart"/>
                  <w:vAlign w:val="center"/>
                </w:tcPr>
                <w:p w14:paraId="369DF3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防护涂料</w:t>
                  </w:r>
                </w:p>
              </w:tc>
              <w:tc>
                <w:tcPr>
                  <w:tcW w:w="850" w:type="dxa"/>
                  <w:vAlign w:val="center"/>
                </w:tcPr>
                <w:p w14:paraId="261C26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UV三防漆</w:t>
                  </w:r>
                </w:p>
              </w:tc>
              <w:tc>
                <w:tcPr>
                  <w:tcW w:w="767" w:type="dxa"/>
                  <w:vAlign w:val="center"/>
                </w:tcPr>
                <w:p w14:paraId="6F4ECE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1.106</w:t>
                  </w:r>
                </w:p>
              </w:tc>
              <w:tc>
                <w:tcPr>
                  <w:tcW w:w="1050" w:type="dxa"/>
                  <w:vAlign w:val="center"/>
                </w:tcPr>
                <w:p w14:paraId="5E8142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lang w:val="en-US" w:eastAsia="zh-CN"/>
                    </w:rPr>
                    <w:t>20%~65%</w:t>
                  </w:r>
                  <w:r>
                    <w:rPr>
                      <w:rFonts w:hint="default" w:ascii="Times New Roman" w:hAnsi="Times New Roman" w:eastAsia="宋体" w:cs="Times New Roman"/>
                      <w:color w:val="auto"/>
                      <w:sz w:val="21"/>
                      <w:szCs w:val="21"/>
                      <w:vertAlign w:val="baseline"/>
                      <w:lang w:val="en-US" w:eastAsia="zh-CN"/>
                    </w:rPr>
                    <w:t>(取65%）</w:t>
                  </w:r>
                </w:p>
              </w:tc>
              <w:tc>
                <w:tcPr>
                  <w:tcW w:w="833" w:type="dxa"/>
                  <w:vAlign w:val="center"/>
                </w:tcPr>
                <w:p w14:paraId="634A62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0.7189</w:t>
                  </w:r>
                </w:p>
              </w:tc>
              <w:tc>
                <w:tcPr>
                  <w:tcW w:w="1283" w:type="dxa"/>
                  <w:vAlign w:val="center"/>
                </w:tcPr>
                <w:p w14:paraId="273666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420g/L</w:t>
                  </w:r>
                </w:p>
              </w:tc>
              <w:tc>
                <w:tcPr>
                  <w:tcW w:w="1017" w:type="dxa"/>
                  <w:vAlign w:val="center"/>
                </w:tcPr>
                <w:p w14:paraId="694994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水性涂料</w:t>
                  </w:r>
                </w:p>
              </w:tc>
              <w:tc>
                <w:tcPr>
                  <w:tcW w:w="1583" w:type="dxa"/>
                  <w:vAlign w:val="center"/>
                </w:tcPr>
                <w:p w14:paraId="6E5EA6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密闭设备使用，收集效率90%，经活性炭吸附有组织排放，处理率75%</w:t>
                  </w:r>
                </w:p>
              </w:tc>
            </w:tr>
            <w:tr w14:paraId="23F89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27" w:type="dxa"/>
                  <w:vMerge w:val="continue"/>
                  <w:vAlign w:val="center"/>
                </w:tcPr>
                <w:p w14:paraId="684FD7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667" w:type="dxa"/>
                  <w:gridSpan w:val="3"/>
                  <w:vAlign w:val="center"/>
                </w:tcPr>
                <w:p w14:paraId="4E3351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小计</w:t>
                  </w:r>
                </w:p>
              </w:tc>
              <w:tc>
                <w:tcPr>
                  <w:tcW w:w="833" w:type="dxa"/>
                  <w:vAlign w:val="center"/>
                </w:tcPr>
                <w:p w14:paraId="5ED3CF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0.7189</w:t>
                  </w:r>
                </w:p>
              </w:tc>
              <w:tc>
                <w:tcPr>
                  <w:tcW w:w="1283" w:type="dxa"/>
                  <w:vAlign w:val="center"/>
                </w:tcPr>
                <w:p w14:paraId="47482C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017" w:type="dxa"/>
                  <w:vAlign w:val="center"/>
                </w:tcPr>
                <w:p w14:paraId="7F08BA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583" w:type="dxa"/>
                  <w:vAlign w:val="center"/>
                </w:tcPr>
                <w:p w14:paraId="227902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14:paraId="79CB6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27" w:type="dxa"/>
                  <w:vMerge w:val="restart"/>
                  <w:vAlign w:val="center"/>
                </w:tcPr>
                <w:p w14:paraId="1E48F3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其他</w:t>
                  </w:r>
                </w:p>
                <w:p w14:paraId="0317CB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（溶剂含VOCs）</w:t>
                  </w:r>
                </w:p>
              </w:tc>
              <w:tc>
                <w:tcPr>
                  <w:tcW w:w="850" w:type="dxa"/>
                  <w:vAlign w:val="center"/>
                </w:tcPr>
                <w:p w14:paraId="3BD23B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无铅助焊剂</w:t>
                  </w:r>
                </w:p>
              </w:tc>
              <w:tc>
                <w:tcPr>
                  <w:tcW w:w="767" w:type="dxa"/>
                  <w:vAlign w:val="center"/>
                </w:tcPr>
                <w:p w14:paraId="79F35A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0.4</w:t>
                  </w:r>
                </w:p>
              </w:tc>
              <w:tc>
                <w:tcPr>
                  <w:tcW w:w="1050" w:type="dxa"/>
                  <w:vAlign w:val="center"/>
                </w:tcPr>
                <w:p w14:paraId="615507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93.5%</w:t>
                  </w:r>
                </w:p>
              </w:tc>
              <w:tc>
                <w:tcPr>
                  <w:tcW w:w="833" w:type="dxa"/>
                  <w:vAlign w:val="center"/>
                </w:tcPr>
                <w:p w14:paraId="3B8F0B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0.374</w:t>
                  </w:r>
                </w:p>
              </w:tc>
              <w:tc>
                <w:tcPr>
                  <w:tcW w:w="1283" w:type="dxa"/>
                  <w:vAlign w:val="center"/>
                </w:tcPr>
                <w:p w14:paraId="5EB3DB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w:t>
                  </w:r>
                </w:p>
              </w:tc>
              <w:tc>
                <w:tcPr>
                  <w:tcW w:w="1017" w:type="dxa"/>
                  <w:vAlign w:val="center"/>
                </w:tcPr>
                <w:p w14:paraId="29C4A1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w:t>
                  </w:r>
                </w:p>
              </w:tc>
              <w:tc>
                <w:tcPr>
                  <w:tcW w:w="1583" w:type="dxa"/>
                  <w:vAlign w:val="center"/>
                </w:tcPr>
                <w:p w14:paraId="6A2CF9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无组织排放</w:t>
                  </w:r>
                </w:p>
              </w:tc>
            </w:tr>
            <w:tr w14:paraId="5D8D3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27" w:type="dxa"/>
                  <w:vMerge w:val="continue"/>
                  <w:vAlign w:val="center"/>
                </w:tcPr>
                <w:p w14:paraId="62C23D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p>
              </w:tc>
              <w:tc>
                <w:tcPr>
                  <w:tcW w:w="850" w:type="dxa"/>
                  <w:vAlign w:val="center"/>
                </w:tcPr>
                <w:p w14:paraId="06541D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rPr>
                    <w:t>导热硅脂</w:t>
                  </w:r>
                </w:p>
              </w:tc>
              <w:tc>
                <w:tcPr>
                  <w:tcW w:w="767" w:type="dxa"/>
                  <w:vAlign w:val="center"/>
                </w:tcPr>
                <w:p w14:paraId="50D277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0.569</w:t>
                  </w:r>
                </w:p>
              </w:tc>
              <w:tc>
                <w:tcPr>
                  <w:tcW w:w="1050" w:type="dxa"/>
                  <w:vAlign w:val="center"/>
                </w:tcPr>
                <w:p w14:paraId="022AD8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c>
                <w:tcPr>
                  <w:tcW w:w="833" w:type="dxa"/>
                  <w:vAlign w:val="center"/>
                </w:tcPr>
                <w:p w14:paraId="7279E3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1283" w:type="dxa"/>
                  <w:vAlign w:val="center"/>
                </w:tcPr>
                <w:p w14:paraId="3CB589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50g/kg</w:t>
                  </w:r>
                </w:p>
              </w:tc>
              <w:tc>
                <w:tcPr>
                  <w:tcW w:w="1017" w:type="dxa"/>
                  <w:vAlign w:val="center"/>
                </w:tcPr>
                <w:p w14:paraId="48ABE8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无溶剂型</w:t>
                  </w:r>
                </w:p>
              </w:tc>
              <w:tc>
                <w:tcPr>
                  <w:tcW w:w="1583" w:type="dxa"/>
                  <w:vAlign w:val="center"/>
                </w:tcPr>
                <w:p w14:paraId="5F0C70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低VOCs物料</w:t>
                  </w:r>
                </w:p>
              </w:tc>
            </w:tr>
            <w:tr w14:paraId="60ED4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27" w:type="dxa"/>
                  <w:vMerge w:val="continue"/>
                  <w:vAlign w:val="center"/>
                </w:tcPr>
                <w:p w14:paraId="12EF65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850" w:type="dxa"/>
                  <w:vAlign w:val="center"/>
                </w:tcPr>
                <w:p w14:paraId="14F060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脱漆剂</w:t>
                  </w:r>
                </w:p>
              </w:tc>
              <w:tc>
                <w:tcPr>
                  <w:tcW w:w="767" w:type="dxa"/>
                  <w:vAlign w:val="center"/>
                </w:tcPr>
                <w:p w14:paraId="453FD0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0.01</w:t>
                  </w:r>
                </w:p>
              </w:tc>
              <w:tc>
                <w:tcPr>
                  <w:tcW w:w="1050" w:type="dxa"/>
                  <w:vAlign w:val="center"/>
                </w:tcPr>
                <w:p w14:paraId="3E2E09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50%~90%(取90%）</w:t>
                  </w:r>
                </w:p>
              </w:tc>
              <w:tc>
                <w:tcPr>
                  <w:tcW w:w="833" w:type="dxa"/>
                  <w:vAlign w:val="center"/>
                </w:tcPr>
                <w:p w14:paraId="52C1A6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0.009</w:t>
                  </w:r>
                </w:p>
              </w:tc>
              <w:tc>
                <w:tcPr>
                  <w:tcW w:w="1283" w:type="dxa"/>
                  <w:vAlign w:val="center"/>
                </w:tcPr>
                <w:p w14:paraId="17273B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017" w:type="dxa"/>
                  <w:vAlign w:val="center"/>
                </w:tcPr>
                <w:p w14:paraId="40581E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583" w:type="dxa"/>
                  <w:vAlign w:val="center"/>
                </w:tcPr>
                <w:p w14:paraId="534BD5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无组织排放</w:t>
                  </w:r>
                </w:p>
              </w:tc>
            </w:tr>
            <w:tr w14:paraId="61991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27" w:type="dxa"/>
                  <w:vMerge w:val="continue"/>
                  <w:vAlign w:val="center"/>
                </w:tcPr>
                <w:p w14:paraId="0EF897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2667" w:type="dxa"/>
                  <w:gridSpan w:val="3"/>
                  <w:vAlign w:val="center"/>
                </w:tcPr>
                <w:p w14:paraId="1D9F5C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小计</w:t>
                  </w:r>
                </w:p>
              </w:tc>
              <w:tc>
                <w:tcPr>
                  <w:tcW w:w="833" w:type="dxa"/>
                  <w:vAlign w:val="center"/>
                </w:tcPr>
                <w:p w14:paraId="080FB4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0.383</w:t>
                  </w:r>
                </w:p>
              </w:tc>
              <w:tc>
                <w:tcPr>
                  <w:tcW w:w="1283" w:type="dxa"/>
                  <w:vAlign w:val="center"/>
                </w:tcPr>
                <w:p w14:paraId="6B7B6E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017" w:type="dxa"/>
                  <w:vAlign w:val="center"/>
                </w:tcPr>
                <w:p w14:paraId="38E4B4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583" w:type="dxa"/>
                  <w:vAlign w:val="center"/>
                </w:tcPr>
                <w:p w14:paraId="42AF88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14:paraId="4A042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094" w:type="dxa"/>
                  <w:gridSpan w:val="4"/>
                  <w:vAlign w:val="center"/>
                </w:tcPr>
                <w:p w14:paraId="30C41D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合计</w:t>
                  </w:r>
                </w:p>
              </w:tc>
              <w:tc>
                <w:tcPr>
                  <w:tcW w:w="833" w:type="dxa"/>
                  <w:vAlign w:val="center"/>
                </w:tcPr>
                <w:p w14:paraId="6F9787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2.533</w:t>
                  </w:r>
                </w:p>
              </w:tc>
              <w:tc>
                <w:tcPr>
                  <w:tcW w:w="1283" w:type="dxa"/>
                  <w:vAlign w:val="center"/>
                </w:tcPr>
                <w:p w14:paraId="2EC898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017" w:type="dxa"/>
                  <w:vAlign w:val="center"/>
                </w:tcPr>
                <w:p w14:paraId="4B9613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583" w:type="dxa"/>
                  <w:vAlign w:val="center"/>
                </w:tcPr>
                <w:p w14:paraId="40BF2E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bl>
          <w:p w14:paraId="5524BB2A">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根据企业提供的原料产品MSDS报告和SGS检测报告</w:t>
            </w:r>
          </w:p>
          <w:p w14:paraId="69E32942">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①三防UV胶中挥发性有机物含量20%，本项目使用UV胶3.332t/a，其VOCs产生量0.67t/a，</w:t>
            </w:r>
            <w:r>
              <w:rPr>
                <w:rFonts w:hint="default" w:ascii="Times New Roman" w:hAnsi="Times New Roman" w:eastAsia="宋体" w:cs="Times New Roman"/>
                <w:b w:val="0"/>
                <w:bCs w:val="0"/>
                <w:color w:val="auto"/>
                <w:sz w:val="24"/>
                <w:szCs w:val="32"/>
                <w:u w:val="single"/>
                <w:lang w:val="en-US" w:eastAsia="zh-CN"/>
              </w:rPr>
              <w:t>排放速率0.089kg/h，采用无组织排放，厂区加强通风</w:t>
            </w:r>
            <w:r>
              <w:rPr>
                <w:rFonts w:hint="default" w:ascii="Times New Roman" w:hAnsi="Times New Roman" w:eastAsia="宋体" w:cs="Times New Roman"/>
                <w:b w:val="0"/>
                <w:bCs w:val="0"/>
                <w:color w:val="auto"/>
                <w:sz w:val="24"/>
                <w:szCs w:val="32"/>
                <w:lang w:val="en-US" w:eastAsia="zh-CN"/>
              </w:rPr>
              <w:t>；</w:t>
            </w:r>
          </w:p>
          <w:p w14:paraId="656978F7">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②</w:t>
            </w:r>
            <w:r>
              <w:rPr>
                <w:rFonts w:hint="default" w:ascii="Times New Roman" w:hAnsi="Times New Roman" w:eastAsia="宋体" w:cs="Times New Roman"/>
                <w:b w:val="0"/>
                <w:bCs w:val="0"/>
                <w:color w:val="auto"/>
                <w:sz w:val="24"/>
                <w:szCs w:val="32"/>
                <w:highlight w:val="none"/>
                <w:lang w:val="en-US" w:eastAsia="zh-CN"/>
              </w:rPr>
              <w:t>无铅助焊剂</w:t>
            </w:r>
            <w:r>
              <w:rPr>
                <w:rFonts w:hint="default" w:ascii="Times New Roman" w:hAnsi="Times New Roman" w:eastAsia="宋体" w:cs="Times New Roman"/>
                <w:b w:val="0"/>
                <w:bCs w:val="0"/>
                <w:color w:val="auto"/>
                <w:sz w:val="24"/>
                <w:szCs w:val="32"/>
                <w:lang w:val="en-US" w:eastAsia="zh-CN"/>
              </w:rPr>
              <w:t>中含易挥发物混合醇溶剂93.5%，本项目助焊剂使用量0.4t/a，极端情况下所有醇类物质挥发完全时，其VOCs产生量0.374t/a，</w:t>
            </w:r>
            <w:r>
              <w:rPr>
                <w:rFonts w:hint="default" w:ascii="Times New Roman" w:hAnsi="Times New Roman" w:eastAsia="宋体" w:cs="Times New Roman"/>
                <w:b w:val="0"/>
                <w:bCs w:val="0"/>
                <w:color w:val="auto"/>
                <w:sz w:val="24"/>
                <w:szCs w:val="32"/>
                <w:u w:val="single"/>
                <w:lang w:val="en-US" w:eastAsia="zh-CN"/>
              </w:rPr>
              <w:t>排放速率0.050kg/h，采用无组织排放，厂区加强通风</w:t>
            </w:r>
            <w:r>
              <w:rPr>
                <w:rFonts w:hint="default" w:ascii="Times New Roman" w:hAnsi="Times New Roman" w:eastAsia="宋体" w:cs="Times New Roman"/>
                <w:b w:val="0"/>
                <w:bCs w:val="0"/>
                <w:color w:val="auto"/>
                <w:sz w:val="24"/>
                <w:szCs w:val="32"/>
                <w:lang w:val="en-US" w:eastAsia="zh-CN"/>
              </w:rPr>
              <w:t>；</w:t>
            </w:r>
          </w:p>
          <w:p w14:paraId="070196F2">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③自流灌封胶使用后后自然风干，风干过程中会释放醇类物质，挥发度＜2%，本项目自流灌封胶用量</w:t>
            </w:r>
            <w:r>
              <w:rPr>
                <w:rFonts w:hint="default" w:ascii="Times New Roman" w:hAnsi="Times New Roman" w:eastAsia="宋体" w:cs="Times New Roman"/>
                <w:b w:val="0"/>
                <w:bCs w:val="0"/>
                <w:color w:val="auto"/>
                <w:sz w:val="24"/>
                <w:szCs w:val="32"/>
                <w:highlight w:val="none"/>
                <w:lang w:val="en-US" w:eastAsia="zh-CN"/>
              </w:rPr>
              <w:t>38</w:t>
            </w:r>
            <w:r>
              <w:rPr>
                <w:rFonts w:hint="default" w:ascii="Times New Roman" w:hAnsi="Times New Roman" w:eastAsia="宋体" w:cs="Times New Roman"/>
                <w:b w:val="0"/>
                <w:bCs w:val="0"/>
                <w:color w:val="auto"/>
                <w:sz w:val="24"/>
                <w:szCs w:val="32"/>
                <w:lang w:val="en-US" w:eastAsia="zh-CN"/>
              </w:rPr>
              <w:t>t/a，则VOCs产生量为0.76t/a，</w:t>
            </w:r>
            <w:r>
              <w:rPr>
                <w:rFonts w:hint="default" w:ascii="Times New Roman" w:hAnsi="Times New Roman" w:eastAsia="宋体" w:cs="Times New Roman"/>
                <w:b w:val="0"/>
                <w:bCs w:val="0"/>
                <w:color w:val="auto"/>
                <w:sz w:val="24"/>
                <w:szCs w:val="32"/>
                <w:u w:val="single"/>
                <w:lang w:val="en-US" w:eastAsia="zh-CN"/>
              </w:rPr>
              <w:t>排放速率0.10kg/h，采用无组织排放，厂区加强通风</w:t>
            </w:r>
            <w:r>
              <w:rPr>
                <w:rFonts w:hint="default" w:ascii="Times New Roman" w:hAnsi="Times New Roman" w:eastAsia="宋体" w:cs="Times New Roman"/>
                <w:b w:val="0"/>
                <w:bCs w:val="0"/>
                <w:color w:val="auto"/>
                <w:sz w:val="24"/>
                <w:szCs w:val="32"/>
                <w:lang w:val="en-US" w:eastAsia="zh-CN"/>
              </w:rPr>
              <w:t>；</w:t>
            </w:r>
          </w:p>
          <w:p w14:paraId="339294FB">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④脱漆剂含二氯甲烷50%-90%，年使用量0.01t，完全挥发情况下产生VOCs0.009t/a，</w:t>
            </w:r>
            <w:r>
              <w:rPr>
                <w:rFonts w:hint="default" w:ascii="Times New Roman" w:hAnsi="Times New Roman" w:eastAsia="宋体" w:cs="Times New Roman"/>
                <w:b w:val="0"/>
                <w:bCs w:val="0"/>
                <w:color w:val="auto"/>
                <w:sz w:val="24"/>
                <w:szCs w:val="32"/>
                <w:u w:val="single"/>
                <w:lang w:val="en-US" w:eastAsia="zh-CN"/>
              </w:rPr>
              <w:t>排放速率0.0012kg/h，采用无组织排放，厂区加强通风</w:t>
            </w:r>
            <w:r>
              <w:rPr>
                <w:rFonts w:hint="default" w:ascii="Times New Roman" w:hAnsi="Times New Roman" w:eastAsia="宋体" w:cs="Times New Roman"/>
                <w:b w:val="0"/>
                <w:bCs w:val="0"/>
                <w:color w:val="auto"/>
                <w:sz w:val="24"/>
                <w:szCs w:val="32"/>
                <w:lang w:val="en-US" w:eastAsia="zh-CN"/>
              </w:rPr>
              <w:t>；</w:t>
            </w:r>
          </w:p>
          <w:p w14:paraId="20DDF30F">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szCs w:val="32"/>
                <w:highlight w:val="red"/>
                <w:lang w:val="en-US" w:eastAsia="zh-CN"/>
              </w:rPr>
            </w:pPr>
            <w:r>
              <w:rPr>
                <w:rFonts w:hint="default" w:ascii="Times New Roman" w:hAnsi="Times New Roman" w:eastAsia="宋体" w:cs="Times New Roman"/>
                <w:b w:val="0"/>
                <w:bCs w:val="0"/>
                <w:color w:val="auto"/>
                <w:sz w:val="24"/>
                <w:szCs w:val="32"/>
                <w:lang w:val="en-US" w:eastAsia="zh-CN"/>
              </w:rPr>
              <w:t>⑤UV三防漆其稀释剂为易挥发组分，含量20%~65%，该原料年使用量1.106t，完全挥发情况会产生0.7189t/a（0.096kg/h）VOCs，</w:t>
            </w:r>
            <w:r>
              <w:rPr>
                <w:rFonts w:hint="default" w:ascii="Times New Roman" w:hAnsi="Times New Roman" w:eastAsia="宋体" w:cs="Times New Roman"/>
                <w:b w:val="0"/>
                <w:bCs w:val="0"/>
                <w:color w:val="auto"/>
                <w:sz w:val="24"/>
                <w:szCs w:val="32"/>
                <w:u w:val="single"/>
                <w:lang w:val="en-US" w:eastAsia="zh-CN"/>
              </w:rPr>
              <w:t>三防漆使用工序在喷涂设备上方设计了集气罩，收集率90%，收集管道内置了初效过滤器，产生的废气通过管道与焊接废气汇入主通风管后引至车间顶层，经活性炭吸附处理后经排气筒（DA001#）高空排放，排放量1000m</w:t>
            </w:r>
            <w:r>
              <w:rPr>
                <w:rFonts w:hint="default" w:ascii="Times New Roman" w:hAnsi="Times New Roman" w:eastAsia="宋体" w:cs="Times New Roman"/>
                <w:b w:val="0"/>
                <w:bCs w:val="0"/>
                <w:color w:val="auto"/>
                <w:sz w:val="24"/>
                <w:szCs w:val="32"/>
                <w:u w:val="single"/>
                <w:vertAlign w:val="superscript"/>
                <w:lang w:val="en-US" w:eastAsia="zh-CN"/>
              </w:rPr>
              <w:t>3</w:t>
            </w:r>
            <w:r>
              <w:rPr>
                <w:rFonts w:hint="default" w:ascii="Times New Roman" w:hAnsi="Times New Roman" w:eastAsia="宋体" w:cs="Times New Roman"/>
                <w:b w:val="0"/>
                <w:bCs w:val="0"/>
                <w:color w:val="auto"/>
                <w:sz w:val="24"/>
                <w:szCs w:val="32"/>
                <w:u w:val="single"/>
                <w:lang w:val="en-US" w:eastAsia="zh-CN"/>
              </w:rPr>
              <w:t>/h，排气筒离地面高度23m，</w:t>
            </w:r>
            <w:r>
              <w:rPr>
                <w:rFonts w:hint="default" w:ascii="Times New Roman" w:hAnsi="Times New Roman" w:eastAsia="宋体" w:cs="Times New Roman"/>
                <w:b w:val="0"/>
                <w:bCs w:val="0"/>
                <w:color w:val="auto"/>
                <w:sz w:val="24"/>
                <w:szCs w:val="32"/>
                <w:lang w:val="en-US" w:eastAsia="zh-CN"/>
              </w:rPr>
              <w:t>活性炭定期更换</w:t>
            </w:r>
            <w:r>
              <w:rPr>
                <w:rFonts w:hint="eastAsia" w:cs="Times New Roman"/>
                <w:b w:val="0"/>
                <w:bCs w:val="0"/>
                <w:color w:val="auto"/>
                <w:sz w:val="24"/>
                <w:szCs w:val="32"/>
                <w:lang w:val="en-US" w:eastAsia="zh-CN"/>
              </w:rPr>
              <w:t>，</w:t>
            </w:r>
            <w:r>
              <w:rPr>
                <w:rFonts w:hint="default" w:ascii="Times New Roman" w:hAnsi="Times New Roman" w:eastAsia="宋体" w:cs="Times New Roman"/>
                <w:b w:val="0"/>
                <w:bCs w:val="0"/>
                <w:color w:val="auto"/>
                <w:sz w:val="24"/>
                <w:szCs w:val="32"/>
                <w:lang w:val="en-US" w:eastAsia="zh-CN"/>
              </w:rPr>
              <w:t>设计处理效率7</w:t>
            </w:r>
            <w:r>
              <w:rPr>
                <w:rFonts w:hint="default" w:ascii="Times New Roman" w:hAnsi="Times New Roman" w:eastAsia="宋体" w:cs="Times New Roman"/>
                <w:b w:val="0"/>
                <w:bCs w:val="0"/>
                <w:color w:val="auto"/>
                <w:sz w:val="24"/>
                <w:szCs w:val="32"/>
                <w:highlight w:val="none"/>
                <w:lang w:val="en-US" w:eastAsia="zh-CN"/>
              </w:rPr>
              <w:t>5%。生产过程有组织废气排放VOCs0.16t/a，无组织废气排放VOCs1.88t/a。</w:t>
            </w:r>
          </w:p>
          <w:p w14:paraId="79BDB4BF">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szCs w:val="32"/>
                <w:u w:val="single"/>
                <w:lang w:val="en-US" w:eastAsia="zh-CN"/>
              </w:rPr>
            </w:pPr>
            <w:r>
              <w:rPr>
                <w:rFonts w:hint="default" w:ascii="Times New Roman" w:hAnsi="Times New Roman" w:eastAsia="宋体" w:cs="Times New Roman"/>
                <w:b w:val="0"/>
                <w:bCs w:val="0"/>
                <w:color w:val="auto"/>
                <w:sz w:val="24"/>
                <w:szCs w:val="32"/>
                <w:u w:val="single"/>
                <w:lang w:val="en-US" w:eastAsia="zh-CN"/>
              </w:rPr>
              <w:t>根据生态环境部关于印发《重点行业挥发性有机物综合治理方案的通知》（环大气〔2019〕53号）》，明确“企业采用符合国家有关低VOCs含量产品规定的涂料、油墨、胶粘剂等，排放浓度稳定达标且排放速率、排放绩效等满足相关规定的，相应生产工序可不要求建设末端治理设施。使用的原辅材料VOCs含量（质量比）低于10%的工序，可不要求采用无组织排放收集措施。根据建设单位提供的MSDS报告，本项目使用的三防UV胶、阻燃导热液体灌封胶、自流灌封胶为低VOCs含量胶黏剂，导热硅脂为低VOCs物料，故可不配置相关挥发性有机物处理设施，经车间通风后无组织排放是可行的。UV三防漆不属于低VOCs物料，故安装了收集处理措施。</w:t>
            </w:r>
          </w:p>
          <w:p w14:paraId="2BC074C2">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②焊接烟尘</w:t>
            </w:r>
          </w:p>
          <w:p w14:paraId="50125A1E">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szCs w:val="32"/>
                <w:highlight w:val="red"/>
                <w:lang w:val="en-US" w:eastAsia="zh-CN"/>
              </w:rPr>
            </w:pPr>
            <w:r>
              <w:rPr>
                <w:rFonts w:hint="default" w:ascii="Times New Roman" w:hAnsi="Times New Roman" w:eastAsia="宋体" w:cs="Times New Roman"/>
                <w:b w:val="0"/>
                <w:bCs w:val="0"/>
                <w:color w:val="auto"/>
                <w:sz w:val="24"/>
                <w:szCs w:val="32"/>
                <w:highlight w:val="none"/>
                <w:lang w:val="en-US" w:eastAsia="zh-CN"/>
              </w:rPr>
              <w:t>本项目回流焊、波峰焊、补焊过程产生焊锡废气，主要污染因子为锡及其化合物。项目使用不含铅的锡焊料，查阅有关资料，根据《焊机技术手册》分析焊接发尘量约1g/kg焊接材料。项目无铅锡膏929kg/a，项目无铅锡条年用量为14000kg/a，则废气锡及其化合物产生量为14.93kg/a；产生速率为0.002kg/h（按全年312天，每天24小时计）。项目拟在焊接工位上方设置集气罩和内置初效过滤器的管道，确保收集效率在90%以上，产生的废气通过抽排风将废气引至车间楼顶经活性炭吸附处理后引至统一个排气筒（DA001#）高空排放，排风量约1000m</w:t>
            </w:r>
            <w:r>
              <w:rPr>
                <w:rFonts w:hint="default" w:ascii="Times New Roman" w:hAnsi="Times New Roman" w:eastAsia="宋体" w:cs="Times New Roman"/>
                <w:b w:val="0"/>
                <w:bCs w:val="0"/>
                <w:color w:val="auto"/>
                <w:sz w:val="24"/>
                <w:szCs w:val="32"/>
                <w:highlight w:val="none"/>
                <w:vertAlign w:val="superscript"/>
                <w:lang w:val="en-US" w:eastAsia="zh-CN"/>
              </w:rPr>
              <w:t>3</w:t>
            </w:r>
            <w:r>
              <w:rPr>
                <w:rFonts w:hint="default" w:ascii="Times New Roman" w:hAnsi="Times New Roman" w:eastAsia="宋体" w:cs="Times New Roman"/>
                <w:b w:val="0"/>
                <w:bCs w:val="0"/>
                <w:color w:val="auto"/>
                <w:sz w:val="24"/>
                <w:szCs w:val="32"/>
                <w:highlight w:val="none"/>
                <w:lang w:val="en-US" w:eastAsia="zh-CN"/>
              </w:rPr>
              <w:t>/h，排气筒离地面高度23米，活性炭吸附装置吸附效率在80%以上，活性炭定期更换。因此经处理后锡及其化合物有组织废气排放量为2.69kg/a，排放速率为0.00036kg/h，排放浓度为0.36mg/m</w:t>
            </w:r>
            <w:r>
              <w:rPr>
                <w:rFonts w:hint="default" w:ascii="Times New Roman" w:hAnsi="Times New Roman" w:eastAsia="宋体" w:cs="Times New Roman"/>
                <w:b w:val="0"/>
                <w:bCs w:val="0"/>
                <w:color w:val="auto"/>
                <w:sz w:val="24"/>
                <w:szCs w:val="32"/>
                <w:highlight w:val="none"/>
                <w:vertAlign w:val="superscript"/>
                <w:lang w:val="en-US" w:eastAsia="zh-CN"/>
              </w:rPr>
              <w:t>3</w:t>
            </w:r>
            <w:r>
              <w:rPr>
                <w:rFonts w:hint="default" w:ascii="Times New Roman" w:hAnsi="Times New Roman" w:eastAsia="宋体" w:cs="Times New Roman"/>
                <w:b w:val="0"/>
                <w:bCs w:val="0"/>
                <w:color w:val="auto"/>
                <w:sz w:val="24"/>
                <w:szCs w:val="32"/>
                <w:highlight w:val="none"/>
                <w:lang w:val="en-US" w:eastAsia="zh-CN"/>
              </w:rPr>
              <w:t>。未被收集的10%焊锡废气无组织排放量为1.49kg/a（0.0002kg/h），如下图所示。</w:t>
            </w:r>
          </w:p>
          <w:tbl>
            <w:tblPr>
              <w:tblStyle w:val="18"/>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959"/>
            </w:tblGrid>
            <w:tr w14:paraId="4B663F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67" w:hRule="atLeast"/>
              </w:trPr>
              <w:tc>
                <w:tcPr>
                  <w:tcW w:w="7959" w:type="dxa"/>
                </w:tcPr>
                <w:p w14:paraId="6576F869">
                  <w:pPr>
                    <w:pStyle w:val="2"/>
                    <w:spacing w:line="240" w:lineRule="auto"/>
                    <w:ind w:left="0" w:leftChars="0" w:firstLine="0" w:firstLineChars="0"/>
                    <w:outlineLvl w:val="9"/>
                    <w:rPr>
                      <w:rFonts w:hint="default" w:ascii="Times New Roman" w:hAnsi="Times New Roman" w:eastAsia="宋体" w:cs="Times New Roman"/>
                      <w:color w:val="auto"/>
                      <w:vertAlign w:val="baseline"/>
                    </w:rPr>
                  </w:pP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3768090</wp:posOffset>
                            </wp:positionH>
                            <wp:positionV relativeFrom="paragraph">
                              <wp:posOffset>105410</wp:posOffset>
                            </wp:positionV>
                            <wp:extent cx="1179195" cy="403225"/>
                            <wp:effectExtent l="4445" t="4445" r="16510" b="11430"/>
                            <wp:wrapNone/>
                            <wp:docPr id="1091" name="文本框 20"/>
                            <wp:cNvGraphicFramePr/>
                            <a:graphic xmlns:a="http://schemas.openxmlformats.org/drawingml/2006/main">
                              <a:graphicData uri="http://schemas.microsoft.com/office/word/2010/wordprocessingShape">
                                <wps:wsp>
                                  <wps:cNvSpPr/>
                                  <wps:spPr>
                                    <a:xfrm>
                                      <a:off x="0" y="0"/>
                                      <a:ext cx="1179195" cy="403225"/>
                                    </a:xfrm>
                                    <a:prstGeom prst="rect">
                                      <a:avLst/>
                                    </a:prstGeom>
                                    <a:ln w="6350" cap="flat" cmpd="sng">
                                      <a:solidFill>
                                        <a:srgbClr val="000000"/>
                                      </a:solidFill>
                                      <a:prstDash val="solid"/>
                                      <a:round/>
                                    </a:ln>
                                  </wps:spPr>
                                  <wps:txbx>
                                    <w:txbxContent>
                                      <w:p w14:paraId="0FAC9C59">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sz w:val="16"/>
                                            <w:szCs w:val="20"/>
                                            <w:lang w:val="en-US" w:eastAsia="zh-CN"/>
                                          </w:rPr>
                                        </w:pPr>
                                        <w:r>
                                          <w:rPr>
                                            <w:rFonts w:hint="eastAsia"/>
                                            <w:sz w:val="16"/>
                                            <w:szCs w:val="20"/>
                                            <w:lang w:val="en-US" w:eastAsia="zh-CN"/>
                                          </w:rPr>
                                          <w:t>排放量：2.69 kg/a</w:t>
                                        </w:r>
                                      </w:p>
                                      <w:p w14:paraId="26BE6F53">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宋体"/>
                                            <w:sz w:val="16"/>
                                            <w:szCs w:val="20"/>
                                            <w:lang w:val="en-US" w:eastAsia="zh-CN"/>
                                          </w:rPr>
                                        </w:pPr>
                                        <w:r>
                                          <w:rPr>
                                            <w:rFonts w:hint="eastAsia"/>
                                            <w:sz w:val="16"/>
                                            <w:szCs w:val="20"/>
                                            <w:lang w:val="en-US" w:eastAsia="zh-CN"/>
                                          </w:rPr>
                                          <w:t>排放浓度：0.36 mg/m</w:t>
                                        </w:r>
                                        <w:r>
                                          <w:rPr>
                                            <w:rFonts w:hint="eastAsia"/>
                                            <w:sz w:val="16"/>
                                            <w:szCs w:val="20"/>
                                            <w:vertAlign w:val="superscript"/>
                                            <w:lang w:val="en-US" w:eastAsia="zh-CN"/>
                                          </w:rPr>
                                          <w:t>3</w:t>
                                        </w:r>
                                      </w:p>
                                    </w:txbxContent>
                                  </wps:txbx>
                                  <wps:bodyPr vert="horz" wrap="square" lIns="91440" tIns="45720" rIns="91440" bIns="45720" anchor="t">
                                    <a:noAutofit/>
                                  </wps:bodyPr>
                                </wps:wsp>
                              </a:graphicData>
                            </a:graphic>
                          </wp:anchor>
                        </w:drawing>
                      </mc:Choice>
                      <mc:Fallback>
                        <w:pict>
                          <v:rect id="文本框 20" o:spid="_x0000_s1026" o:spt="1" style="position:absolute;left:0pt;margin-left:296.7pt;margin-top:8.3pt;height:31.75pt;width:92.85pt;z-index:251660288;mso-width-relative:page;mso-height-relative:page;" filled="f" stroked="t" coordsize="21600,21600" o:gfxdata="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MdAL1gAAAAkBAAAPAAAAAAAAAAEA&#10;IAAAACIAAABkcnMvZG93bnJldi54bWxQSwECFAAUAAAACACHTuJAxPNPpBECAAAPBAAADgAAAAAA&#10;AAABACAAAAAlAQAAZHJzL2Uyb0RvYy54bWxQSwUGAAAAAAYABgBZAQAAqAUAAAAA&#10;">
                            <v:fill on="f" focussize="0,0"/>
                            <v:stroke weight="0.5pt" color="#000000" joinstyle="round"/>
                            <v:imagedata o:title=""/>
                            <o:lock v:ext="edit" aspectratio="f"/>
                            <v:textbox>
                              <w:txbxContent>
                                <w:p w14:paraId="0FAC9C59">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sz w:val="16"/>
                                      <w:szCs w:val="20"/>
                                      <w:lang w:val="en-US" w:eastAsia="zh-CN"/>
                                    </w:rPr>
                                  </w:pPr>
                                  <w:r>
                                    <w:rPr>
                                      <w:rFonts w:hint="eastAsia"/>
                                      <w:sz w:val="16"/>
                                      <w:szCs w:val="20"/>
                                      <w:lang w:val="en-US" w:eastAsia="zh-CN"/>
                                    </w:rPr>
                                    <w:t>排放量：2.69 kg/a</w:t>
                                  </w:r>
                                </w:p>
                                <w:p w14:paraId="26BE6F53">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宋体"/>
                                      <w:sz w:val="16"/>
                                      <w:szCs w:val="20"/>
                                      <w:lang w:val="en-US" w:eastAsia="zh-CN"/>
                                    </w:rPr>
                                  </w:pPr>
                                  <w:r>
                                    <w:rPr>
                                      <w:rFonts w:hint="eastAsia"/>
                                      <w:sz w:val="16"/>
                                      <w:szCs w:val="20"/>
                                      <w:lang w:val="en-US" w:eastAsia="zh-CN"/>
                                    </w:rPr>
                                    <w:t>排放浓度：0.36 mg/m</w:t>
                                  </w:r>
                                  <w:r>
                                    <w:rPr>
                                      <w:rFonts w:hint="eastAsia"/>
                                      <w:sz w:val="16"/>
                                      <w:szCs w:val="20"/>
                                      <w:vertAlign w:val="superscript"/>
                                      <w:lang w:val="en-US" w:eastAsia="zh-CN"/>
                                    </w:rPr>
                                    <w:t>3</w:t>
                                  </w:r>
                                </w:p>
                              </w:txbxContent>
                            </v:textbox>
                          </v:rect>
                        </w:pict>
                      </mc:Fallback>
                    </mc:AlternateContent>
                  </w:r>
                  <w:r>
                    <w:rPr>
                      <w:rFonts w:hint="default" w:ascii="Times New Roman" w:hAnsi="Times New Roman" w:eastAsia="宋体" w:cs="Times New Roman"/>
                      <w:color w:val="auto"/>
                      <w:sz w:val="21"/>
                    </w:rPr>
                    <mc:AlternateContent>
                      <mc:Choice Requires="wpg">
                        <w:drawing>
                          <wp:anchor distT="0" distB="0" distL="0" distR="0" simplePos="0" relativeHeight="251660288" behindDoc="0" locked="0" layoutInCell="1" allowOverlap="1">
                            <wp:simplePos x="0" y="0"/>
                            <wp:positionH relativeFrom="column">
                              <wp:posOffset>96520</wp:posOffset>
                            </wp:positionH>
                            <wp:positionV relativeFrom="paragraph">
                              <wp:posOffset>55245</wp:posOffset>
                            </wp:positionV>
                            <wp:extent cx="3709035" cy="1243330"/>
                            <wp:effectExtent l="0" t="0" r="0" b="0"/>
                            <wp:wrapNone/>
                            <wp:docPr id="1092" name="组合 27"/>
                            <wp:cNvGraphicFramePr/>
                            <a:graphic xmlns:a="http://schemas.openxmlformats.org/drawingml/2006/main">
                              <a:graphicData uri="http://schemas.microsoft.com/office/word/2010/wordprocessingGroup">
                                <wpg:wgp>
                                  <wpg:cNvGrpSpPr/>
                                  <wpg:grpSpPr>
                                    <a:xfrm rot="0">
                                      <a:off x="0" y="0"/>
                                      <a:ext cx="3709035" cy="1243330"/>
                                      <a:chOff x="2984" y="368044"/>
                                      <a:chExt cx="5841" cy="1958"/>
                                    </a:xfrm>
                                  </wpg:grpSpPr>
                                  <wps:wsp>
                                    <wps:cNvPr id="53" name="矩形 53"/>
                                    <wps:cNvSpPr/>
                                    <wps:spPr>
                                      <a:xfrm>
                                        <a:off x="2984" y="368151"/>
                                        <a:ext cx="1288" cy="635"/>
                                      </a:xfrm>
                                      <a:prstGeom prst="rect">
                                        <a:avLst/>
                                      </a:prstGeom>
                                      <a:ln>
                                        <a:noFill/>
                                      </a:ln>
                                    </wps:spPr>
                                    <wps:txbx>
                                      <w:txbxContent>
                                        <w:p w14:paraId="61E18EE5">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sz w:val="16"/>
                                              <w:szCs w:val="20"/>
                                              <w:lang w:val="en-US" w:eastAsia="zh-CN"/>
                                            </w:rPr>
                                          </w:pPr>
                                          <w:r>
                                            <w:rPr>
                                              <w:rFonts w:hint="eastAsia"/>
                                              <w:sz w:val="16"/>
                                              <w:szCs w:val="20"/>
                                              <w:lang w:val="en-US" w:eastAsia="zh-CN"/>
                                            </w:rPr>
                                            <w:t>锡及其化合物</w:t>
                                          </w:r>
                                        </w:p>
                                        <w:p w14:paraId="2C0A8A5F">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宋体"/>
                                              <w:sz w:val="16"/>
                                              <w:szCs w:val="20"/>
                                              <w:lang w:val="en-US" w:eastAsia="zh-CN"/>
                                            </w:rPr>
                                          </w:pPr>
                                          <w:r>
                                            <w:rPr>
                                              <w:rFonts w:hint="eastAsia"/>
                                              <w:sz w:val="16"/>
                                              <w:szCs w:val="20"/>
                                              <w:lang w:val="en-US" w:eastAsia="zh-CN"/>
                                            </w:rPr>
                                            <w:t>14.93 kg/a</w:t>
                                          </w:r>
                                        </w:p>
                                      </w:txbxContent>
                                    </wps:txbx>
                                    <wps:bodyPr vert="horz" wrap="square" lIns="91440" tIns="45720" rIns="91440" bIns="45720" anchor="t">
                                      <a:noAutofit/>
                                    </wps:bodyPr>
                                  </wps:wsp>
                                  <wpg:grpSp>
                                    <wpg:cNvPr id="54" name="组合 54"/>
                                    <wpg:cNvGrpSpPr/>
                                    <wpg:grpSpPr>
                                      <a:xfrm>
                                        <a:off x="3016" y="368237"/>
                                        <a:ext cx="4404" cy="1318"/>
                                        <a:chOff x="3016" y="368237"/>
                                        <a:chExt cx="4404" cy="1318"/>
                                      </a:xfrm>
                                    </wpg:grpSpPr>
                                    <wps:wsp>
                                      <wps:cNvPr id="55" name="直接箭头连接符 55"/>
                                      <wps:cNvCnPr/>
                                      <wps:spPr>
                                        <a:xfrm>
                                          <a:off x="3016" y="368884"/>
                                          <a:ext cx="1375" cy="0"/>
                                        </a:xfrm>
                                        <a:prstGeom prst="straightConnector1">
                                          <a:avLst/>
                                        </a:prstGeom>
                                        <a:ln w="9525" cap="flat" cmpd="sng">
                                          <a:solidFill>
                                            <a:srgbClr val="000000"/>
                                          </a:solidFill>
                                          <a:prstDash val="solid"/>
                                          <a:round/>
                                          <a:tailEnd type="arrow" w="med" len="med"/>
                                        </a:ln>
                                      </wps:spPr>
                                      <wps:bodyPr/>
                                    </wps:wsp>
                                    <wpg:grpSp>
                                      <wpg:cNvPr id="56" name="组合 56"/>
                                      <wpg:cNvGrpSpPr/>
                                      <wpg:grpSpPr>
                                        <a:xfrm>
                                          <a:off x="4231" y="368237"/>
                                          <a:ext cx="3189" cy="1318"/>
                                          <a:chOff x="4231" y="368237"/>
                                          <a:chExt cx="3189" cy="1318"/>
                                        </a:xfrm>
                                      </wpg:grpSpPr>
                                      <wps:wsp>
                                        <wps:cNvPr id="57" name="矩形 57"/>
                                        <wps:cNvSpPr/>
                                        <wps:spPr>
                                          <a:xfrm>
                                            <a:off x="5632" y="369156"/>
                                            <a:ext cx="1788" cy="399"/>
                                          </a:xfrm>
                                          <a:prstGeom prst="rect">
                                            <a:avLst/>
                                          </a:prstGeom>
                                          <a:ln w="6350" cap="flat" cmpd="sng">
                                            <a:solidFill>
                                              <a:srgbClr val="000000"/>
                                            </a:solidFill>
                                            <a:prstDash val="solid"/>
                                            <a:round/>
                                          </a:ln>
                                        </wps:spPr>
                                        <wps:txbx>
                                          <w:txbxContent>
                                            <w:p w14:paraId="4654CD00">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宋体"/>
                                                  <w:sz w:val="16"/>
                                                  <w:szCs w:val="20"/>
                                                  <w:lang w:val="en-US" w:eastAsia="zh-CN"/>
                                                </w:rPr>
                                              </w:pPr>
                                              <w:r>
                                                <w:rPr>
                                                  <w:rFonts w:hint="eastAsia"/>
                                                  <w:sz w:val="16"/>
                                                  <w:szCs w:val="20"/>
                                                  <w:lang w:val="en-US" w:eastAsia="zh-CN"/>
                                                </w:rPr>
                                                <w:t>排放量：1.49 kg/a</w:t>
                                              </w:r>
                                            </w:p>
                                          </w:txbxContent>
                                        </wps:txbx>
                                        <wps:bodyPr vert="horz" wrap="square" lIns="91440" tIns="45720" rIns="91440" bIns="45720" anchor="t">
                                          <a:noAutofit/>
                                        </wps:bodyPr>
                                      </wps:wsp>
                                      <wpg:grpSp>
                                        <wpg:cNvPr id="58" name="组合 58"/>
                                        <wpg:cNvGrpSpPr/>
                                        <wpg:grpSpPr>
                                          <a:xfrm>
                                            <a:off x="4231" y="368237"/>
                                            <a:ext cx="3175" cy="1119"/>
                                            <a:chOff x="4231" y="368237"/>
                                            <a:chExt cx="3175" cy="1119"/>
                                          </a:xfrm>
                                        </wpg:grpSpPr>
                                        <wps:wsp>
                                          <wps:cNvPr id="59" name="矩形 59"/>
                                          <wps:cNvSpPr/>
                                          <wps:spPr>
                                            <a:xfrm>
                                              <a:off x="5605" y="368237"/>
                                              <a:ext cx="1801" cy="397"/>
                                            </a:xfrm>
                                            <a:prstGeom prst="rect">
                                              <a:avLst/>
                                            </a:prstGeom>
                                            <a:ln w="6350" cap="flat" cmpd="sng">
                                              <a:solidFill>
                                                <a:srgbClr val="000000"/>
                                              </a:solidFill>
                                              <a:prstDash val="solid"/>
                                              <a:round/>
                                            </a:ln>
                                          </wps:spPr>
                                          <wps:txbx>
                                            <w:txbxContent>
                                              <w:p w14:paraId="03098959">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宋体"/>
                                                    <w:sz w:val="16"/>
                                                    <w:szCs w:val="20"/>
                                                    <w:lang w:val="en-US" w:eastAsia="zh-CN"/>
                                                  </w:rPr>
                                                </w:pPr>
                                                <w:r>
                                                  <w:rPr>
                                                    <w:rFonts w:hint="eastAsia"/>
                                                    <w:sz w:val="16"/>
                                                    <w:szCs w:val="20"/>
                                                    <w:lang w:val="en-US" w:eastAsia="zh-CN"/>
                                                  </w:rPr>
                                                  <w:t>收集：13.44 kg/a</w:t>
                                                </w:r>
                                              </w:p>
                                            </w:txbxContent>
                                          </wps:txbx>
                                          <wps:bodyPr vert="horz" wrap="square" lIns="91440" tIns="45720" rIns="91440" bIns="45720" anchor="t">
                                            <a:noAutofit/>
                                          </wps:bodyPr>
                                        </wps:wsp>
                                        <wps:wsp>
                                          <wps:cNvPr id="60" name="肘形连接符 60"/>
                                          <wps:cNvCnPr/>
                                          <wps:spPr>
                                            <a:xfrm flipV="1">
                                              <a:off x="4231" y="368436"/>
                                              <a:ext cx="1374" cy="410"/>
                                            </a:xfrm>
                                            <a:prstGeom prst="bentConnector3">
                                              <a:avLst>
                                                <a:gd name="adj1" fmla="val 10698"/>
                                              </a:avLst>
                                            </a:prstGeom>
                                            <a:ln w="9525" cap="flat" cmpd="sng">
                                              <a:solidFill>
                                                <a:srgbClr val="000000"/>
                                              </a:solidFill>
                                              <a:prstDash val="solid"/>
                                              <a:round/>
                                              <a:tailEnd type="arrow" w="med" len="med"/>
                                            </a:ln>
                                          </wps:spPr>
                                          <wps:bodyPr/>
                                        </wps:wsp>
                                        <wps:wsp>
                                          <wps:cNvPr id="61" name="肘形连接符 61"/>
                                          <wps:cNvCnPr/>
                                          <wps:spPr>
                                            <a:xfrm>
                                              <a:off x="4388" y="368865"/>
                                              <a:ext cx="1244" cy="491"/>
                                            </a:xfrm>
                                            <a:prstGeom prst="bentConnector3">
                                              <a:avLst>
                                                <a:gd name="adj1" fmla="val -241"/>
                                              </a:avLst>
                                            </a:prstGeom>
                                            <a:ln w="9525" cap="flat" cmpd="sng">
                                              <a:solidFill>
                                                <a:srgbClr val="000000"/>
                                              </a:solidFill>
                                              <a:prstDash val="solid"/>
                                              <a:round/>
                                              <a:tailEnd type="arrow" w="med" len="med"/>
                                            </a:ln>
                                          </wps:spPr>
                                          <wps:bodyPr/>
                                        </wps:wsp>
                                      </wpg:grpSp>
                                    </wpg:grpSp>
                                  </wpg:grpSp>
                                  <wps:wsp>
                                    <wps:cNvPr id="62" name="矩形 62"/>
                                    <wps:cNvSpPr/>
                                    <wps:spPr>
                                      <a:xfrm>
                                        <a:off x="4144" y="368044"/>
                                        <a:ext cx="1649" cy="968"/>
                                      </a:xfrm>
                                      <a:prstGeom prst="rect">
                                        <a:avLst/>
                                      </a:prstGeom>
                                      <a:ln>
                                        <a:noFill/>
                                      </a:ln>
                                    </wps:spPr>
                                    <wps:txbx>
                                      <w:txbxContent>
                                        <w:p w14:paraId="3FB02ACB">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sz w:val="16"/>
                                              <w:szCs w:val="20"/>
                                              <w:lang w:val="en-US" w:eastAsia="zh-CN"/>
                                            </w:rPr>
                                          </w:pPr>
                                          <w:r>
                                            <w:rPr>
                                              <w:rFonts w:hint="eastAsia"/>
                                              <w:sz w:val="16"/>
                                              <w:szCs w:val="20"/>
                                              <w:lang w:val="en-US" w:eastAsia="zh-CN"/>
                                            </w:rPr>
                                            <w:t>废气收集率90%</w:t>
                                          </w:r>
                                        </w:p>
                                        <w:p w14:paraId="43B21F2F">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default" w:eastAsia="宋体"/>
                                              <w:sz w:val="16"/>
                                              <w:szCs w:val="20"/>
                                              <w:lang w:val="en-US" w:eastAsia="zh-CN"/>
                                            </w:rPr>
                                          </w:pPr>
                                          <w:r>
                                            <w:rPr>
                                              <w:rFonts w:hint="eastAsia"/>
                                              <w:sz w:val="16"/>
                                              <w:szCs w:val="20"/>
                                              <w:lang w:val="en-US" w:eastAsia="zh-CN"/>
                                            </w:rPr>
                                            <w:t>有组织排放</w:t>
                                          </w:r>
                                        </w:p>
                                      </w:txbxContent>
                                    </wps:txbx>
                                    <wps:bodyPr vert="horz" wrap="square" lIns="91440" tIns="45720" rIns="91440" bIns="45720" anchor="t">
                                      <a:noAutofit/>
                                    </wps:bodyPr>
                                  </wps:wsp>
                                  <wps:wsp>
                                    <wps:cNvPr id="63" name="矩形 63"/>
                                    <wps:cNvSpPr/>
                                    <wps:spPr>
                                      <a:xfrm>
                                        <a:off x="4198" y="369367"/>
                                        <a:ext cx="1538" cy="635"/>
                                      </a:xfrm>
                                      <a:prstGeom prst="rect">
                                        <a:avLst/>
                                      </a:prstGeom>
                                      <a:ln>
                                        <a:noFill/>
                                      </a:ln>
                                    </wps:spPr>
                                    <wps:txbx>
                                      <w:txbxContent>
                                        <w:p w14:paraId="0A9DB820">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宋体"/>
                                              <w:sz w:val="16"/>
                                              <w:szCs w:val="20"/>
                                              <w:lang w:val="en-US" w:eastAsia="zh-CN"/>
                                            </w:rPr>
                                          </w:pPr>
                                          <w:r>
                                            <w:rPr>
                                              <w:rFonts w:hint="eastAsia"/>
                                              <w:sz w:val="16"/>
                                              <w:szCs w:val="20"/>
                                              <w:lang w:val="en-US" w:eastAsia="zh-CN"/>
                                            </w:rPr>
                                            <w:t>无组织直接排放</w:t>
                                          </w:r>
                                        </w:p>
                                      </w:txbxContent>
                                    </wps:txbx>
                                    <wps:bodyPr vert="horz" wrap="square" lIns="91440" tIns="45720" rIns="91440" bIns="45720" anchor="t">
                                      <a:noAutofit/>
                                    </wps:bodyPr>
                                  </wps:wsp>
                                  <wps:wsp>
                                    <wps:cNvPr id="64" name="矩形 64"/>
                                    <wps:cNvSpPr/>
                                    <wps:spPr>
                                      <a:xfrm>
                                        <a:off x="7287" y="368384"/>
                                        <a:ext cx="1538" cy="635"/>
                                      </a:xfrm>
                                      <a:prstGeom prst="rect">
                                        <a:avLst/>
                                      </a:prstGeom>
                                      <a:ln>
                                        <a:noFill/>
                                      </a:ln>
                                    </wps:spPr>
                                    <wps:txbx>
                                      <w:txbxContent>
                                        <w:p w14:paraId="23A529FE">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宋体"/>
                                              <w:sz w:val="16"/>
                                              <w:szCs w:val="20"/>
                                              <w:lang w:val="en-US" w:eastAsia="zh-CN"/>
                                            </w:rPr>
                                          </w:pPr>
                                          <w:r>
                                            <w:rPr>
                                              <w:rFonts w:hint="eastAsia"/>
                                              <w:sz w:val="16"/>
                                              <w:szCs w:val="20"/>
                                              <w:lang w:val="en-US" w:eastAsia="zh-CN"/>
                                            </w:rPr>
                                            <w:t>活性炭吸附装置去除率80%</w:t>
                                          </w:r>
                                        </w:p>
                                      </w:txbxContent>
                                    </wps:txbx>
                                    <wps:bodyPr vert="horz" wrap="square" lIns="91440" tIns="45720" rIns="91440" bIns="45720" anchor="t">
                                      <a:noAutofit/>
                                    </wps:bodyPr>
                                  </wps:wsp>
                                </wpg:wgp>
                              </a:graphicData>
                            </a:graphic>
                          </wp:anchor>
                        </w:drawing>
                      </mc:Choice>
                      <mc:Fallback>
                        <w:pict>
                          <v:group id="组合 27" o:spid="_x0000_s1026" o:spt="203" style="position:absolute;left:0pt;margin-left:7.6pt;margin-top:4.35pt;height:97.9pt;width:292.05pt;z-index:251660288;mso-width-relative:page;mso-height-relative:page;" coordorigin="2984,368044" coordsize="5841,1958" o:gfxdata="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">
                            <o:lock v:ext="edit" aspectratio="f"/>
                            <v:rect id="_x0000_s1026" o:spid="_x0000_s1026" o:spt="1" style="position:absolute;left:2984;top:368151;height:635;width:1288;" filled="f" stroked="f" coordsize="21600,21600" o:gfxdata="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oeDp7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61E18EE5">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sz w:val="16"/>
                                        <w:szCs w:val="20"/>
                                        <w:lang w:val="en-US" w:eastAsia="zh-CN"/>
                                      </w:rPr>
                                    </w:pPr>
                                    <w:r>
                                      <w:rPr>
                                        <w:rFonts w:hint="eastAsia"/>
                                        <w:sz w:val="16"/>
                                        <w:szCs w:val="20"/>
                                        <w:lang w:val="en-US" w:eastAsia="zh-CN"/>
                                      </w:rPr>
                                      <w:t>锡及其化合物</w:t>
                                    </w:r>
                                  </w:p>
                                  <w:p w14:paraId="2C0A8A5F">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宋体"/>
                                        <w:sz w:val="16"/>
                                        <w:szCs w:val="20"/>
                                        <w:lang w:val="en-US" w:eastAsia="zh-CN"/>
                                      </w:rPr>
                                    </w:pPr>
                                    <w:r>
                                      <w:rPr>
                                        <w:rFonts w:hint="eastAsia"/>
                                        <w:sz w:val="16"/>
                                        <w:szCs w:val="20"/>
                                        <w:lang w:val="en-US" w:eastAsia="zh-CN"/>
                                      </w:rPr>
                                      <w:t>14.93 kg/a</w:t>
                                    </w:r>
                                  </w:p>
                                </w:txbxContent>
                              </v:textbox>
                            </v:rect>
                            <v:group id="_x0000_s1026" o:spid="_x0000_s1026" o:spt="203" style="position:absolute;left:3016;top:368237;height:1318;width:4404;" coordorigin="3016,368237" coordsize="4404,1318" o:gfxdata="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bXy7WvwAAANsAAAAPAAAAAAAAAAEAIAAAACIAAABkcnMvZG93bnJldi54&#10;bWxQSwECFAAUAAAACACHTuJAMy8FnjsAAAA5AAAAFQAAAAAAAAABACAAAAAOAQAAZHJzL2dyb3Vw&#10;c2hhcGV4bWwueG1sUEsFBgAAAAAGAAYAYAEAAMsDAAAAAA==&#10;">
                              <o:lock v:ext="edit" aspectratio="f"/>
                              <v:shape id="_x0000_s1026" o:spid="_x0000_s1026" o:spt="32" type="#_x0000_t32" style="position:absolute;left:3016;top:368884;height:0;width:1375;" filled="f" stroked="t" coordsize="21600,21600" o:gfxdata="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pGsjm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shape>
                              <v:group id="_x0000_s1026" o:spid="_x0000_s1026" o:spt="203" style="position:absolute;left:4231;top:368237;height:1318;width:3189;" coordorigin="4231,368237" coordsize="3189,1318" o:gfxdata="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hMEVOr0AAADbAAAADwAAAAAAAAABACAAAAAiAAAAZHJzL2Rvd25yZXYueG1s&#10;UEsBAhQAFAAAAAgAh07iQDMvBZ47AAAAOQAAABUAAAAAAAAAAQAgAAAADAEAAGRycy9ncm91cHNo&#10;YXBleG1sLnhtbFBLBQYAAAAABgAGAGABAADJAwAAAAA=&#10;">
                                <o:lock v:ext="edit" aspectratio="f"/>
                                <v:rect id="_x0000_s1026" o:spid="_x0000_s1026" o:spt="1" style="position:absolute;left:5632;top:369156;height:399;width:1788;" filled="f" stroked="t" coordsize="21600,21600" o:gfxdata="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KcBWbsAAADb&#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textbox>
                                    <w:txbxContent>
                                      <w:p w14:paraId="4654CD00">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宋体"/>
                                            <w:sz w:val="16"/>
                                            <w:szCs w:val="20"/>
                                            <w:lang w:val="en-US" w:eastAsia="zh-CN"/>
                                          </w:rPr>
                                        </w:pPr>
                                        <w:r>
                                          <w:rPr>
                                            <w:rFonts w:hint="eastAsia"/>
                                            <w:sz w:val="16"/>
                                            <w:szCs w:val="20"/>
                                            <w:lang w:val="en-US" w:eastAsia="zh-CN"/>
                                          </w:rPr>
                                          <w:t>排放量：1.49 kg/a</w:t>
                                        </w:r>
                                      </w:p>
                                    </w:txbxContent>
                                  </v:textbox>
                                </v:rect>
                                <v:group id="_x0000_s1026" o:spid="_x0000_s1026" o:spt="203" style="position:absolute;left:4231;top:368237;height:1119;width:3175;" coordorigin="4231,368237" coordsize="3175,1119" o:gfxdata="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mhIk07oAAADbAAAADwAAAAAAAAABACAAAAAiAAAAZHJzL2Rvd25yZXYueG1sUEsB&#10;AhQAFAAAAAgAh07iQDMvBZ47AAAAOQAAABUAAAAAAAAAAQAgAAAACQEAAGRycy9ncm91cHNoYXBl&#10;eG1sLnhtbFBLBQYAAAAABgAGAGABAADGAwAAAAA=&#10;">
                                  <o:lock v:ext="edit" aspectratio="f"/>
                                  <v:rect id="_x0000_s1026" o:spid="_x0000_s1026" o:spt="1" style="position:absolute;left:5605;top:368237;height:397;width:1801;" filled="f" stroked="t" coordsize="21600,21600" o:gfxdata="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J0MLC8AAAA&#10;2w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textbox>
                                      <w:txbxContent>
                                        <w:p w14:paraId="03098959">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宋体"/>
                                              <w:sz w:val="16"/>
                                              <w:szCs w:val="20"/>
                                              <w:lang w:val="en-US" w:eastAsia="zh-CN"/>
                                            </w:rPr>
                                          </w:pPr>
                                          <w:r>
                                            <w:rPr>
                                              <w:rFonts w:hint="eastAsia"/>
                                              <w:sz w:val="16"/>
                                              <w:szCs w:val="20"/>
                                              <w:lang w:val="en-US" w:eastAsia="zh-CN"/>
                                            </w:rPr>
                                            <w:t>收集：13.44 kg/a</w:t>
                                          </w:r>
                                        </w:p>
                                      </w:txbxContent>
                                    </v:textbox>
                                  </v:rect>
                                  <v:shape id="_x0000_s1026" o:spid="_x0000_s1026" o:spt="34" type="#_x0000_t34" style="position:absolute;left:4231;top:368436;flip:y;height:410;width:1374;" filled="f" stroked="t" coordsize="21600,21600" o:gfxdata="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rCmvbugAAANsA&#10;AAAPAAAAAAAAAAEAIAAAACIAAABkcnMvZG93bnJldi54bWxQSwECFAAUAAAACACHTuJAMy8FnjsA&#10;AAA5AAAAEAAAAAAAAAABACAAAAAJAQAAZHJzL3NoYXBleG1sLnhtbFBLBQYAAAAABgAGAFsBAACz&#10;AwAAAAA=&#10;" adj="2311">
                                    <v:fill on="f" focussize="0,0"/>
                                    <v:stroke color="#000000" joinstyle="round" endarrow="open"/>
                                    <v:imagedata o:title=""/>
                                    <o:lock v:ext="edit" aspectratio="f"/>
                                  </v:shape>
                                  <v:shape id="_x0000_s1026" o:spid="_x0000_s1026" o:spt="34" type="#_x0000_t34" style="position:absolute;left:4388;top:368865;height:491;width:1244;" filled="f" stroked="t" coordsize="21600,21600" o:gfxdata="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QdP4vQAA&#10;ANsAAAAPAAAAAAAAAAEAIAAAACIAAABkcnMvZG93bnJldi54bWxQSwECFAAUAAAACACHTuJAMy8F&#10;njsAAAA5AAAAEAAAAAAAAAABACAAAAAMAQAAZHJzL3NoYXBleG1sLnhtbFBLBQYAAAAABgAGAFsB&#10;AAC2AwAAAAA=&#10;" adj="-52">
                                    <v:fill on="f" focussize="0,0"/>
                                    <v:stroke color="#000000" joinstyle="round" endarrow="open"/>
                                    <v:imagedata o:title=""/>
                                    <o:lock v:ext="edit" aspectratio="f"/>
                                  </v:shape>
                                </v:group>
                              </v:group>
                            </v:group>
                            <v:rect id="_x0000_s1026" o:spid="_x0000_s1026" o:spt="1" style="position:absolute;left:4144;top:368044;height:968;width:1649;" filled="f" stroked="f" coordsize="21600,21600" o:gfxdata="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en7IG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3FB02ACB">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sz w:val="16"/>
                                        <w:szCs w:val="20"/>
                                        <w:lang w:val="en-US" w:eastAsia="zh-CN"/>
                                      </w:rPr>
                                    </w:pPr>
                                    <w:r>
                                      <w:rPr>
                                        <w:rFonts w:hint="eastAsia"/>
                                        <w:sz w:val="16"/>
                                        <w:szCs w:val="20"/>
                                        <w:lang w:val="en-US" w:eastAsia="zh-CN"/>
                                      </w:rPr>
                                      <w:t>废气收集率90%</w:t>
                                    </w:r>
                                  </w:p>
                                  <w:p w14:paraId="43B21F2F">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default" w:eastAsia="宋体"/>
                                        <w:sz w:val="16"/>
                                        <w:szCs w:val="20"/>
                                        <w:lang w:val="en-US" w:eastAsia="zh-CN"/>
                                      </w:rPr>
                                    </w:pPr>
                                    <w:r>
                                      <w:rPr>
                                        <w:rFonts w:hint="eastAsia"/>
                                        <w:sz w:val="16"/>
                                        <w:szCs w:val="20"/>
                                        <w:lang w:val="en-US" w:eastAsia="zh-CN"/>
                                      </w:rPr>
                                      <w:t>有组织排放</w:t>
                                    </w:r>
                                  </w:p>
                                </w:txbxContent>
                              </v:textbox>
                            </v:rect>
                            <v:rect id="_x0000_s1026" o:spid="_x0000_s1026" o:spt="1" style="position:absolute;left:4198;top:369367;height:635;width:1538;" filled="f" stroked="f" coordsize="21600,21600" o:gfxdata="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60ka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0A9DB820">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宋体"/>
                                        <w:sz w:val="16"/>
                                        <w:szCs w:val="20"/>
                                        <w:lang w:val="en-US" w:eastAsia="zh-CN"/>
                                      </w:rPr>
                                    </w:pPr>
                                    <w:r>
                                      <w:rPr>
                                        <w:rFonts w:hint="eastAsia"/>
                                        <w:sz w:val="16"/>
                                        <w:szCs w:val="20"/>
                                        <w:lang w:val="en-US" w:eastAsia="zh-CN"/>
                                      </w:rPr>
                                      <w:t>无组织直接排放</w:t>
                                    </w:r>
                                  </w:p>
                                </w:txbxContent>
                              </v:textbox>
                            </v:rect>
                            <v:rect id="_x0000_s1026" o:spid="_x0000_s1026" o:spt="1" style="position:absolute;left:7287;top:368384;height:635;width:1538;" filled="f" stroked="f" coordsize="21600,21600" o:gfxdata="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AtFu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23A529FE">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宋体"/>
                                        <w:sz w:val="16"/>
                                        <w:szCs w:val="20"/>
                                        <w:lang w:val="en-US" w:eastAsia="zh-CN"/>
                                      </w:rPr>
                                    </w:pPr>
                                    <w:r>
                                      <w:rPr>
                                        <w:rFonts w:hint="eastAsia"/>
                                        <w:sz w:val="16"/>
                                        <w:szCs w:val="20"/>
                                        <w:lang w:val="en-US" w:eastAsia="zh-CN"/>
                                      </w:rPr>
                                      <w:t>活性炭吸附装置去除率80%</w:t>
                                    </w:r>
                                  </w:p>
                                </w:txbxContent>
                              </v:textbox>
                            </v:rect>
                          </v:group>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2904490</wp:posOffset>
                            </wp:positionH>
                            <wp:positionV relativeFrom="paragraph">
                              <wp:posOffset>304165</wp:posOffset>
                            </wp:positionV>
                            <wp:extent cx="863600" cy="3175"/>
                            <wp:effectExtent l="0" t="46355" r="12700" b="64770"/>
                            <wp:wrapNone/>
                            <wp:docPr id="1105" name="直接箭头连接符 28"/>
                            <wp:cNvGraphicFramePr/>
                            <a:graphic xmlns:a="http://schemas.openxmlformats.org/drawingml/2006/main">
                              <a:graphicData uri="http://schemas.microsoft.com/office/word/2010/wordprocessingShape">
                                <wps:wsp>
                                  <wps:cNvCnPr/>
                                  <wps:spPr>
                                    <a:xfrm>
                                      <a:off x="0" y="0"/>
                                      <a:ext cx="863600" cy="3175"/>
                                    </a:xfrm>
                                    <a:prstGeom prst="straightConnector1">
                                      <a:avLst/>
                                    </a:prstGeom>
                                    <a:ln w="9525" cap="flat" cmpd="sng">
                                      <a:solidFill>
                                        <a:srgbClr val="000000"/>
                                      </a:solidFill>
                                      <a:prstDash val="solid"/>
                                      <a:round/>
                                      <a:tailEnd type="arrow" w="med" len="med"/>
                                    </a:ln>
                                  </wps:spPr>
                                  <wps:bodyPr/>
                                </wps:wsp>
                              </a:graphicData>
                            </a:graphic>
                          </wp:anchor>
                        </w:drawing>
                      </mc:Choice>
                      <mc:Fallback>
                        <w:pict>
                          <v:shape id="直接箭头连接符 28" o:spid="_x0000_s1026" o:spt="32" type="#_x0000_t32" style="position:absolute;left:0pt;margin-left:228.7pt;margin-top:23.95pt;height:0.25pt;width:68pt;z-index:251660288;mso-width-relative:page;mso-height-relative:page;" filled="f" stroked="t" coordsize="21600,21600" o:gfxdata="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Y8yWZ2AAAAAkBAAAPAAAAAAAAAAEAIAAAACIAAABkcnMvZG93&#10;bnJldi54bWxQSwECFAAUAAAACACHTuJA/FEmcAACAADTAwAADgAAAAAAAAABACAAAAAnAQAAZHJz&#10;L2Uyb0RvYy54bWxQSwUGAAAAAAYABgBZAQAAmQUAAAAA&#10;">
                            <v:fill on="f" focussize="0,0"/>
                            <v:stroke color="#000000" joinstyle="round" endarrow="open"/>
                            <v:imagedata o:title=""/>
                            <o:lock v:ext="edit" aspectratio="f"/>
                          </v:shape>
                        </w:pict>
                      </mc:Fallback>
                    </mc:AlternateContent>
                  </w:r>
                </w:p>
              </w:tc>
            </w:tr>
          </w:tbl>
          <w:p w14:paraId="5E8D0C82">
            <w:pPr>
              <w:jc w:val="center"/>
              <w:rPr>
                <w:rFonts w:hint="default" w:ascii="Times New Roman" w:hAnsi="Times New Roman" w:eastAsia="宋体" w:cs="Times New Roman"/>
                <w:b/>
                <w:bCs/>
                <w:color w:val="auto"/>
                <w:u w:val="single"/>
                <w:lang w:val="en-US" w:eastAsia="zh-CN"/>
              </w:rPr>
            </w:pPr>
            <w:r>
              <w:rPr>
                <w:rFonts w:hint="default" w:ascii="Times New Roman" w:hAnsi="Times New Roman" w:eastAsia="宋体" w:cs="Times New Roman"/>
                <w:b/>
                <w:bCs/>
                <w:color w:val="auto"/>
                <w:u w:val="single"/>
                <w:lang w:val="en-US" w:eastAsia="zh-CN"/>
              </w:rPr>
              <w:t>表4-2 项目废气产排污情况表</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7"/>
              <w:gridCol w:w="927"/>
              <w:gridCol w:w="2319"/>
              <w:gridCol w:w="852"/>
              <w:gridCol w:w="871"/>
              <w:gridCol w:w="899"/>
              <w:gridCol w:w="1144"/>
            </w:tblGrid>
            <w:tr w14:paraId="08C03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937" w:type="dxa"/>
                  <w:vMerge w:val="restart"/>
                  <w:vAlign w:val="center"/>
                </w:tcPr>
                <w:p w14:paraId="59488952">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污染物</w:t>
                  </w:r>
                </w:p>
              </w:tc>
              <w:tc>
                <w:tcPr>
                  <w:tcW w:w="927" w:type="dxa"/>
                  <w:vMerge w:val="restart"/>
                  <w:vAlign w:val="center"/>
                </w:tcPr>
                <w:p w14:paraId="013AB9D9">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产生量kg/a</w:t>
                  </w:r>
                </w:p>
              </w:tc>
              <w:tc>
                <w:tcPr>
                  <w:tcW w:w="2319" w:type="dxa"/>
                  <w:vMerge w:val="restart"/>
                  <w:vAlign w:val="center"/>
                </w:tcPr>
                <w:p w14:paraId="7C46F3CE">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处理措施</w:t>
                  </w:r>
                </w:p>
              </w:tc>
              <w:tc>
                <w:tcPr>
                  <w:tcW w:w="2622" w:type="dxa"/>
                  <w:gridSpan w:val="3"/>
                  <w:vAlign w:val="center"/>
                </w:tcPr>
                <w:p w14:paraId="3CC849FF">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有组织排放</w:t>
                  </w:r>
                </w:p>
              </w:tc>
              <w:tc>
                <w:tcPr>
                  <w:tcW w:w="1144" w:type="dxa"/>
                  <w:vMerge w:val="restart"/>
                  <w:vAlign w:val="center"/>
                </w:tcPr>
                <w:p w14:paraId="30243C6A">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无组织排放kg/a</w:t>
                  </w:r>
                </w:p>
              </w:tc>
            </w:tr>
            <w:tr w14:paraId="14BC7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937" w:type="dxa"/>
                  <w:vMerge w:val="continue"/>
                  <w:vAlign w:val="center"/>
                </w:tcPr>
                <w:p w14:paraId="3F2EBEF2">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color w:val="auto"/>
                      <w:u w:val="single"/>
                    </w:rPr>
                  </w:pPr>
                </w:p>
              </w:tc>
              <w:tc>
                <w:tcPr>
                  <w:tcW w:w="927" w:type="dxa"/>
                  <w:vMerge w:val="continue"/>
                  <w:vAlign w:val="center"/>
                </w:tcPr>
                <w:p w14:paraId="19B8A8E0">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color w:val="auto"/>
                      <w:u w:val="single"/>
                    </w:rPr>
                  </w:pPr>
                </w:p>
              </w:tc>
              <w:tc>
                <w:tcPr>
                  <w:tcW w:w="2319" w:type="dxa"/>
                  <w:vMerge w:val="continue"/>
                  <w:vAlign w:val="center"/>
                </w:tcPr>
                <w:p w14:paraId="08981AE0">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color w:val="auto"/>
                      <w:u w:val="single"/>
                    </w:rPr>
                  </w:pPr>
                </w:p>
              </w:tc>
              <w:tc>
                <w:tcPr>
                  <w:tcW w:w="852" w:type="dxa"/>
                  <w:vAlign w:val="center"/>
                </w:tcPr>
                <w:p w14:paraId="444F5152">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lang w:val="en-US" w:eastAsia="zh-CN"/>
                    </w:rPr>
                  </w:pPr>
                  <w:r>
                    <w:rPr>
                      <w:rFonts w:hint="default" w:ascii="Times New Roman" w:hAnsi="Times New Roman" w:eastAsia="宋体" w:cs="Times New Roman"/>
                      <w:b w:val="0"/>
                      <w:bCs w:val="0"/>
                      <w:color w:val="auto"/>
                      <w:u w:val="single"/>
                      <w:lang w:val="en-US" w:eastAsia="zh-CN"/>
                    </w:rPr>
                    <w:t>排放量</w:t>
                  </w:r>
                  <w:r>
                    <w:rPr>
                      <w:rFonts w:hint="default" w:ascii="Times New Roman" w:hAnsi="Times New Roman" w:eastAsia="宋体" w:cs="Times New Roman"/>
                      <w:b w:val="0"/>
                      <w:bCs w:val="0"/>
                      <w:color w:val="auto"/>
                      <w:u w:val="single"/>
                      <w:vertAlign w:val="baseline"/>
                      <w:lang w:val="en-US" w:eastAsia="zh-CN"/>
                    </w:rPr>
                    <w:t>kg/a</w:t>
                  </w:r>
                </w:p>
              </w:tc>
              <w:tc>
                <w:tcPr>
                  <w:tcW w:w="871" w:type="dxa"/>
                  <w:vAlign w:val="center"/>
                </w:tcPr>
                <w:p w14:paraId="496E78D2">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lang w:val="en-US" w:eastAsia="zh-CN"/>
                    </w:rPr>
                  </w:pPr>
                  <w:r>
                    <w:rPr>
                      <w:rFonts w:hint="default" w:ascii="Times New Roman" w:hAnsi="Times New Roman" w:eastAsia="宋体" w:cs="Times New Roman"/>
                      <w:b w:val="0"/>
                      <w:bCs w:val="0"/>
                      <w:color w:val="auto"/>
                      <w:u w:val="single"/>
                      <w:lang w:val="en-US" w:eastAsia="zh-CN"/>
                    </w:rPr>
                    <w:t>排放浓度mg</w:t>
                  </w:r>
                  <w:r>
                    <w:rPr>
                      <w:rFonts w:hint="default" w:ascii="Times New Roman" w:hAnsi="Times New Roman" w:eastAsia="宋体" w:cs="Times New Roman"/>
                      <w:b w:val="0"/>
                      <w:bCs w:val="0"/>
                      <w:color w:val="auto"/>
                      <w:u w:val="single"/>
                      <w:vertAlign w:val="baseline"/>
                      <w:lang w:val="en-US" w:eastAsia="zh-CN"/>
                    </w:rPr>
                    <w:t>/m</w:t>
                  </w:r>
                  <w:r>
                    <w:rPr>
                      <w:rFonts w:hint="default" w:ascii="Times New Roman" w:hAnsi="Times New Roman" w:eastAsia="宋体" w:cs="Times New Roman"/>
                      <w:b w:val="0"/>
                      <w:bCs w:val="0"/>
                      <w:color w:val="auto"/>
                      <w:u w:val="single"/>
                      <w:vertAlign w:val="superscript"/>
                      <w:lang w:val="en-US" w:eastAsia="zh-CN"/>
                    </w:rPr>
                    <w:t>3</w:t>
                  </w:r>
                </w:p>
              </w:tc>
              <w:tc>
                <w:tcPr>
                  <w:tcW w:w="899" w:type="dxa"/>
                  <w:vAlign w:val="center"/>
                </w:tcPr>
                <w:p w14:paraId="5E1FDBEA">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lang w:val="en-US" w:eastAsia="zh-CN"/>
                    </w:rPr>
                  </w:pPr>
                  <w:r>
                    <w:rPr>
                      <w:rFonts w:hint="default" w:ascii="Times New Roman" w:hAnsi="Times New Roman" w:eastAsia="宋体" w:cs="Times New Roman"/>
                      <w:b w:val="0"/>
                      <w:bCs w:val="0"/>
                      <w:color w:val="auto"/>
                      <w:u w:val="single"/>
                      <w:lang w:val="en-US" w:eastAsia="zh-CN"/>
                    </w:rPr>
                    <w:t>排放速率</w:t>
                  </w:r>
                  <w:r>
                    <w:rPr>
                      <w:rFonts w:hint="default" w:ascii="Times New Roman" w:hAnsi="Times New Roman" w:eastAsia="宋体" w:cs="Times New Roman"/>
                      <w:b w:val="0"/>
                      <w:bCs w:val="0"/>
                      <w:color w:val="auto"/>
                      <w:u w:val="single"/>
                      <w:vertAlign w:val="baseline"/>
                      <w:lang w:val="en-US" w:eastAsia="zh-CN"/>
                    </w:rPr>
                    <w:t>kg/h</w:t>
                  </w:r>
                </w:p>
              </w:tc>
              <w:tc>
                <w:tcPr>
                  <w:tcW w:w="1144" w:type="dxa"/>
                  <w:vMerge w:val="continue"/>
                  <w:vAlign w:val="center"/>
                </w:tcPr>
                <w:p w14:paraId="641F14C5">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color w:val="auto"/>
                      <w:u w:val="single"/>
                    </w:rPr>
                  </w:pPr>
                </w:p>
              </w:tc>
            </w:tr>
            <w:tr w14:paraId="54237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7" w:type="dxa"/>
                  <w:vAlign w:val="center"/>
                </w:tcPr>
                <w:p w14:paraId="669FD396">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锡及其化合物</w:t>
                  </w:r>
                </w:p>
              </w:tc>
              <w:tc>
                <w:tcPr>
                  <w:tcW w:w="927" w:type="dxa"/>
                  <w:vAlign w:val="center"/>
                </w:tcPr>
                <w:p w14:paraId="276231FE">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14.93</w:t>
                  </w:r>
                </w:p>
              </w:tc>
              <w:tc>
                <w:tcPr>
                  <w:tcW w:w="2319" w:type="dxa"/>
                  <w:vAlign w:val="center"/>
                </w:tcPr>
                <w:p w14:paraId="5F07D0FE">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highlight w:val="none"/>
                      <w:u w:val="single"/>
                      <w:vertAlign w:val="baseline"/>
                      <w:lang w:val="en-US" w:eastAsia="zh-CN"/>
                    </w:rPr>
                    <w:t>焊接设备上方设置集气罩和管道经活性炭吸附处理后引至顶楼排放</w:t>
                  </w:r>
                </w:p>
              </w:tc>
              <w:tc>
                <w:tcPr>
                  <w:tcW w:w="852" w:type="dxa"/>
                  <w:vAlign w:val="center"/>
                </w:tcPr>
                <w:p w14:paraId="451D7CEE">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3.54</w:t>
                  </w:r>
                </w:p>
              </w:tc>
              <w:tc>
                <w:tcPr>
                  <w:tcW w:w="871" w:type="dxa"/>
                  <w:vAlign w:val="center"/>
                </w:tcPr>
                <w:p w14:paraId="05BCB9DD">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0.36</w:t>
                  </w:r>
                </w:p>
              </w:tc>
              <w:tc>
                <w:tcPr>
                  <w:tcW w:w="899" w:type="dxa"/>
                  <w:vAlign w:val="center"/>
                </w:tcPr>
                <w:p w14:paraId="3CF8BAC2">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0.00036</w:t>
                  </w:r>
                </w:p>
              </w:tc>
              <w:tc>
                <w:tcPr>
                  <w:tcW w:w="1144" w:type="dxa"/>
                  <w:vAlign w:val="center"/>
                </w:tcPr>
                <w:p w14:paraId="71AE2B11">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1.49</w:t>
                  </w:r>
                </w:p>
              </w:tc>
            </w:tr>
            <w:tr w14:paraId="105BD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937" w:type="dxa"/>
                  <w:vAlign w:val="center"/>
                </w:tcPr>
                <w:p w14:paraId="0C2BA8DC">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非甲烷总烃</w:t>
                  </w:r>
                </w:p>
              </w:tc>
              <w:tc>
                <w:tcPr>
                  <w:tcW w:w="927" w:type="dxa"/>
                  <w:vAlign w:val="center"/>
                </w:tcPr>
                <w:p w14:paraId="527D371A">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highlight w:val="none"/>
                      <w:u w:val="single"/>
                      <w:vertAlign w:val="baseline"/>
                      <w:lang w:val="en-US" w:eastAsia="zh-CN"/>
                    </w:rPr>
                    <w:t>2531.9</w:t>
                  </w:r>
                </w:p>
              </w:tc>
              <w:tc>
                <w:tcPr>
                  <w:tcW w:w="2319" w:type="dxa"/>
                  <w:vAlign w:val="center"/>
                </w:tcPr>
                <w:p w14:paraId="4F699A68">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三防漆涂覆设备上方设置集气罩</w:t>
                  </w:r>
                  <w:r>
                    <w:rPr>
                      <w:rFonts w:hint="default" w:ascii="Times New Roman" w:hAnsi="Times New Roman" w:eastAsia="宋体" w:cs="Times New Roman"/>
                      <w:b w:val="0"/>
                      <w:bCs w:val="0"/>
                      <w:color w:val="auto"/>
                      <w:highlight w:val="none"/>
                      <w:u w:val="single"/>
                      <w:vertAlign w:val="baseline"/>
                      <w:lang w:val="en-US" w:eastAsia="zh-CN"/>
                    </w:rPr>
                    <w:t>和管道经活性炭吸附处理后引至顶楼排放</w:t>
                  </w:r>
                </w:p>
              </w:tc>
              <w:tc>
                <w:tcPr>
                  <w:tcW w:w="852" w:type="dxa"/>
                  <w:vAlign w:val="center"/>
                </w:tcPr>
                <w:p w14:paraId="1314D9FE">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160</w:t>
                  </w:r>
                </w:p>
              </w:tc>
              <w:tc>
                <w:tcPr>
                  <w:tcW w:w="871" w:type="dxa"/>
                  <w:vAlign w:val="center"/>
                </w:tcPr>
                <w:p w14:paraId="4C287E6C">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21</w:t>
                  </w:r>
                </w:p>
              </w:tc>
              <w:tc>
                <w:tcPr>
                  <w:tcW w:w="899" w:type="dxa"/>
                  <w:vAlign w:val="center"/>
                </w:tcPr>
                <w:p w14:paraId="03BA99C7">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0.021</w:t>
                  </w:r>
                </w:p>
              </w:tc>
              <w:tc>
                <w:tcPr>
                  <w:tcW w:w="1144" w:type="dxa"/>
                  <w:vAlign w:val="center"/>
                </w:tcPr>
                <w:p w14:paraId="51D35CB1">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1880</w:t>
                  </w:r>
                </w:p>
              </w:tc>
            </w:tr>
          </w:tbl>
          <w:p w14:paraId="2A383071">
            <w:pPr>
              <w:keepNext w:val="0"/>
              <w:keepLines w:val="0"/>
              <w:pageBreakBefore w:val="0"/>
              <w:widowControl w:val="0"/>
              <w:kinsoku/>
              <w:wordWrap/>
              <w:overflowPunct/>
              <w:topLinePunct w:val="0"/>
              <w:autoSpaceDE/>
              <w:autoSpaceDN/>
              <w:bidi w:val="0"/>
              <w:adjustRightInd w:val="0"/>
              <w:snapToGrid w:val="0"/>
              <w:spacing w:line="360" w:lineRule="auto"/>
              <w:ind w:leftChars="0" w:firstLine="42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lang w:val="en-US" w:eastAsia="zh-CN"/>
              </w:rPr>
              <w:t>（2）</w:t>
            </w:r>
            <w:r>
              <w:rPr>
                <w:rFonts w:hint="default" w:ascii="Times New Roman" w:hAnsi="Times New Roman" w:eastAsia="宋体" w:cs="Times New Roman"/>
                <w:b w:val="0"/>
                <w:bCs w:val="0"/>
                <w:color w:val="auto"/>
                <w:sz w:val="24"/>
                <w:szCs w:val="32"/>
                <w:lang w:val="en-US" w:eastAsia="zh-CN"/>
              </w:rPr>
              <w:t>废气监测要求</w:t>
            </w:r>
          </w:p>
          <w:p w14:paraId="78D59D76">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根据《排污许可证申请与核发技术规范 电子工业》（HJ 1031-2019），本项目废气排放口均为一般排放口。根据《排污单位自行监测技术指南 总则》（HJ 819-2017）、排污单位自行监测技术指南 电子工业（HJ 1253-2022），本项目废气监测计划见表4-3。</w:t>
            </w:r>
          </w:p>
          <w:p w14:paraId="1F382719">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表4-3 废气监测计划一览表</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1"/>
              <w:gridCol w:w="1622"/>
              <w:gridCol w:w="1347"/>
              <w:gridCol w:w="3299"/>
            </w:tblGrid>
            <w:tr w14:paraId="0C7E9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1" w:type="dxa"/>
                  <w:vAlign w:val="center"/>
                </w:tcPr>
                <w:p w14:paraId="3C22F9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监测点位</w:t>
                  </w:r>
                </w:p>
              </w:tc>
              <w:tc>
                <w:tcPr>
                  <w:tcW w:w="1622" w:type="dxa"/>
                  <w:vAlign w:val="center"/>
                </w:tcPr>
                <w:p w14:paraId="0062521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监测指标</w:t>
                  </w:r>
                </w:p>
              </w:tc>
              <w:tc>
                <w:tcPr>
                  <w:tcW w:w="1347" w:type="dxa"/>
                  <w:vAlign w:val="center"/>
                </w:tcPr>
                <w:p w14:paraId="206170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监测频次</w:t>
                  </w:r>
                </w:p>
              </w:tc>
              <w:tc>
                <w:tcPr>
                  <w:tcW w:w="3299" w:type="dxa"/>
                  <w:vAlign w:val="center"/>
                </w:tcPr>
                <w:p w14:paraId="545B10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执行排放标准</w:t>
                  </w:r>
                </w:p>
              </w:tc>
            </w:tr>
            <w:tr w14:paraId="69160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1" w:type="dxa"/>
                  <w:vAlign w:val="center"/>
                </w:tcPr>
                <w:p w14:paraId="774A74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排气筒DA001#</w:t>
                  </w:r>
                </w:p>
              </w:tc>
              <w:tc>
                <w:tcPr>
                  <w:tcW w:w="1622" w:type="dxa"/>
                  <w:vAlign w:val="center"/>
                </w:tcPr>
                <w:p w14:paraId="7592EF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颗粒物、</w:t>
                  </w:r>
                  <w:r>
                    <w:rPr>
                      <w:rFonts w:hint="default" w:ascii="Times New Roman" w:hAnsi="Times New Roman" w:eastAsia="宋体" w:cs="Times New Roman"/>
                      <w:b w:val="0"/>
                      <w:bCs w:val="0"/>
                      <w:color w:val="auto"/>
                      <w:u w:val="single"/>
                      <w:vertAlign w:val="baseline"/>
                      <w:lang w:val="en-US" w:eastAsia="zh-CN"/>
                    </w:rPr>
                    <w:t>非甲烷总烃</w:t>
                  </w:r>
                  <w:r>
                    <w:rPr>
                      <w:rFonts w:hint="default" w:ascii="Times New Roman" w:hAnsi="Times New Roman" w:eastAsia="宋体" w:cs="Times New Roman"/>
                      <w:b w:val="0"/>
                      <w:bCs w:val="0"/>
                      <w:color w:val="auto"/>
                      <w:vertAlign w:val="baseline"/>
                      <w:lang w:val="en-US" w:eastAsia="zh-CN"/>
                    </w:rPr>
                    <w:t>、锡及其化合物</w:t>
                  </w:r>
                </w:p>
              </w:tc>
              <w:tc>
                <w:tcPr>
                  <w:tcW w:w="1347" w:type="dxa"/>
                  <w:vAlign w:val="center"/>
                </w:tcPr>
                <w:p w14:paraId="7D6516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1次/年</w:t>
                  </w:r>
                </w:p>
              </w:tc>
              <w:tc>
                <w:tcPr>
                  <w:tcW w:w="3299" w:type="dxa"/>
                  <w:vAlign w:val="center"/>
                </w:tcPr>
                <w:p w14:paraId="66F3C5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《大气污染物综合排放标准》（GB16297-1996）</w:t>
                  </w:r>
                  <w:r>
                    <w:rPr>
                      <w:rFonts w:hint="default" w:ascii="Times New Roman" w:hAnsi="Times New Roman" w:eastAsia="宋体" w:cs="Times New Roman"/>
                      <w:color w:val="auto"/>
                      <w:lang w:val="en-US" w:eastAsia="zh-CN"/>
                    </w:rPr>
                    <w:t>二级标准</w:t>
                  </w:r>
                </w:p>
              </w:tc>
            </w:tr>
            <w:tr w14:paraId="31E21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1681" w:type="dxa"/>
                  <w:vMerge w:val="restart"/>
                  <w:vAlign w:val="center"/>
                </w:tcPr>
                <w:p w14:paraId="6A2402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yellow"/>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厂界外下风向浓度最高点</w:t>
                  </w:r>
                </w:p>
              </w:tc>
              <w:tc>
                <w:tcPr>
                  <w:tcW w:w="1622" w:type="dxa"/>
                  <w:vAlign w:val="center"/>
                </w:tcPr>
                <w:p w14:paraId="58ED64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非甲烷总烃</w:t>
                  </w:r>
                </w:p>
              </w:tc>
              <w:tc>
                <w:tcPr>
                  <w:tcW w:w="1347" w:type="dxa"/>
                  <w:vAlign w:val="center"/>
                </w:tcPr>
                <w:p w14:paraId="298B84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1次/年</w:t>
                  </w:r>
                </w:p>
              </w:tc>
              <w:tc>
                <w:tcPr>
                  <w:tcW w:w="3299" w:type="dxa"/>
                  <w:vMerge w:val="restart"/>
                  <w:vAlign w:val="center"/>
                </w:tcPr>
                <w:p w14:paraId="5FABC02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lang w:val="en-US" w:eastAsia="zh-CN"/>
                    </w:rPr>
                    <w:t>《大气污染物综合排放标准》（GB16297-1996）</w:t>
                  </w:r>
                </w:p>
              </w:tc>
            </w:tr>
            <w:tr w14:paraId="4AF52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681" w:type="dxa"/>
                  <w:vMerge w:val="continue"/>
                  <w:vAlign w:val="center"/>
                </w:tcPr>
                <w:p w14:paraId="36D8F17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1622" w:type="dxa"/>
                  <w:vAlign w:val="center"/>
                </w:tcPr>
                <w:p w14:paraId="657C8D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颗粒物</w:t>
                  </w:r>
                </w:p>
              </w:tc>
              <w:tc>
                <w:tcPr>
                  <w:tcW w:w="1347" w:type="dxa"/>
                  <w:vAlign w:val="center"/>
                </w:tcPr>
                <w:p w14:paraId="5AEAD9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1次/年</w:t>
                  </w:r>
                </w:p>
              </w:tc>
              <w:tc>
                <w:tcPr>
                  <w:tcW w:w="3299" w:type="dxa"/>
                  <w:vMerge w:val="continue"/>
                  <w:vAlign w:val="center"/>
                </w:tcPr>
                <w:p w14:paraId="6EC353A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r>
            <w:tr w14:paraId="60AF6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681" w:type="dxa"/>
                  <w:vMerge w:val="continue"/>
                  <w:vAlign w:val="center"/>
                </w:tcPr>
                <w:p w14:paraId="50F070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1622" w:type="dxa"/>
                  <w:vAlign w:val="center"/>
                </w:tcPr>
                <w:p w14:paraId="2E95628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二氯甲烷</w:t>
                  </w:r>
                </w:p>
              </w:tc>
              <w:tc>
                <w:tcPr>
                  <w:tcW w:w="1347" w:type="dxa"/>
                  <w:vAlign w:val="center"/>
                </w:tcPr>
                <w:p w14:paraId="7745FE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1次/年</w:t>
                  </w:r>
                </w:p>
              </w:tc>
              <w:tc>
                <w:tcPr>
                  <w:tcW w:w="3299" w:type="dxa"/>
                  <w:vMerge w:val="continue"/>
                  <w:vAlign w:val="center"/>
                </w:tcPr>
                <w:p w14:paraId="0FCA5C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r>
          </w:tbl>
          <w:p w14:paraId="337A8EA5">
            <w:pPr>
              <w:keepNext w:val="0"/>
              <w:keepLines w:val="0"/>
              <w:pageBreakBefore w:val="0"/>
              <w:widowControl w:val="0"/>
              <w:kinsoku/>
              <w:wordWrap/>
              <w:overflowPunct/>
              <w:topLinePunct w:val="0"/>
              <w:autoSpaceDE/>
              <w:autoSpaceDN/>
              <w:bidi w:val="0"/>
              <w:adjustRightInd w:val="0"/>
              <w:snapToGrid w:val="0"/>
              <w:spacing w:line="400" w:lineRule="exact"/>
              <w:ind w:firstLine="420" w:firstLineChars="200"/>
              <w:textAlignment w:val="auto"/>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val="0"/>
                <w:bCs w:val="0"/>
                <w:color w:val="auto"/>
                <w:lang w:val="en-US" w:eastAsia="zh-CN"/>
              </w:rPr>
              <w:t>备注：*本项目主要生产区集中在1#厂房内，厂界即厂房边界。</w:t>
            </w:r>
          </w:p>
          <w:p w14:paraId="1FDA81BB">
            <w:pPr>
              <w:keepNext w:val="0"/>
              <w:keepLines w:val="0"/>
              <w:pageBreakBefore w:val="0"/>
              <w:widowControl w:val="0"/>
              <w:numPr>
                <w:ilvl w:val="0"/>
                <w:numId w:val="10"/>
              </w:numPr>
              <w:kinsoku/>
              <w:wordWrap/>
              <w:overflowPunct/>
              <w:topLinePunct w:val="0"/>
              <w:autoSpaceDE/>
              <w:autoSpaceDN/>
              <w:bidi w:val="0"/>
              <w:adjustRightInd/>
              <w:snapToGrid/>
              <w:spacing w:before="157" w:beforeLines="50" w:line="360" w:lineRule="auto"/>
              <w:ind w:firstLine="482" w:firstLineChars="200"/>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eastAsia="宋体" w:cs="Times New Roman"/>
                <w:b/>
                <w:bCs/>
                <w:color w:val="auto"/>
                <w:sz w:val="24"/>
                <w:szCs w:val="32"/>
                <w:lang w:val="en-US" w:eastAsia="zh-CN"/>
              </w:rPr>
              <w:t>废水</w:t>
            </w:r>
          </w:p>
          <w:p w14:paraId="474DCA05">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（1）项目水污染物产生情况</w:t>
            </w:r>
          </w:p>
          <w:p w14:paraId="230D1CD5">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本项目生产过程无工艺废水产生和排放，车间保洁采用吸尘器干式清扫，废水主要为生活污水。</w:t>
            </w:r>
          </w:p>
          <w:p w14:paraId="52F8E08E">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生活污水产生量18.144m</w:t>
            </w:r>
            <w:r>
              <w:rPr>
                <w:rFonts w:hint="default" w:ascii="Times New Roman" w:hAnsi="Times New Roman" w:eastAsia="宋体" w:cs="Times New Roman"/>
                <w:b w:val="0"/>
                <w:bCs w:val="0"/>
                <w:color w:val="auto"/>
                <w:sz w:val="24"/>
                <w:szCs w:val="32"/>
                <w:vertAlign w:val="superscript"/>
                <w:lang w:val="en-US" w:eastAsia="zh-CN"/>
              </w:rPr>
              <w:t>3</w:t>
            </w:r>
            <w:r>
              <w:rPr>
                <w:rFonts w:hint="default" w:ascii="Times New Roman" w:hAnsi="Times New Roman" w:eastAsia="宋体" w:cs="Times New Roman"/>
                <w:b w:val="0"/>
                <w:bCs w:val="0"/>
                <w:color w:val="auto"/>
                <w:sz w:val="24"/>
                <w:szCs w:val="32"/>
                <w:lang w:val="en-US" w:eastAsia="zh-CN"/>
              </w:rPr>
              <w:t>/d（</w:t>
            </w:r>
            <w:r>
              <w:rPr>
                <w:rFonts w:hint="default" w:ascii="Times New Roman" w:hAnsi="Times New Roman" w:eastAsia="宋体" w:cs="Times New Roman"/>
                <w:color w:val="auto"/>
                <w:sz w:val="24"/>
                <w:szCs w:val="32"/>
                <w:highlight w:val="none"/>
                <w:lang w:val="en-US" w:eastAsia="zh-CN"/>
              </w:rPr>
              <w:t>5660.93</w:t>
            </w:r>
            <w:r>
              <w:rPr>
                <w:rFonts w:hint="default" w:ascii="Times New Roman" w:hAnsi="Times New Roman" w:eastAsia="宋体" w:cs="Times New Roman"/>
                <w:b w:val="0"/>
                <w:bCs w:val="0"/>
                <w:color w:val="auto"/>
                <w:sz w:val="24"/>
                <w:szCs w:val="32"/>
                <w:lang w:val="en-US" w:eastAsia="zh-CN"/>
              </w:rPr>
              <w:t>m</w:t>
            </w:r>
            <w:r>
              <w:rPr>
                <w:rFonts w:hint="default" w:ascii="Times New Roman" w:hAnsi="Times New Roman" w:eastAsia="宋体" w:cs="Times New Roman"/>
                <w:b w:val="0"/>
                <w:bCs w:val="0"/>
                <w:color w:val="auto"/>
                <w:sz w:val="24"/>
                <w:szCs w:val="32"/>
                <w:vertAlign w:val="superscript"/>
                <w:lang w:val="en-US" w:eastAsia="zh-CN"/>
              </w:rPr>
              <w:t>3</w:t>
            </w:r>
            <w:r>
              <w:rPr>
                <w:rFonts w:hint="default" w:ascii="Times New Roman" w:hAnsi="Times New Roman" w:eastAsia="宋体" w:cs="Times New Roman"/>
                <w:b w:val="0"/>
                <w:bCs w:val="0"/>
                <w:color w:val="auto"/>
                <w:sz w:val="24"/>
                <w:szCs w:val="32"/>
                <w:lang w:val="en-US" w:eastAsia="zh-CN"/>
              </w:rPr>
              <w:t>/a），类比同类工程，主要污染物产生源强为 COD：350mg/L、BOD</w:t>
            </w:r>
            <w:r>
              <w:rPr>
                <w:rFonts w:hint="default" w:ascii="Times New Roman" w:hAnsi="Times New Roman" w:eastAsia="宋体" w:cs="Times New Roman"/>
                <w:b w:val="0"/>
                <w:bCs w:val="0"/>
                <w:color w:val="auto"/>
                <w:sz w:val="24"/>
                <w:szCs w:val="32"/>
                <w:vertAlign w:val="subscript"/>
                <w:lang w:val="en-US" w:eastAsia="zh-CN"/>
              </w:rPr>
              <w:t>5</w:t>
            </w:r>
            <w:r>
              <w:rPr>
                <w:rFonts w:hint="default" w:ascii="Times New Roman" w:hAnsi="Times New Roman" w:eastAsia="宋体" w:cs="Times New Roman"/>
                <w:b w:val="0"/>
                <w:bCs w:val="0"/>
                <w:color w:val="auto"/>
                <w:sz w:val="24"/>
                <w:szCs w:val="32"/>
                <w:lang w:val="en-US" w:eastAsia="zh-CN"/>
              </w:rPr>
              <w:t>：200mg/L、SS：250mg/L、NH</w:t>
            </w:r>
            <w:r>
              <w:rPr>
                <w:rFonts w:hint="default" w:ascii="Times New Roman" w:hAnsi="Times New Roman" w:eastAsia="宋体" w:cs="Times New Roman"/>
                <w:b w:val="0"/>
                <w:bCs w:val="0"/>
                <w:color w:val="auto"/>
                <w:sz w:val="24"/>
                <w:szCs w:val="32"/>
                <w:vertAlign w:val="subscript"/>
                <w:lang w:val="en-US" w:eastAsia="zh-CN"/>
              </w:rPr>
              <w:t>3</w:t>
            </w:r>
            <w:r>
              <w:rPr>
                <w:rFonts w:hint="default" w:ascii="Times New Roman" w:hAnsi="Times New Roman" w:eastAsia="宋体" w:cs="Times New Roman"/>
                <w:b w:val="0"/>
                <w:bCs w:val="0"/>
                <w:color w:val="auto"/>
                <w:sz w:val="24"/>
                <w:szCs w:val="32"/>
                <w:lang w:val="en-US" w:eastAsia="zh-CN"/>
              </w:rPr>
              <w:t>-N：30mg/L。</w:t>
            </w:r>
          </w:p>
          <w:p w14:paraId="7C054D0F">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生活污水经化粪池预处理后达到《污水综合排放标准》（GB8978-1996）中三级排放标准后通过园区污水管网，排入铜桥港污水处理厂进一步处理。</w:t>
            </w:r>
          </w:p>
          <w:p w14:paraId="4F05F269">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（2）废水治理措施</w:t>
            </w:r>
          </w:p>
          <w:p w14:paraId="64213E80">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本项目建成后全厂废水污染物产排情况见表4-4。</w:t>
            </w:r>
          </w:p>
          <w:p w14:paraId="36764A6D">
            <w:pPr>
              <w:pStyle w:val="2"/>
              <w:spacing w:line="240" w:lineRule="auto"/>
              <w:ind w:left="0" w:leftChars="0" w:firstLine="0" w:firstLineChars="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表4-4 废水污染物产排污情况一览表</w:t>
            </w:r>
          </w:p>
          <w:tbl>
            <w:tblPr>
              <w:tblStyle w:val="18"/>
              <w:tblW w:w="7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9"/>
              <w:gridCol w:w="1035"/>
              <w:gridCol w:w="1080"/>
              <w:gridCol w:w="945"/>
              <w:gridCol w:w="1596"/>
              <w:gridCol w:w="1135"/>
              <w:gridCol w:w="1136"/>
            </w:tblGrid>
            <w:tr w14:paraId="3E1F7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19" w:type="dxa"/>
                  <w:vAlign w:val="center"/>
                </w:tcPr>
                <w:p w14:paraId="06D80F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污染源</w:t>
                  </w:r>
                </w:p>
              </w:tc>
              <w:tc>
                <w:tcPr>
                  <w:tcW w:w="1035" w:type="dxa"/>
                  <w:vAlign w:val="center"/>
                </w:tcPr>
                <w:p w14:paraId="3BACA2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污染物</w:t>
                  </w:r>
                </w:p>
              </w:tc>
              <w:tc>
                <w:tcPr>
                  <w:tcW w:w="1080" w:type="dxa"/>
                  <w:vAlign w:val="center"/>
                </w:tcPr>
                <w:p w14:paraId="1BA32D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产生浓度（mg/L)</w:t>
                  </w:r>
                </w:p>
              </w:tc>
              <w:tc>
                <w:tcPr>
                  <w:tcW w:w="945" w:type="dxa"/>
                  <w:vAlign w:val="center"/>
                </w:tcPr>
                <w:p w14:paraId="372999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产生量（t/a）</w:t>
                  </w:r>
                </w:p>
              </w:tc>
              <w:tc>
                <w:tcPr>
                  <w:tcW w:w="1596" w:type="dxa"/>
                  <w:vAlign w:val="center"/>
                </w:tcPr>
                <w:p w14:paraId="79FE71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处理工艺</w:t>
                  </w:r>
                </w:p>
              </w:tc>
              <w:tc>
                <w:tcPr>
                  <w:tcW w:w="1135" w:type="dxa"/>
                  <w:vAlign w:val="center"/>
                </w:tcPr>
                <w:p w14:paraId="6D5E9B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排放浓度（mg/L)</w:t>
                  </w:r>
                </w:p>
              </w:tc>
              <w:tc>
                <w:tcPr>
                  <w:tcW w:w="1136" w:type="dxa"/>
                  <w:vAlign w:val="center"/>
                </w:tcPr>
                <w:p w14:paraId="3F02D92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排放量（t/a）</w:t>
                  </w:r>
                </w:p>
              </w:tc>
            </w:tr>
            <w:tr w14:paraId="36F5B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19" w:type="dxa"/>
                  <w:vMerge w:val="restart"/>
                  <w:vAlign w:val="center"/>
                </w:tcPr>
                <w:p w14:paraId="3D3EBA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生活污水</w:t>
                  </w:r>
                </w:p>
              </w:tc>
              <w:tc>
                <w:tcPr>
                  <w:tcW w:w="1035" w:type="dxa"/>
                  <w:vAlign w:val="center"/>
                </w:tcPr>
                <w:p w14:paraId="72AED2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废水量</w:t>
                  </w:r>
                </w:p>
              </w:tc>
              <w:tc>
                <w:tcPr>
                  <w:tcW w:w="1080" w:type="dxa"/>
                  <w:vAlign w:val="center"/>
                </w:tcPr>
                <w:p w14:paraId="6B5A2E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w:t>
                  </w:r>
                </w:p>
              </w:tc>
              <w:tc>
                <w:tcPr>
                  <w:tcW w:w="945" w:type="dxa"/>
                  <w:vAlign w:val="center"/>
                </w:tcPr>
                <w:p w14:paraId="4DE332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5660.93</w:t>
                  </w:r>
                </w:p>
              </w:tc>
              <w:tc>
                <w:tcPr>
                  <w:tcW w:w="1596" w:type="dxa"/>
                  <w:vMerge w:val="restart"/>
                  <w:vAlign w:val="center"/>
                </w:tcPr>
                <w:p w14:paraId="552BB1A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color w:val="auto"/>
                    </w:rPr>
                    <w:t>生活污水经化粪池处理后统一通过园区污水管网，排入铜桥港污水处理厂进一步处理。</w:t>
                  </w:r>
                </w:p>
              </w:tc>
              <w:tc>
                <w:tcPr>
                  <w:tcW w:w="1135" w:type="dxa"/>
                  <w:vAlign w:val="center"/>
                </w:tcPr>
                <w:p w14:paraId="5D46F8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w:t>
                  </w:r>
                </w:p>
              </w:tc>
              <w:tc>
                <w:tcPr>
                  <w:tcW w:w="1136" w:type="dxa"/>
                  <w:vAlign w:val="center"/>
                </w:tcPr>
                <w:p w14:paraId="0D7D07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5660.93</w:t>
                  </w:r>
                </w:p>
              </w:tc>
            </w:tr>
            <w:tr w14:paraId="7A0B4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19" w:type="dxa"/>
                  <w:vMerge w:val="continue"/>
                  <w:vAlign w:val="center"/>
                </w:tcPr>
                <w:p w14:paraId="49E1E3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1035" w:type="dxa"/>
                  <w:vAlign w:val="center"/>
                </w:tcPr>
                <w:p w14:paraId="227596B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COD</w:t>
                  </w:r>
                  <w:r>
                    <w:rPr>
                      <w:rFonts w:hint="default" w:ascii="Times New Roman" w:hAnsi="Times New Roman" w:eastAsia="宋体" w:cs="Times New Roman"/>
                      <w:b w:val="0"/>
                      <w:bCs w:val="0"/>
                      <w:color w:val="auto"/>
                      <w:vertAlign w:val="subscript"/>
                      <w:lang w:val="en-US" w:eastAsia="zh-CN"/>
                    </w:rPr>
                    <w:t>Cr</w:t>
                  </w:r>
                </w:p>
              </w:tc>
              <w:tc>
                <w:tcPr>
                  <w:tcW w:w="1080" w:type="dxa"/>
                  <w:vAlign w:val="center"/>
                </w:tcPr>
                <w:p w14:paraId="46FFDB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350</w:t>
                  </w:r>
                </w:p>
              </w:tc>
              <w:tc>
                <w:tcPr>
                  <w:tcW w:w="945" w:type="dxa"/>
                  <w:vAlign w:val="center"/>
                </w:tcPr>
                <w:p w14:paraId="12B1AB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1.98</w:t>
                  </w:r>
                </w:p>
              </w:tc>
              <w:tc>
                <w:tcPr>
                  <w:tcW w:w="1596" w:type="dxa"/>
                  <w:vMerge w:val="continue"/>
                  <w:vAlign w:val="center"/>
                </w:tcPr>
                <w:p w14:paraId="6789D4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1135" w:type="dxa"/>
                  <w:vAlign w:val="center"/>
                </w:tcPr>
                <w:p w14:paraId="5E0A53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150</w:t>
                  </w:r>
                </w:p>
              </w:tc>
              <w:tc>
                <w:tcPr>
                  <w:tcW w:w="1136" w:type="dxa"/>
                  <w:vAlign w:val="center"/>
                </w:tcPr>
                <w:p w14:paraId="47A6D5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0.85</w:t>
                  </w:r>
                </w:p>
              </w:tc>
            </w:tr>
            <w:tr w14:paraId="2F952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19" w:type="dxa"/>
                  <w:vMerge w:val="continue"/>
                  <w:vAlign w:val="center"/>
                </w:tcPr>
                <w:p w14:paraId="0FF4E1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1035" w:type="dxa"/>
                  <w:vAlign w:val="center"/>
                </w:tcPr>
                <w:p w14:paraId="36A623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BOD</w:t>
                  </w:r>
                  <w:r>
                    <w:rPr>
                      <w:rFonts w:hint="default" w:ascii="Times New Roman" w:hAnsi="Times New Roman" w:eastAsia="宋体" w:cs="Times New Roman"/>
                      <w:b w:val="0"/>
                      <w:bCs w:val="0"/>
                      <w:color w:val="auto"/>
                      <w:vertAlign w:val="subscript"/>
                      <w:lang w:val="en-US" w:eastAsia="zh-CN"/>
                    </w:rPr>
                    <w:t>5</w:t>
                  </w:r>
                </w:p>
              </w:tc>
              <w:tc>
                <w:tcPr>
                  <w:tcW w:w="1080" w:type="dxa"/>
                  <w:vAlign w:val="center"/>
                </w:tcPr>
                <w:p w14:paraId="7F3081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200</w:t>
                  </w:r>
                </w:p>
              </w:tc>
              <w:tc>
                <w:tcPr>
                  <w:tcW w:w="945" w:type="dxa"/>
                  <w:vAlign w:val="center"/>
                </w:tcPr>
                <w:p w14:paraId="6BE6AD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1.13</w:t>
                  </w:r>
                </w:p>
              </w:tc>
              <w:tc>
                <w:tcPr>
                  <w:tcW w:w="1596" w:type="dxa"/>
                  <w:vMerge w:val="continue"/>
                  <w:vAlign w:val="center"/>
                </w:tcPr>
                <w:p w14:paraId="6B1382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1135" w:type="dxa"/>
                  <w:vAlign w:val="center"/>
                </w:tcPr>
                <w:p w14:paraId="46D5A2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176</w:t>
                  </w:r>
                </w:p>
              </w:tc>
              <w:tc>
                <w:tcPr>
                  <w:tcW w:w="1136" w:type="dxa"/>
                  <w:vAlign w:val="center"/>
                </w:tcPr>
                <w:p w14:paraId="0788CD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1.00</w:t>
                  </w:r>
                </w:p>
              </w:tc>
            </w:tr>
            <w:tr w14:paraId="109F7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19" w:type="dxa"/>
                  <w:vMerge w:val="continue"/>
                  <w:vAlign w:val="center"/>
                </w:tcPr>
                <w:p w14:paraId="31A28E7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1035" w:type="dxa"/>
                  <w:vAlign w:val="center"/>
                </w:tcPr>
                <w:p w14:paraId="683851D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氨氮</w:t>
                  </w:r>
                </w:p>
              </w:tc>
              <w:tc>
                <w:tcPr>
                  <w:tcW w:w="1080" w:type="dxa"/>
                  <w:vAlign w:val="center"/>
                </w:tcPr>
                <w:p w14:paraId="0ED11F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30</w:t>
                  </w:r>
                </w:p>
              </w:tc>
              <w:tc>
                <w:tcPr>
                  <w:tcW w:w="945" w:type="dxa"/>
                  <w:vAlign w:val="center"/>
                </w:tcPr>
                <w:p w14:paraId="16F0C8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0.17</w:t>
                  </w:r>
                </w:p>
              </w:tc>
              <w:tc>
                <w:tcPr>
                  <w:tcW w:w="1596" w:type="dxa"/>
                  <w:vMerge w:val="continue"/>
                  <w:vAlign w:val="center"/>
                </w:tcPr>
                <w:p w14:paraId="178302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1135" w:type="dxa"/>
                  <w:vAlign w:val="center"/>
                </w:tcPr>
                <w:p w14:paraId="1A49F1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30</w:t>
                  </w:r>
                </w:p>
              </w:tc>
              <w:tc>
                <w:tcPr>
                  <w:tcW w:w="1136" w:type="dxa"/>
                  <w:vAlign w:val="center"/>
                </w:tcPr>
                <w:p w14:paraId="3CC280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0.17</w:t>
                  </w:r>
                </w:p>
              </w:tc>
            </w:tr>
            <w:tr w14:paraId="5C45E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19" w:type="dxa"/>
                  <w:vMerge w:val="continue"/>
                  <w:vAlign w:val="center"/>
                </w:tcPr>
                <w:p w14:paraId="685DFA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1035" w:type="dxa"/>
                  <w:vAlign w:val="center"/>
                </w:tcPr>
                <w:p w14:paraId="698C75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SS</w:t>
                  </w:r>
                </w:p>
              </w:tc>
              <w:tc>
                <w:tcPr>
                  <w:tcW w:w="1080" w:type="dxa"/>
                  <w:vAlign w:val="center"/>
                </w:tcPr>
                <w:p w14:paraId="5292DD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250</w:t>
                  </w:r>
                </w:p>
              </w:tc>
              <w:tc>
                <w:tcPr>
                  <w:tcW w:w="945" w:type="dxa"/>
                  <w:vAlign w:val="center"/>
                </w:tcPr>
                <w:p w14:paraId="526623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1.42</w:t>
                  </w:r>
                </w:p>
              </w:tc>
              <w:tc>
                <w:tcPr>
                  <w:tcW w:w="1596" w:type="dxa"/>
                  <w:vMerge w:val="continue"/>
                  <w:vAlign w:val="center"/>
                </w:tcPr>
                <w:p w14:paraId="044039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1135" w:type="dxa"/>
                  <w:vAlign w:val="center"/>
                </w:tcPr>
                <w:p w14:paraId="287B5D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140</w:t>
                  </w:r>
                </w:p>
              </w:tc>
              <w:tc>
                <w:tcPr>
                  <w:tcW w:w="1136" w:type="dxa"/>
                  <w:vAlign w:val="center"/>
                </w:tcPr>
                <w:p w14:paraId="35C63B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0.79</w:t>
                  </w:r>
                </w:p>
              </w:tc>
            </w:tr>
          </w:tbl>
          <w:p w14:paraId="63179A74">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由上表可知，本项目建成后全厂外排综合废水满足《污水综合排放标准》（GB8978-1996）中三级标准，符合铜桥港污水处理厂进水水质要求。</w:t>
            </w:r>
          </w:p>
          <w:p w14:paraId="7E3B0EA6">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（3）污水排放口基本情况</w:t>
            </w:r>
          </w:p>
          <w:p w14:paraId="5BAE5AF6">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项目生活污水经化粪池预处理后统一通过园区污水管网，排入铜桥港污水处理厂进一步处理，为间接排放，排放口基本情况见表4-5。</w:t>
            </w:r>
          </w:p>
          <w:p w14:paraId="221B38C4">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表4-5 废水间接排放口基本情况表</w:t>
            </w:r>
          </w:p>
          <w:tbl>
            <w:tblPr>
              <w:tblStyle w:val="18"/>
              <w:tblW w:w="7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7"/>
              <w:gridCol w:w="472"/>
              <w:gridCol w:w="1095"/>
              <w:gridCol w:w="4812"/>
            </w:tblGrid>
            <w:tr w14:paraId="08FC7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gridSpan w:val="3"/>
                  <w:vAlign w:val="center"/>
                </w:tcPr>
                <w:p w14:paraId="3C10FEDE">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排放口名称</w:t>
                  </w:r>
                </w:p>
              </w:tc>
              <w:tc>
                <w:tcPr>
                  <w:tcW w:w="4812" w:type="dxa"/>
                  <w:vAlign w:val="center"/>
                </w:tcPr>
                <w:p w14:paraId="0C7DFDDB">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污水排放口</w:t>
                  </w:r>
                </w:p>
              </w:tc>
            </w:tr>
            <w:tr w14:paraId="203F5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gridSpan w:val="3"/>
                  <w:vAlign w:val="center"/>
                </w:tcPr>
                <w:p w14:paraId="25916C71">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排放口编号</w:t>
                  </w:r>
                </w:p>
              </w:tc>
              <w:tc>
                <w:tcPr>
                  <w:tcW w:w="4812" w:type="dxa"/>
                  <w:vAlign w:val="center"/>
                </w:tcPr>
                <w:p w14:paraId="6D856D0B">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DW001</w:t>
                  </w:r>
                </w:p>
              </w:tc>
            </w:tr>
            <w:tr w14:paraId="2C76D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9" w:type="dxa"/>
                  <w:gridSpan w:val="2"/>
                  <w:vMerge w:val="restart"/>
                  <w:vAlign w:val="center"/>
                </w:tcPr>
                <w:p w14:paraId="21E6E08C">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排放口地理坐标</w:t>
                  </w:r>
                </w:p>
              </w:tc>
              <w:tc>
                <w:tcPr>
                  <w:tcW w:w="1095" w:type="dxa"/>
                  <w:vAlign w:val="center"/>
                </w:tcPr>
                <w:p w14:paraId="14B5736E">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经度</w:t>
                  </w:r>
                </w:p>
              </w:tc>
              <w:tc>
                <w:tcPr>
                  <w:tcW w:w="4812" w:type="dxa"/>
                  <w:vAlign w:val="center"/>
                </w:tcPr>
                <w:p w14:paraId="61F17CC3">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112°33′49.75154″</w:t>
                  </w:r>
                </w:p>
              </w:tc>
            </w:tr>
            <w:tr w14:paraId="167E5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9" w:type="dxa"/>
                  <w:gridSpan w:val="2"/>
                  <w:vMerge w:val="continue"/>
                  <w:vAlign w:val="center"/>
                </w:tcPr>
                <w:p w14:paraId="7FD54F42">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p>
              </w:tc>
              <w:tc>
                <w:tcPr>
                  <w:tcW w:w="1095" w:type="dxa"/>
                  <w:vAlign w:val="center"/>
                </w:tcPr>
                <w:p w14:paraId="530E780A">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纬度</w:t>
                  </w:r>
                </w:p>
              </w:tc>
              <w:tc>
                <w:tcPr>
                  <w:tcW w:w="4812" w:type="dxa"/>
                  <w:vAlign w:val="center"/>
                </w:tcPr>
                <w:p w14:paraId="6D90C764">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26°49′4.64443″</w:t>
                  </w:r>
                </w:p>
              </w:tc>
            </w:tr>
            <w:tr w14:paraId="6118E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gridSpan w:val="3"/>
                  <w:vAlign w:val="center"/>
                </w:tcPr>
                <w:p w14:paraId="428D7310">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color w:val="auto"/>
                    </w:rPr>
                    <w:t>废水排放量（m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/a）</w:t>
                  </w:r>
                </w:p>
              </w:tc>
              <w:tc>
                <w:tcPr>
                  <w:tcW w:w="4812" w:type="dxa"/>
                  <w:vAlign w:val="center"/>
                </w:tcPr>
                <w:p w14:paraId="5B668DFB">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5660.93</w:t>
                  </w:r>
                </w:p>
              </w:tc>
            </w:tr>
            <w:tr w14:paraId="287E1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gridSpan w:val="3"/>
                  <w:vAlign w:val="center"/>
                </w:tcPr>
                <w:p w14:paraId="42625175">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排放去向</w:t>
                  </w:r>
                </w:p>
              </w:tc>
              <w:tc>
                <w:tcPr>
                  <w:tcW w:w="4812" w:type="dxa"/>
                  <w:vAlign w:val="center"/>
                </w:tcPr>
                <w:p w14:paraId="5889D103">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通过园区污水管网，进入铜桥港污水处理厂</w:t>
                  </w:r>
                </w:p>
              </w:tc>
            </w:tr>
            <w:tr w14:paraId="31772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gridSpan w:val="3"/>
                  <w:vAlign w:val="center"/>
                </w:tcPr>
                <w:p w14:paraId="6707AFE5">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排放规律</w:t>
                  </w:r>
                </w:p>
              </w:tc>
              <w:tc>
                <w:tcPr>
                  <w:tcW w:w="4812" w:type="dxa"/>
                  <w:vAlign w:val="center"/>
                </w:tcPr>
                <w:p w14:paraId="2E5C7AF7">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间断排放，排放期间流量不稳定且无规律，但不属于冲击型排放</w:t>
                  </w:r>
                </w:p>
              </w:tc>
            </w:tr>
            <w:tr w14:paraId="1E682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gridSpan w:val="3"/>
                  <w:vAlign w:val="center"/>
                </w:tcPr>
                <w:p w14:paraId="44AA9D53">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排放口类型</w:t>
                  </w:r>
                </w:p>
              </w:tc>
              <w:tc>
                <w:tcPr>
                  <w:tcW w:w="4812" w:type="dxa"/>
                  <w:vAlign w:val="center"/>
                </w:tcPr>
                <w:p w14:paraId="7331A023">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一般排放口</w:t>
                  </w:r>
                </w:p>
              </w:tc>
            </w:tr>
            <w:tr w14:paraId="56089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vMerge w:val="restart"/>
                  <w:vAlign w:val="center"/>
                </w:tcPr>
                <w:p w14:paraId="57655989">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受纳污水处理厂信息</w:t>
                  </w:r>
                </w:p>
              </w:tc>
              <w:tc>
                <w:tcPr>
                  <w:tcW w:w="1567" w:type="dxa"/>
                  <w:gridSpan w:val="2"/>
                  <w:vAlign w:val="center"/>
                </w:tcPr>
                <w:p w14:paraId="48837002">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名称</w:t>
                  </w:r>
                </w:p>
              </w:tc>
              <w:tc>
                <w:tcPr>
                  <w:tcW w:w="4812" w:type="dxa"/>
                  <w:vAlign w:val="center"/>
                </w:tcPr>
                <w:p w14:paraId="03953D07">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铜桥港污水处理厂</w:t>
                  </w:r>
                </w:p>
              </w:tc>
            </w:tr>
            <w:tr w14:paraId="127C2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vMerge w:val="continue"/>
                  <w:vAlign w:val="center"/>
                </w:tcPr>
                <w:p w14:paraId="3B63A12F">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p>
              </w:tc>
              <w:tc>
                <w:tcPr>
                  <w:tcW w:w="1567" w:type="dxa"/>
                  <w:gridSpan w:val="2"/>
                  <w:vAlign w:val="center"/>
                </w:tcPr>
                <w:p w14:paraId="73D84494">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污染物种类</w:t>
                  </w:r>
                </w:p>
              </w:tc>
              <w:tc>
                <w:tcPr>
                  <w:tcW w:w="4812" w:type="dxa"/>
                  <w:vAlign w:val="center"/>
                </w:tcPr>
                <w:p w14:paraId="1498179C">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pH、COD、BOD</w:t>
                  </w:r>
                  <w:r>
                    <w:rPr>
                      <w:rFonts w:hint="default" w:ascii="Times New Roman" w:hAnsi="Times New Roman" w:eastAsia="宋体" w:cs="Times New Roman"/>
                      <w:b w:val="0"/>
                      <w:bCs w:val="0"/>
                      <w:color w:val="auto"/>
                      <w:vertAlign w:val="subscript"/>
                      <w:lang w:val="en-US" w:eastAsia="zh-CN"/>
                    </w:rPr>
                    <w:t>5</w:t>
                  </w:r>
                  <w:r>
                    <w:rPr>
                      <w:rFonts w:hint="default" w:ascii="Times New Roman" w:hAnsi="Times New Roman" w:eastAsia="宋体" w:cs="Times New Roman"/>
                      <w:b w:val="0"/>
                      <w:bCs w:val="0"/>
                      <w:color w:val="auto"/>
                      <w:vertAlign w:val="baseline"/>
                      <w:lang w:val="en-US" w:eastAsia="zh-CN"/>
                    </w:rPr>
                    <w:t>、SS、氨氮</w:t>
                  </w:r>
                </w:p>
              </w:tc>
            </w:tr>
            <w:tr w14:paraId="771DD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vMerge w:val="continue"/>
                  <w:vAlign w:val="center"/>
                </w:tcPr>
                <w:p w14:paraId="0284D61B">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p>
              </w:tc>
              <w:tc>
                <w:tcPr>
                  <w:tcW w:w="1567" w:type="dxa"/>
                  <w:gridSpan w:val="2"/>
                  <w:vAlign w:val="center"/>
                </w:tcPr>
                <w:p w14:paraId="7F5365DB">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进水水质要求</w:t>
                  </w:r>
                </w:p>
              </w:tc>
              <w:tc>
                <w:tcPr>
                  <w:tcW w:w="4812" w:type="dxa"/>
                  <w:vAlign w:val="center"/>
                </w:tcPr>
                <w:p w14:paraId="287D2163">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《污水综合排放标准》（GB8978-1996）中三级排放标准</w:t>
                  </w:r>
                </w:p>
              </w:tc>
            </w:tr>
            <w:tr w14:paraId="37D8C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vMerge w:val="continue"/>
                  <w:vAlign w:val="center"/>
                </w:tcPr>
                <w:p w14:paraId="11F96564">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p>
              </w:tc>
              <w:tc>
                <w:tcPr>
                  <w:tcW w:w="1567" w:type="dxa"/>
                  <w:gridSpan w:val="2"/>
                  <w:vAlign w:val="center"/>
                </w:tcPr>
                <w:p w14:paraId="42417C6F">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出水水质要求</w:t>
                  </w:r>
                </w:p>
              </w:tc>
              <w:tc>
                <w:tcPr>
                  <w:tcW w:w="4812" w:type="dxa"/>
                  <w:vAlign w:val="center"/>
                </w:tcPr>
                <w:p w14:paraId="1648CF76">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《城镇污水处理厂污染物排放标准》（GB18918-2002）一级A标准</w:t>
                  </w:r>
                </w:p>
              </w:tc>
            </w:tr>
            <w:tr w14:paraId="78D4A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vMerge w:val="continue"/>
                  <w:vAlign w:val="center"/>
                </w:tcPr>
                <w:p w14:paraId="59FAD1B7">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p>
              </w:tc>
              <w:tc>
                <w:tcPr>
                  <w:tcW w:w="1567" w:type="dxa"/>
                  <w:gridSpan w:val="2"/>
                  <w:vAlign w:val="center"/>
                </w:tcPr>
                <w:p w14:paraId="729A20FC">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废水排放去向</w:t>
                  </w:r>
                </w:p>
              </w:tc>
              <w:tc>
                <w:tcPr>
                  <w:tcW w:w="4812" w:type="dxa"/>
                  <w:vAlign w:val="center"/>
                </w:tcPr>
                <w:p w14:paraId="3B2297E9">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湘江</w:t>
                  </w:r>
                </w:p>
              </w:tc>
            </w:tr>
          </w:tbl>
          <w:p w14:paraId="6D474985">
            <w:pPr>
              <w:keepNext w:val="0"/>
              <w:keepLines w:val="0"/>
              <w:pageBreakBefore w:val="0"/>
              <w:widowControl w:val="0"/>
              <w:kinsoku/>
              <w:wordWrap/>
              <w:overflowPunct/>
              <w:topLinePunct w:val="0"/>
              <w:autoSpaceDE/>
              <w:autoSpaceDN/>
              <w:bidi w:val="0"/>
              <w:adjustRightInd w:val="0"/>
              <w:snapToGrid w:val="0"/>
              <w:spacing w:line="400" w:lineRule="exact"/>
              <w:ind w:leftChars="0" w:firstLine="42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lang w:val="en-US" w:eastAsia="zh-CN"/>
              </w:rPr>
              <w:t>（4）</w:t>
            </w:r>
            <w:r>
              <w:rPr>
                <w:rFonts w:hint="default" w:ascii="Times New Roman" w:hAnsi="Times New Roman" w:eastAsia="宋体" w:cs="Times New Roman"/>
                <w:b w:val="0"/>
                <w:bCs w:val="0"/>
                <w:color w:val="auto"/>
                <w:sz w:val="24"/>
                <w:szCs w:val="32"/>
                <w:lang w:val="en-US" w:eastAsia="zh-CN"/>
              </w:rPr>
              <w:t>项目废水监测要求</w:t>
            </w:r>
          </w:p>
          <w:p w14:paraId="21FDBCD9">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根据《排污单位自行监测技术指南 总则》（HJ 819-2017），本项目废水监测要求见表4-6。</w:t>
            </w:r>
          </w:p>
          <w:p w14:paraId="2FB20C1C">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表4-6 废水监测方案</w:t>
            </w:r>
          </w:p>
          <w:tbl>
            <w:tblPr>
              <w:tblStyle w:val="18"/>
              <w:tblW w:w="79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4"/>
              <w:gridCol w:w="1800"/>
              <w:gridCol w:w="1125"/>
              <w:gridCol w:w="3690"/>
            </w:tblGrid>
            <w:tr w14:paraId="40348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vAlign w:val="center"/>
                </w:tcPr>
                <w:p w14:paraId="2E1D21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监测点位</w:t>
                  </w:r>
                </w:p>
              </w:tc>
              <w:tc>
                <w:tcPr>
                  <w:tcW w:w="1800" w:type="dxa"/>
                  <w:vAlign w:val="center"/>
                </w:tcPr>
                <w:p w14:paraId="61BBFC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监测指标</w:t>
                  </w:r>
                </w:p>
              </w:tc>
              <w:tc>
                <w:tcPr>
                  <w:tcW w:w="1125" w:type="dxa"/>
                  <w:vAlign w:val="center"/>
                </w:tcPr>
                <w:p w14:paraId="3063058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监测频次</w:t>
                  </w:r>
                </w:p>
              </w:tc>
              <w:tc>
                <w:tcPr>
                  <w:tcW w:w="3690" w:type="dxa"/>
                  <w:vAlign w:val="center"/>
                </w:tcPr>
                <w:p w14:paraId="61B22D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执行排放标准</w:t>
                  </w:r>
                </w:p>
              </w:tc>
            </w:tr>
            <w:tr w14:paraId="09A81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vAlign w:val="center"/>
                </w:tcPr>
                <w:p w14:paraId="1A979D8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污水排放口</w:t>
                  </w:r>
                </w:p>
              </w:tc>
              <w:tc>
                <w:tcPr>
                  <w:tcW w:w="1800" w:type="dxa"/>
                  <w:vAlign w:val="center"/>
                </w:tcPr>
                <w:p w14:paraId="51CB258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pH、COD、BOD</w:t>
                  </w:r>
                  <w:r>
                    <w:rPr>
                      <w:rFonts w:hint="default" w:ascii="Times New Roman" w:hAnsi="Times New Roman" w:eastAsia="宋体" w:cs="Times New Roman"/>
                      <w:b w:val="0"/>
                      <w:bCs w:val="0"/>
                      <w:color w:val="auto"/>
                      <w:vertAlign w:val="subscript"/>
                      <w:lang w:val="en-US" w:eastAsia="zh-CN"/>
                    </w:rPr>
                    <w:t>5</w:t>
                  </w:r>
                  <w:r>
                    <w:rPr>
                      <w:rFonts w:hint="default" w:ascii="Times New Roman" w:hAnsi="Times New Roman" w:eastAsia="宋体" w:cs="Times New Roman"/>
                      <w:b w:val="0"/>
                      <w:bCs w:val="0"/>
                      <w:color w:val="auto"/>
                      <w:vertAlign w:val="baseline"/>
                      <w:lang w:val="en-US" w:eastAsia="zh-CN"/>
                    </w:rPr>
                    <w:t>、SS、氨氮、石油类、粪大肠菌群</w:t>
                  </w:r>
                </w:p>
              </w:tc>
              <w:tc>
                <w:tcPr>
                  <w:tcW w:w="1125" w:type="dxa"/>
                  <w:vAlign w:val="center"/>
                </w:tcPr>
                <w:p w14:paraId="58E35F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1次/年</w:t>
                  </w:r>
                </w:p>
              </w:tc>
              <w:tc>
                <w:tcPr>
                  <w:tcW w:w="3690" w:type="dxa"/>
                  <w:vAlign w:val="center"/>
                </w:tcPr>
                <w:p w14:paraId="186903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《污水综合排放标准》（GB8978-1996）中三级排放标准及铜桥港污水处理厂进水水质要求</w:t>
                  </w:r>
                </w:p>
              </w:tc>
            </w:tr>
          </w:tbl>
          <w:p w14:paraId="4C744241">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（5）依托铜桥港污水处理厂可行性分析</w:t>
            </w:r>
          </w:p>
          <w:p w14:paraId="75BBFC68">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铜桥港污水处理厂位于塑田村一组幸福河北岸，设计处理规模为10万m</w:t>
            </w:r>
            <w:r>
              <w:rPr>
                <w:rFonts w:hint="default" w:ascii="Times New Roman" w:hAnsi="Times New Roman" w:eastAsia="宋体" w:cs="Times New Roman"/>
                <w:b w:val="0"/>
                <w:bCs w:val="0"/>
                <w:color w:val="auto"/>
                <w:sz w:val="24"/>
                <w:szCs w:val="32"/>
                <w:vertAlign w:val="superscript"/>
                <w:lang w:val="en-US" w:eastAsia="zh-CN"/>
              </w:rPr>
              <w:t>3</w:t>
            </w:r>
            <w:r>
              <w:rPr>
                <w:rFonts w:hint="default" w:ascii="Times New Roman" w:hAnsi="Times New Roman" w:eastAsia="宋体" w:cs="Times New Roman"/>
                <w:b w:val="0"/>
                <w:bCs w:val="0"/>
                <w:color w:val="auto"/>
                <w:sz w:val="24"/>
                <w:szCs w:val="32"/>
                <w:lang w:val="en-US" w:eastAsia="zh-CN"/>
              </w:rPr>
              <w:t>/d，服务范围覆盖公铁大桥以南、白沙洲工业园区域内的污水处理，服务面积约为63平方公里。铜桥港污水处理厂处理工艺为A/A/O工艺，该工艺具有抗冲击负荷能力强、运行稳定、脱氮除磷好等特点。污水处理厂进水水质要求为达到《电池工业污染物排放标准》（GB30484-2013）中表2间接排放标准，废水经铜桥港污水处理厂处理达到《城镇污水处理厂污染物排放标准》（GB18918-2002）一级A标准后排入湘江。</w:t>
            </w:r>
          </w:p>
          <w:p w14:paraId="243106CA">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铜桥港污水处理厂一期、二期工程处理量均为5万吨/天，出水均执行《城镇污水处理厂污染物排放标准》(GB18918-2002)一级A标准。目前铜桥港污水处理厂一期工程已饱和，二期尚有4~5万吨/天剩余处理能力，具备接纳园区污水的处理能力，园区污水管网与铜桥港污水处理厂已连通。</w:t>
            </w:r>
          </w:p>
          <w:p w14:paraId="696DF18F">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本项目废水为生活污水，水质简单且排放量小，生活污水经化粪池预处理后，达到《污水综合排放标准》（GB8978-1996）中三级排放标准后排入园区污水管网，废水水质满足铜桥港污水处理厂进水水质要求，不会对铜桥港污水处理厂的进水量和水质造成明显冲击。</w:t>
            </w:r>
          </w:p>
          <w:p w14:paraId="2CA00D5C">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因此，本项目废水依托铜桥港污水处理厂进一步处理是可行的。</w:t>
            </w:r>
          </w:p>
          <w:p w14:paraId="516C2E72">
            <w:pPr>
              <w:keepNext w:val="0"/>
              <w:keepLines w:val="0"/>
              <w:pageBreakBefore w:val="0"/>
              <w:widowControl w:val="0"/>
              <w:numPr>
                <w:ilvl w:val="0"/>
                <w:numId w:val="10"/>
              </w:numPr>
              <w:kinsoku/>
              <w:wordWrap/>
              <w:overflowPunct/>
              <w:topLinePunct w:val="0"/>
              <w:autoSpaceDE/>
              <w:autoSpaceDN/>
              <w:bidi w:val="0"/>
              <w:adjustRightInd/>
              <w:snapToGrid/>
              <w:spacing w:before="157" w:beforeLines="50" w:line="360" w:lineRule="auto"/>
              <w:ind w:firstLine="482" w:firstLineChars="200"/>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eastAsia="宋体" w:cs="Times New Roman"/>
                <w:b/>
                <w:bCs/>
                <w:color w:val="auto"/>
                <w:sz w:val="24"/>
                <w:szCs w:val="32"/>
                <w:lang w:val="en-US" w:eastAsia="zh-CN"/>
              </w:rPr>
              <w:t>噪声</w:t>
            </w:r>
          </w:p>
          <w:p w14:paraId="05BA5897">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（1）污染物源强核算</w:t>
            </w:r>
          </w:p>
          <w:p w14:paraId="3BDE09CE">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项目的主要噪声源为全自动锡膏印刷机、回流焊等生产设备运行时产生的噪声。本项目通过采用低噪声设备，对产噪设备进行基础减振、建筑隔声、距离衰减等措施减少噪声源强。本项目噪声污染源源强核算结果及相关参数一览见表4-7。</w:t>
            </w:r>
          </w:p>
          <w:p w14:paraId="67A5D5F1">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bCs/>
                <w:color w:val="auto"/>
                <w:vertAlign w:val="baseline"/>
                <w:lang w:val="en-US" w:eastAsia="zh-CN"/>
              </w:rPr>
            </w:pPr>
            <w:r>
              <w:rPr>
                <w:rFonts w:hint="default" w:ascii="Times New Roman" w:hAnsi="Times New Roman" w:eastAsia="宋体" w:cs="Times New Roman"/>
                <w:b/>
                <w:bCs/>
                <w:color w:val="auto"/>
                <w:lang w:val="en-US" w:eastAsia="zh-CN"/>
              </w:rPr>
              <w:t>表4-7 本项目主要噪声源及控制措施一览表（单位：</w:t>
            </w:r>
            <w:r>
              <w:rPr>
                <w:rFonts w:hint="default" w:ascii="Times New Roman" w:hAnsi="Times New Roman" w:eastAsia="宋体" w:cs="Times New Roman"/>
                <w:b/>
                <w:bCs/>
                <w:color w:val="auto"/>
                <w:vertAlign w:val="baseline"/>
                <w:lang w:val="en-US" w:eastAsia="zh-CN"/>
              </w:rPr>
              <w:t>dB（A）</w:t>
            </w:r>
            <w:r>
              <w:rPr>
                <w:rFonts w:hint="default" w:ascii="Times New Roman" w:hAnsi="Times New Roman" w:eastAsia="宋体" w:cs="Times New Roman"/>
                <w:b/>
                <w:bCs/>
                <w:color w:val="auto"/>
                <w:lang w:val="en-US" w:eastAsia="zh-CN"/>
              </w:rPr>
              <w:t>）</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4"/>
              <w:gridCol w:w="1324"/>
              <w:gridCol w:w="1100"/>
              <w:gridCol w:w="1305"/>
              <w:gridCol w:w="1815"/>
              <w:gridCol w:w="1081"/>
            </w:tblGrid>
            <w:tr w14:paraId="2ADAA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1324" w:type="dxa"/>
                  <w:vAlign w:val="center"/>
                </w:tcPr>
                <w:p w14:paraId="23F9F1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b/>
                      <w:bCs/>
                      <w:color w:val="auto"/>
                      <w:sz w:val="21"/>
                      <w:szCs w:val="21"/>
                      <w:highlight w:val="none"/>
                    </w:rPr>
                    <w:t>序号</w:t>
                  </w:r>
                </w:p>
              </w:tc>
              <w:tc>
                <w:tcPr>
                  <w:tcW w:w="1324" w:type="dxa"/>
                  <w:vAlign w:val="center"/>
                </w:tcPr>
                <w:p w14:paraId="703BC8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b/>
                      <w:bCs/>
                      <w:color w:val="auto"/>
                      <w:sz w:val="21"/>
                      <w:szCs w:val="21"/>
                      <w:highlight w:val="none"/>
                      <w:lang w:val="en-US" w:eastAsia="zh-CN"/>
                    </w:rPr>
                    <w:t>噪声源</w:t>
                  </w:r>
                </w:p>
              </w:tc>
              <w:tc>
                <w:tcPr>
                  <w:tcW w:w="1100" w:type="dxa"/>
                  <w:vAlign w:val="center"/>
                </w:tcPr>
                <w:p w14:paraId="66BA97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b/>
                      <w:bCs/>
                      <w:color w:val="auto"/>
                      <w:sz w:val="21"/>
                      <w:szCs w:val="21"/>
                      <w:highlight w:val="none"/>
                    </w:rPr>
                    <w:t>数量</w:t>
                  </w:r>
                </w:p>
              </w:tc>
              <w:tc>
                <w:tcPr>
                  <w:tcW w:w="1305" w:type="dxa"/>
                  <w:vAlign w:val="center"/>
                </w:tcPr>
                <w:p w14:paraId="4DA404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b/>
                      <w:bCs/>
                      <w:color w:val="auto"/>
                      <w:sz w:val="21"/>
                      <w:szCs w:val="21"/>
                      <w:highlight w:val="none"/>
                      <w:lang w:val="en-US" w:eastAsia="zh-CN"/>
                    </w:rPr>
                    <w:t>产生</w:t>
                  </w:r>
                  <w:r>
                    <w:rPr>
                      <w:rFonts w:hint="default" w:ascii="Times New Roman" w:hAnsi="Times New Roman" w:eastAsia="宋体" w:cs="Times New Roman"/>
                      <w:b/>
                      <w:bCs/>
                      <w:color w:val="auto"/>
                      <w:sz w:val="21"/>
                      <w:szCs w:val="21"/>
                      <w:highlight w:val="none"/>
                    </w:rPr>
                    <w:t>源强</w:t>
                  </w:r>
                </w:p>
              </w:tc>
              <w:tc>
                <w:tcPr>
                  <w:tcW w:w="1815" w:type="dxa"/>
                  <w:vAlign w:val="center"/>
                </w:tcPr>
                <w:p w14:paraId="1459AD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b/>
                      <w:bCs/>
                      <w:color w:val="auto"/>
                      <w:sz w:val="21"/>
                      <w:szCs w:val="21"/>
                      <w:highlight w:val="none"/>
                      <w:lang w:val="en-US" w:eastAsia="zh-CN"/>
                    </w:rPr>
                    <w:t>降噪措施</w:t>
                  </w:r>
                </w:p>
              </w:tc>
              <w:tc>
                <w:tcPr>
                  <w:tcW w:w="1081" w:type="dxa"/>
                  <w:vAlign w:val="center"/>
                </w:tcPr>
                <w:p w14:paraId="61BB9F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b/>
                      <w:bCs/>
                      <w:color w:val="auto"/>
                      <w:sz w:val="21"/>
                      <w:szCs w:val="21"/>
                      <w:highlight w:val="none"/>
                      <w:lang w:val="en-US" w:eastAsia="zh-CN"/>
                    </w:rPr>
                    <w:t>排放方式</w:t>
                  </w:r>
                </w:p>
              </w:tc>
            </w:tr>
            <w:tr w14:paraId="765F2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24" w:type="dxa"/>
                  <w:vAlign w:val="center"/>
                </w:tcPr>
                <w:p w14:paraId="723CF3BF">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w:t>
                  </w:r>
                </w:p>
              </w:tc>
              <w:tc>
                <w:tcPr>
                  <w:tcW w:w="1324" w:type="dxa"/>
                  <w:vAlign w:val="center"/>
                </w:tcPr>
                <w:p w14:paraId="59BB12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b w:val="0"/>
                      <w:bCs w:val="0"/>
                      <w:color w:val="auto"/>
                      <w:lang w:val="en-US" w:eastAsia="zh-CN"/>
                    </w:rPr>
                    <w:t>全自动锡膏印刷机</w:t>
                  </w:r>
                </w:p>
              </w:tc>
              <w:tc>
                <w:tcPr>
                  <w:tcW w:w="1100" w:type="dxa"/>
                  <w:vAlign w:val="center"/>
                </w:tcPr>
                <w:p w14:paraId="158A10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8台</w:t>
                  </w:r>
                </w:p>
              </w:tc>
              <w:tc>
                <w:tcPr>
                  <w:tcW w:w="1305" w:type="dxa"/>
                  <w:vAlign w:val="center"/>
                </w:tcPr>
                <w:p w14:paraId="4AD6F68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75</w:t>
                  </w:r>
                </w:p>
              </w:tc>
              <w:tc>
                <w:tcPr>
                  <w:tcW w:w="1815" w:type="dxa"/>
                  <w:vMerge w:val="restart"/>
                  <w:vAlign w:val="center"/>
                </w:tcPr>
                <w:p w14:paraId="4D4900AD">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b w:val="0"/>
                      <w:bCs w:val="0"/>
                      <w:snapToGrid/>
                      <w:color w:val="auto"/>
                      <w:kern w:val="2"/>
                      <w:sz w:val="21"/>
                      <w:szCs w:val="24"/>
                      <w:vertAlign w:val="baseline"/>
                      <w:lang w:val="en-US" w:eastAsia="zh-CN" w:bidi="ar-SA"/>
                    </w:rPr>
                    <w:t>加强设备维修保养、厂房隔声等</w:t>
                  </w:r>
                </w:p>
              </w:tc>
              <w:tc>
                <w:tcPr>
                  <w:tcW w:w="1081" w:type="dxa"/>
                  <w:vAlign w:val="center"/>
                </w:tcPr>
                <w:p w14:paraId="012A0C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持续</w:t>
                  </w:r>
                </w:p>
              </w:tc>
            </w:tr>
            <w:tr w14:paraId="30AC5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24" w:type="dxa"/>
                  <w:vAlign w:val="center"/>
                </w:tcPr>
                <w:p w14:paraId="0FA866BC">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2</w:t>
                  </w:r>
                </w:p>
              </w:tc>
              <w:tc>
                <w:tcPr>
                  <w:tcW w:w="1324" w:type="dxa"/>
                  <w:vAlign w:val="center"/>
                </w:tcPr>
                <w:p w14:paraId="2E7CD2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b w:val="0"/>
                      <w:bCs w:val="0"/>
                      <w:color w:val="auto"/>
                      <w:lang w:val="en-US" w:eastAsia="zh-CN"/>
                    </w:rPr>
                    <w:t>回流焊</w:t>
                  </w:r>
                </w:p>
              </w:tc>
              <w:tc>
                <w:tcPr>
                  <w:tcW w:w="1100" w:type="dxa"/>
                  <w:vAlign w:val="center"/>
                </w:tcPr>
                <w:p w14:paraId="7121B0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8台</w:t>
                  </w:r>
                </w:p>
              </w:tc>
              <w:tc>
                <w:tcPr>
                  <w:tcW w:w="1305" w:type="dxa"/>
                  <w:vAlign w:val="center"/>
                </w:tcPr>
                <w:p w14:paraId="457EAC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70</w:t>
                  </w:r>
                </w:p>
              </w:tc>
              <w:tc>
                <w:tcPr>
                  <w:tcW w:w="1815" w:type="dxa"/>
                  <w:vMerge w:val="continue"/>
                  <w:vAlign w:val="center"/>
                </w:tcPr>
                <w:p w14:paraId="40295744">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color w:val="auto"/>
                      <w:vertAlign w:val="baseline"/>
                      <w:lang w:val="en-US" w:eastAsia="zh-CN"/>
                    </w:rPr>
                  </w:pPr>
                </w:p>
              </w:tc>
              <w:tc>
                <w:tcPr>
                  <w:tcW w:w="1081" w:type="dxa"/>
                  <w:vAlign w:val="center"/>
                </w:tcPr>
                <w:p w14:paraId="4ECBC8D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持续</w:t>
                  </w:r>
                </w:p>
              </w:tc>
            </w:tr>
            <w:tr w14:paraId="688F8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24" w:type="dxa"/>
                  <w:vAlign w:val="center"/>
                </w:tcPr>
                <w:p w14:paraId="6EB2FF98">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3</w:t>
                  </w:r>
                </w:p>
              </w:tc>
              <w:tc>
                <w:tcPr>
                  <w:tcW w:w="1324" w:type="dxa"/>
                  <w:vAlign w:val="center"/>
                </w:tcPr>
                <w:p w14:paraId="79959C0B">
                  <w:pPr>
                    <w:pStyle w:val="7"/>
                    <w:keepNext w:val="0"/>
                    <w:keepLines w:val="0"/>
                    <w:pageBreakBefore w:val="0"/>
                    <w:kinsoku/>
                    <w:wordWrap/>
                    <w:overflowPunct/>
                    <w:topLinePunct w:val="0"/>
                    <w:autoSpaceDE/>
                    <w:autoSpaceDN/>
                    <w:bidi w:val="0"/>
                    <w:snapToGrid w:val="0"/>
                    <w:spacing w:before="0" w:after="0" w:line="240" w:lineRule="auto"/>
                    <w:ind w:right="0" w:rightChars="0"/>
                    <w:jc w:val="center"/>
                    <w:textAlignment w:val="auto"/>
                    <w:rPr>
                      <w:rFonts w:hint="default" w:ascii="Times New Roman" w:hAnsi="Times New Roman" w:eastAsia="宋体" w:cs="Times New Roman"/>
                      <w:color w:val="auto"/>
                      <w:kern w:val="0"/>
                      <w:sz w:val="18"/>
                      <w:szCs w:val="20"/>
                      <w:vertAlign w:val="baseline"/>
                      <w:lang w:val="en-US" w:eastAsia="zh-CN" w:bidi="ar-SA"/>
                    </w:rPr>
                  </w:pPr>
                  <w:r>
                    <w:rPr>
                      <w:rFonts w:hint="default" w:ascii="Times New Roman" w:hAnsi="Times New Roman" w:eastAsia="宋体" w:cs="Times New Roman"/>
                      <w:snapToGrid w:val="0"/>
                      <w:color w:val="auto"/>
                      <w:sz w:val="21"/>
                      <w:szCs w:val="21"/>
                      <w:lang w:val="en-US" w:eastAsia="zh-CN"/>
                    </w:rPr>
                    <w:t>无铅波峰焊</w:t>
                  </w:r>
                </w:p>
              </w:tc>
              <w:tc>
                <w:tcPr>
                  <w:tcW w:w="1100" w:type="dxa"/>
                  <w:vAlign w:val="center"/>
                </w:tcPr>
                <w:p w14:paraId="3B96C7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4"/>
                      <w:vertAlign w:val="baseline"/>
                      <w:lang w:val="en-US" w:eastAsia="zh-CN" w:bidi="ar-SA"/>
                    </w:rPr>
                  </w:pPr>
                  <w:r>
                    <w:rPr>
                      <w:rFonts w:hint="default" w:ascii="Times New Roman" w:hAnsi="Times New Roman" w:eastAsia="宋体" w:cs="Times New Roman"/>
                      <w:b w:val="0"/>
                      <w:bCs w:val="0"/>
                      <w:color w:val="auto"/>
                      <w:highlight w:val="none"/>
                      <w:vertAlign w:val="baseline"/>
                      <w:lang w:val="en-US" w:eastAsia="zh-CN"/>
                    </w:rPr>
                    <w:t>11台</w:t>
                  </w:r>
                </w:p>
              </w:tc>
              <w:tc>
                <w:tcPr>
                  <w:tcW w:w="1305" w:type="dxa"/>
                  <w:vAlign w:val="center"/>
                </w:tcPr>
                <w:p w14:paraId="6C0DC3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70</w:t>
                  </w:r>
                </w:p>
              </w:tc>
              <w:tc>
                <w:tcPr>
                  <w:tcW w:w="1815" w:type="dxa"/>
                  <w:vMerge w:val="continue"/>
                  <w:vAlign w:val="center"/>
                </w:tcPr>
                <w:p w14:paraId="1CE5F3F4">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color w:val="auto"/>
                      <w:vertAlign w:val="baseline"/>
                      <w:lang w:val="en-US" w:eastAsia="zh-CN"/>
                    </w:rPr>
                  </w:pPr>
                </w:p>
              </w:tc>
              <w:tc>
                <w:tcPr>
                  <w:tcW w:w="1081" w:type="dxa"/>
                  <w:vAlign w:val="center"/>
                </w:tcPr>
                <w:p w14:paraId="1EBC6B4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持续</w:t>
                  </w:r>
                </w:p>
              </w:tc>
            </w:tr>
            <w:tr w14:paraId="7A264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24" w:type="dxa"/>
                  <w:vAlign w:val="center"/>
                </w:tcPr>
                <w:p w14:paraId="1484F735">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4</w:t>
                  </w:r>
                </w:p>
              </w:tc>
              <w:tc>
                <w:tcPr>
                  <w:tcW w:w="1324" w:type="dxa"/>
                  <w:vAlign w:val="center"/>
                </w:tcPr>
                <w:p w14:paraId="58243050">
                  <w:pPr>
                    <w:pStyle w:val="7"/>
                    <w:keepNext w:val="0"/>
                    <w:keepLines w:val="0"/>
                    <w:pageBreakBefore w:val="0"/>
                    <w:kinsoku/>
                    <w:wordWrap/>
                    <w:overflowPunct/>
                    <w:topLinePunct w:val="0"/>
                    <w:autoSpaceDE/>
                    <w:autoSpaceDN/>
                    <w:bidi w:val="0"/>
                    <w:snapToGrid w:val="0"/>
                    <w:spacing w:before="0" w:after="0" w:line="240" w:lineRule="auto"/>
                    <w:ind w:right="0" w:rightChars="0"/>
                    <w:jc w:val="center"/>
                    <w:textAlignment w:val="auto"/>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空压机</w:t>
                  </w:r>
                </w:p>
              </w:tc>
              <w:tc>
                <w:tcPr>
                  <w:tcW w:w="1100" w:type="dxa"/>
                  <w:vAlign w:val="center"/>
                </w:tcPr>
                <w:p w14:paraId="30428F8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1台</w:t>
                  </w:r>
                </w:p>
              </w:tc>
              <w:tc>
                <w:tcPr>
                  <w:tcW w:w="1305" w:type="dxa"/>
                  <w:vAlign w:val="center"/>
                </w:tcPr>
                <w:p w14:paraId="5AAB0A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90</w:t>
                  </w:r>
                </w:p>
              </w:tc>
              <w:tc>
                <w:tcPr>
                  <w:tcW w:w="1815" w:type="dxa"/>
                  <w:vAlign w:val="center"/>
                </w:tcPr>
                <w:p w14:paraId="2BD2A666">
                  <w:pPr>
                    <w:pStyle w:val="2"/>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独立隔音房间</w:t>
                  </w:r>
                </w:p>
              </w:tc>
              <w:tc>
                <w:tcPr>
                  <w:tcW w:w="1081" w:type="dxa"/>
                  <w:vAlign w:val="center"/>
                </w:tcPr>
                <w:p w14:paraId="0BD9B6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持续</w:t>
                  </w:r>
                </w:p>
              </w:tc>
            </w:tr>
          </w:tbl>
          <w:p w14:paraId="44A04BF1">
            <w:pPr>
              <w:keepNext w:val="0"/>
              <w:keepLines w:val="0"/>
              <w:pageBreakBefore w:val="0"/>
              <w:widowControl w:val="0"/>
              <w:kinsoku/>
              <w:wordWrap/>
              <w:overflowPunct/>
              <w:topLinePunct w:val="0"/>
              <w:autoSpaceDE/>
              <w:autoSpaceDN/>
              <w:bidi w:val="0"/>
              <w:adjustRightInd w:val="0"/>
              <w:snapToGrid w:val="0"/>
              <w:spacing w:line="400" w:lineRule="exact"/>
              <w:ind w:leftChars="0" w:firstLine="420" w:firstLineChars="200"/>
              <w:textAlignment w:val="auto"/>
              <w:rPr>
                <w:rFonts w:hint="default" w:ascii="Times New Roman" w:hAnsi="Times New Roman" w:eastAsia="宋体" w:cs="Times New Roman"/>
                <w:color w:val="auto"/>
                <w:lang w:val="en-US" w:eastAsia="zh-CN"/>
              </w:rPr>
            </w:pPr>
          </w:p>
        </w:tc>
      </w:tr>
    </w:tbl>
    <w:p w14:paraId="29E2C259">
      <w:pPr>
        <w:rPr>
          <w:rFonts w:hint="default" w:ascii="Times New Roman" w:hAnsi="Times New Roman" w:eastAsia="宋体" w:cs="Times New Roman"/>
          <w:color w:val="auto"/>
        </w:rPr>
        <w:sectPr>
          <w:pgSz w:w="11907" w:h="16840"/>
          <w:pgMar w:top="1701" w:right="1531" w:bottom="2127" w:left="1531" w:header="851" w:footer="851" w:gutter="0"/>
          <w:pgNumType w:fmt="decimal"/>
          <w:cols w:space="720" w:num="1"/>
          <w:docGrid w:linePitch="312" w:charSpace="0"/>
        </w:sectPr>
      </w:pPr>
    </w:p>
    <w:tbl>
      <w:tblPr>
        <w:tblStyle w:val="1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068"/>
      </w:tblGrid>
      <w:tr w14:paraId="1E146E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98" w:hRule="atLeast"/>
          <w:jc w:val="center"/>
        </w:trPr>
        <w:tc>
          <w:tcPr>
            <w:tcW w:w="5000" w:type="pct"/>
            <w:tcMar>
              <w:left w:w="28" w:type="dxa"/>
              <w:right w:w="28" w:type="dxa"/>
            </w:tcMar>
            <w:vAlign w:val="center"/>
          </w:tcPr>
          <w:p w14:paraId="57E35AED">
            <w:pPr>
              <w:pStyle w:val="42"/>
              <w:keepNext w:val="0"/>
              <w:keepLines w:val="0"/>
              <w:pageBreakBefore w:val="0"/>
              <w:widowControl/>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ascii="Times New Roman" w:hAnsi="Times New Roman" w:eastAsia="宋体" w:cs="Times New Roman"/>
                <w:color w:val="auto"/>
                <w:u w:val="single" w:color="auto"/>
                <w:lang w:val="en-US" w:eastAsia="zh-CN"/>
              </w:rPr>
            </w:pPr>
            <w:r>
              <w:rPr>
                <w:rFonts w:hint="default" w:ascii="Times New Roman" w:hAnsi="Times New Roman" w:eastAsia="宋体" w:cs="Times New Roman"/>
                <w:color w:val="auto"/>
                <w:u w:val="single" w:color="auto"/>
                <w:lang w:val="en-US" w:eastAsia="zh-CN"/>
              </w:rPr>
              <w:t xml:space="preserve">表4-8 </w:t>
            </w:r>
            <w:r>
              <w:rPr>
                <w:rFonts w:hint="default" w:ascii="Times New Roman" w:hAnsi="Times New Roman" w:eastAsia="宋体" w:cs="Times New Roman"/>
                <w:color w:val="auto"/>
                <w:sz w:val="21"/>
                <w:szCs w:val="21"/>
                <w:u w:val="single" w:color="auto"/>
              </w:rPr>
              <w:t>设备噪声源强一览表</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3"/>
              <w:gridCol w:w="1114"/>
              <w:gridCol w:w="771"/>
              <w:gridCol w:w="1086"/>
              <w:gridCol w:w="750"/>
              <w:gridCol w:w="694"/>
              <w:gridCol w:w="728"/>
              <w:gridCol w:w="600"/>
              <w:gridCol w:w="1607"/>
              <w:gridCol w:w="857"/>
              <w:gridCol w:w="707"/>
              <w:gridCol w:w="793"/>
              <w:gridCol w:w="579"/>
              <w:gridCol w:w="728"/>
              <w:gridCol w:w="579"/>
              <w:gridCol w:w="566"/>
            </w:tblGrid>
            <w:tr w14:paraId="0C35D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trPr>
              <w:tc>
                <w:tcPr>
                  <w:tcW w:w="843" w:type="dxa"/>
                  <w:vMerge w:val="restart"/>
                  <w:vAlign w:val="center"/>
                </w:tcPr>
                <w:p w14:paraId="079D5F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b/>
                      <w:bCs/>
                      <w:color w:val="auto"/>
                      <w:sz w:val="21"/>
                      <w:szCs w:val="21"/>
                      <w:highlight w:val="none"/>
                      <w:u w:val="single"/>
                      <w:lang w:val="en-US" w:eastAsia="zh-CN"/>
                    </w:rPr>
                    <w:t>建筑物名称</w:t>
                  </w:r>
                </w:p>
              </w:tc>
              <w:tc>
                <w:tcPr>
                  <w:tcW w:w="1114" w:type="dxa"/>
                  <w:vMerge w:val="restart"/>
                  <w:vAlign w:val="center"/>
                </w:tcPr>
                <w:p w14:paraId="02368E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b/>
                      <w:bCs/>
                      <w:color w:val="auto"/>
                      <w:sz w:val="21"/>
                      <w:szCs w:val="21"/>
                      <w:highlight w:val="none"/>
                      <w:u w:val="single"/>
                      <w:lang w:val="en-US" w:eastAsia="zh-CN"/>
                    </w:rPr>
                    <w:t>声源名称</w:t>
                  </w:r>
                </w:p>
              </w:tc>
              <w:tc>
                <w:tcPr>
                  <w:tcW w:w="771" w:type="dxa"/>
                  <w:vMerge w:val="restart"/>
                  <w:vAlign w:val="center"/>
                </w:tcPr>
                <w:p w14:paraId="34F054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b/>
                      <w:bCs/>
                      <w:color w:val="auto"/>
                      <w:sz w:val="21"/>
                      <w:szCs w:val="21"/>
                      <w:highlight w:val="none"/>
                      <w:u w:val="single"/>
                      <w:lang w:val="en-US" w:eastAsia="zh-CN"/>
                    </w:rPr>
                    <w:t>型号</w:t>
                  </w:r>
                </w:p>
              </w:tc>
              <w:tc>
                <w:tcPr>
                  <w:tcW w:w="1086" w:type="dxa"/>
                  <w:vMerge w:val="restart"/>
                  <w:vAlign w:val="center"/>
                </w:tcPr>
                <w:p w14:paraId="1E4DB1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b/>
                      <w:bCs/>
                      <w:color w:val="auto"/>
                      <w:sz w:val="21"/>
                      <w:szCs w:val="21"/>
                      <w:highlight w:val="none"/>
                      <w:u w:val="single"/>
                      <w:lang w:val="en-US" w:eastAsia="zh-CN"/>
                    </w:rPr>
                    <w:t>声压级/距声源距离/（dB（A）/m）</w:t>
                  </w:r>
                </w:p>
              </w:tc>
              <w:tc>
                <w:tcPr>
                  <w:tcW w:w="750" w:type="dxa"/>
                  <w:vMerge w:val="restart"/>
                  <w:vAlign w:val="center"/>
                </w:tcPr>
                <w:p w14:paraId="212BB1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b/>
                      <w:bCs/>
                      <w:color w:val="auto"/>
                      <w:sz w:val="21"/>
                      <w:szCs w:val="21"/>
                      <w:highlight w:val="none"/>
                      <w:u w:val="single"/>
                      <w:lang w:val="en-US" w:eastAsia="zh-CN"/>
                    </w:rPr>
                    <w:t>声源控制措施</w:t>
                  </w:r>
                </w:p>
              </w:tc>
              <w:tc>
                <w:tcPr>
                  <w:tcW w:w="2022" w:type="dxa"/>
                  <w:gridSpan w:val="3"/>
                  <w:vAlign w:val="center"/>
                </w:tcPr>
                <w:p w14:paraId="48C28B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b/>
                      <w:bCs/>
                      <w:color w:val="auto"/>
                      <w:sz w:val="21"/>
                      <w:szCs w:val="21"/>
                      <w:highlight w:val="none"/>
                      <w:u w:val="single"/>
                      <w:lang w:val="en-US" w:eastAsia="zh-CN"/>
                    </w:rPr>
                    <w:t>空间相对位置/m</w:t>
                  </w:r>
                </w:p>
              </w:tc>
              <w:tc>
                <w:tcPr>
                  <w:tcW w:w="1607" w:type="dxa"/>
                  <w:vMerge w:val="restart"/>
                  <w:vAlign w:val="center"/>
                </w:tcPr>
                <w:p w14:paraId="49788A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b/>
                      <w:bCs/>
                      <w:color w:val="auto"/>
                      <w:sz w:val="21"/>
                      <w:szCs w:val="21"/>
                      <w:highlight w:val="none"/>
                      <w:u w:val="single"/>
                      <w:lang w:val="en-US" w:eastAsia="zh-CN"/>
                    </w:rPr>
                    <w:t>距室内边界距离/m</w:t>
                  </w:r>
                </w:p>
              </w:tc>
              <w:tc>
                <w:tcPr>
                  <w:tcW w:w="857" w:type="dxa"/>
                  <w:vMerge w:val="restart"/>
                  <w:vAlign w:val="center"/>
                </w:tcPr>
                <w:p w14:paraId="1FA5F9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b/>
                      <w:bCs/>
                      <w:color w:val="auto"/>
                      <w:sz w:val="21"/>
                      <w:szCs w:val="21"/>
                      <w:highlight w:val="none"/>
                      <w:u w:val="single"/>
                      <w:lang w:val="en-US" w:eastAsia="zh-CN"/>
                    </w:rPr>
                    <w:t>室内边界声级/dB（A）</w:t>
                  </w:r>
                </w:p>
              </w:tc>
              <w:tc>
                <w:tcPr>
                  <w:tcW w:w="707" w:type="dxa"/>
                  <w:vMerge w:val="restart"/>
                  <w:vAlign w:val="center"/>
                </w:tcPr>
                <w:p w14:paraId="622B3C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b/>
                      <w:bCs/>
                      <w:color w:val="auto"/>
                      <w:sz w:val="21"/>
                      <w:szCs w:val="21"/>
                      <w:highlight w:val="none"/>
                      <w:u w:val="single"/>
                      <w:lang w:val="en-US" w:eastAsia="zh-CN"/>
                    </w:rPr>
                    <w:t>运行时段</w:t>
                  </w:r>
                </w:p>
              </w:tc>
              <w:tc>
                <w:tcPr>
                  <w:tcW w:w="793" w:type="dxa"/>
                  <w:vMerge w:val="restart"/>
                  <w:vAlign w:val="center"/>
                </w:tcPr>
                <w:p w14:paraId="10C615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b/>
                      <w:bCs/>
                      <w:color w:val="auto"/>
                      <w:sz w:val="21"/>
                      <w:szCs w:val="21"/>
                      <w:highlight w:val="none"/>
                      <w:u w:val="single"/>
                      <w:lang w:val="en-US" w:eastAsia="zh-CN"/>
                    </w:rPr>
                    <w:t>建筑物插入损失/dB（A）</w:t>
                  </w:r>
                </w:p>
              </w:tc>
              <w:tc>
                <w:tcPr>
                  <w:tcW w:w="2452" w:type="dxa"/>
                  <w:gridSpan w:val="4"/>
                  <w:vAlign w:val="center"/>
                </w:tcPr>
                <w:p w14:paraId="712B4C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b/>
                      <w:bCs/>
                      <w:color w:val="auto"/>
                      <w:sz w:val="21"/>
                      <w:szCs w:val="21"/>
                      <w:highlight w:val="none"/>
                      <w:u w:val="single"/>
                      <w:lang w:val="en-US" w:eastAsia="zh-CN"/>
                    </w:rPr>
                    <w:t>建筑物外噪声</w:t>
                  </w:r>
                </w:p>
              </w:tc>
            </w:tr>
            <w:tr w14:paraId="30C58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843" w:type="dxa"/>
                  <w:vMerge w:val="continue"/>
                </w:tcPr>
                <w:p w14:paraId="326AA205">
                  <w:pPr>
                    <w:pStyle w:val="8"/>
                    <w:spacing w:line="240" w:lineRule="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tcPr>
                <w:p w14:paraId="2F64E815">
                  <w:pPr>
                    <w:pStyle w:val="8"/>
                    <w:spacing w:line="240" w:lineRule="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tcPr>
                <w:p w14:paraId="09586E98">
                  <w:pPr>
                    <w:pStyle w:val="8"/>
                    <w:spacing w:line="240" w:lineRule="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tcPr>
                <w:p w14:paraId="672ABF35">
                  <w:pPr>
                    <w:pStyle w:val="8"/>
                    <w:spacing w:line="240" w:lineRule="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17D4A7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Align w:val="center"/>
                </w:tcPr>
                <w:p w14:paraId="68B47D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b/>
                      <w:bCs/>
                      <w:color w:val="auto"/>
                      <w:sz w:val="21"/>
                      <w:szCs w:val="21"/>
                      <w:highlight w:val="none"/>
                      <w:u w:val="single"/>
                      <w:lang w:val="en-US" w:eastAsia="zh-CN"/>
                    </w:rPr>
                    <w:t>X</w:t>
                  </w:r>
                </w:p>
              </w:tc>
              <w:tc>
                <w:tcPr>
                  <w:tcW w:w="728" w:type="dxa"/>
                  <w:vAlign w:val="center"/>
                </w:tcPr>
                <w:p w14:paraId="655703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b/>
                      <w:bCs/>
                      <w:color w:val="auto"/>
                      <w:sz w:val="21"/>
                      <w:szCs w:val="21"/>
                      <w:highlight w:val="none"/>
                      <w:u w:val="single"/>
                      <w:lang w:val="en-US" w:eastAsia="zh-CN"/>
                    </w:rPr>
                    <w:t>Y</w:t>
                  </w:r>
                </w:p>
              </w:tc>
              <w:tc>
                <w:tcPr>
                  <w:tcW w:w="600" w:type="dxa"/>
                  <w:vAlign w:val="center"/>
                </w:tcPr>
                <w:p w14:paraId="2E07E14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b/>
                      <w:bCs/>
                      <w:color w:val="auto"/>
                      <w:sz w:val="21"/>
                      <w:szCs w:val="21"/>
                      <w:highlight w:val="none"/>
                      <w:u w:val="single"/>
                      <w:lang w:val="en-US" w:eastAsia="zh-CN"/>
                    </w:rPr>
                    <w:t>Z</w:t>
                  </w:r>
                </w:p>
              </w:tc>
              <w:tc>
                <w:tcPr>
                  <w:tcW w:w="1607" w:type="dxa"/>
                  <w:vMerge w:val="continue"/>
                </w:tcPr>
                <w:p w14:paraId="3B384A25">
                  <w:pPr>
                    <w:pStyle w:val="8"/>
                    <w:spacing w:line="240" w:lineRule="auto"/>
                    <w:rPr>
                      <w:rFonts w:hint="default" w:ascii="Times New Roman" w:hAnsi="Times New Roman" w:eastAsia="宋体" w:cs="Times New Roman"/>
                      <w:color w:val="auto"/>
                      <w:sz w:val="21"/>
                      <w:szCs w:val="21"/>
                      <w:u w:val="single"/>
                      <w:vertAlign w:val="baseline"/>
                      <w:lang w:val="en-US" w:eastAsia="zh-CN"/>
                    </w:rPr>
                  </w:pPr>
                </w:p>
              </w:tc>
              <w:tc>
                <w:tcPr>
                  <w:tcW w:w="857" w:type="dxa"/>
                  <w:vMerge w:val="continue"/>
                </w:tcPr>
                <w:p w14:paraId="2A14CC26">
                  <w:pPr>
                    <w:pStyle w:val="8"/>
                    <w:spacing w:line="240" w:lineRule="auto"/>
                    <w:rPr>
                      <w:rFonts w:hint="default" w:ascii="Times New Roman" w:hAnsi="Times New Roman" w:eastAsia="宋体" w:cs="Times New Roman"/>
                      <w:color w:val="auto"/>
                      <w:sz w:val="21"/>
                      <w:szCs w:val="21"/>
                      <w:u w:val="single"/>
                      <w:vertAlign w:val="baseline"/>
                      <w:lang w:val="en-US" w:eastAsia="zh-CN"/>
                    </w:rPr>
                  </w:pPr>
                </w:p>
              </w:tc>
              <w:tc>
                <w:tcPr>
                  <w:tcW w:w="707" w:type="dxa"/>
                  <w:vMerge w:val="continue"/>
                </w:tcPr>
                <w:p w14:paraId="5A3252C8">
                  <w:pPr>
                    <w:pStyle w:val="8"/>
                    <w:spacing w:line="240" w:lineRule="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tcPr>
                <w:p w14:paraId="771F22A4">
                  <w:pPr>
                    <w:pStyle w:val="8"/>
                    <w:spacing w:line="240" w:lineRule="auto"/>
                    <w:rPr>
                      <w:rFonts w:hint="default" w:ascii="Times New Roman" w:hAnsi="Times New Roman" w:eastAsia="宋体" w:cs="Times New Roman"/>
                      <w:color w:val="auto"/>
                      <w:sz w:val="21"/>
                      <w:szCs w:val="21"/>
                      <w:u w:val="single"/>
                      <w:vertAlign w:val="baseline"/>
                      <w:lang w:val="en-US" w:eastAsia="zh-CN"/>
                    </w:rPr>
                  </w:pPr>
                </w:p>
              </w:tc>
              <w:tc>
                <w:tcPr>
                  <w:tcW w:w="1307" w:type="dxa"/>
                  <w:gridSpan w:val="2"/>
                  <w:vAlign w:val="center"/>
                </w:tcPr>
                <w:p w14:paraId="48501D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b/>
                      <w:bCs/>
                      <w:color w:val="auto"/>
                      <w:sz w:val="21"/>
                      <w:szCs w:val="21"/>
                      <w:highlight w:val="none"/>
                      <w:u w:val="single"/>
                      <w:lang w:val="en-US" w:eastAsia="zh-CN"/>
                    </w:rPr>
                    <w:t>声压级/dB（A）</w:t>
                  </w:r>
                </w:p>
              </w:tc>
              <w:tc>
                <w:tcPr>
                  <w:tcW w:w="1145" w:type="dxa"/>
                  <w:gridSpan w:val="2"/>
                  <w:vAlign w:val="center"/>
                </w:tcPr>
                <w:p w14:paraId="5E4B76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b/>
                      <w:bCs/>
                      <w:color w:val="auto"/>
                      <w:sz w:val="21"/>
                      <w:szCs w:val="21"/>
                      <w:highlight w:val="none"/>
                      <w:u w:val="single"/>
                      <w:lang w:val="en-US" w:eastAsia="zh-CN"/>
                    </w:rPr>
                    <w:t>建筑物外距离m</w:t>
                  </w:r>
                </w:p>
              </w:tc>
            </w:tr>
            <w:tr w14:paraId="21633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restart"/>
                  <w:vAlign w:val="center"/>
                </w:tcPr>
                <w:p w14:paraId="0C69627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生产厂房</w:t>
                  </w:r>
                </w:p>
              </w:tc>
              <w:tc>
                <w:tcPr>
                  <w:tcW w:w="1114" w:type="dxa"/>
                  <w:vMerge w:val="restart"/>
                  <w:vAlign w:val="center"/>
                </w:tcPr>
                <w:p w14:paraId="7626795F">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rPr>
                    <w:t>全自动锡膏印刷机</w:t>
                  </w:r>
                </w:p>
              </w:tc>
              <w:tc>
                <w:tcPr>
                  <w:tcW w:w="771" w:type="dxa"/>
                  <w:vMerge w:val="restart"/>
                  <w:vAlign w:val="center"/>
                </w:tcPr>
                <w:p w14:paraId="1E23130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GKG GSE</w:t>
                  </w:r>
                </w:p>
              </w:tc>
              <w:tc>
                <w:tcPr>
                  <w:tcW w:w="1086" w:type="dxa"/>
                  <w:vMerge w:val="restart"/>
                  <w:vAlign w:val="center"/>
                </w:tcPr>
                <w:p w14:paraId="05A3B75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75/1</w:t>
                  </w:r>
                </w:p>
              </w:tc>
              <w:tc>
                <w:tcPr>
                  <w:tcW w:w="750" w:type="dxa"/>
                  <w:vMerge w:val="restart"/>
                  <w:vAlign w:val="center"/>
                </w:tcPr>
                <w:p w14:paraId="631A265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加强设备维修保养、厂房隔声等</w:t>
                  </w:r>
                </w:p>
              </w:tc>
              <w:tc>
                <w:tcPr>
                  <w:tcW w:w="694" w:type="dxa"/>
                  <w:vMerge w:val="restart"/>
                  <w:vAlign w:val="center"/>
                </w:tcPr>
                <w:p w14:paraId="44D3EBD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24</w:t>
                  </w:r>
                </w:p>
              </w:tc>
              <w:tc>
                <w:tcPr>
                  <w:tcW w:w="728" w:type="dxa"/>
                  <w:vMerge w:val="restart"/>
                  <w:vAlign w:val="center"/>
                </w:tcPr>
                <w:p w14:paraId="495E35F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35</w:t>
                  </w:r>
                </w:p>
              </w:tc>
              <w:tc>
                <w:tcPr>
                  <w:tcW w:w="600" w:type="dxa"/>
                  <w:vMerge w:val="restart"/>
                  <w:vAlign w:val="center"/>
                </w:tcPr>
                <w:p w14:paraId="3DB5F43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3C8312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距东厂界73</w:t>
                  </w:r>
                </w:p>
              </w:tc>
              <w:tc>
                <w:tcPr>
                  <w:tcW w:w="857" w:type="dxa"/>
                  <w:vAlign w:val="center"/>
                </w:tcPr>
                <w:p w14:paraId="752234B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60.8</w:t>
                  </w:r>
                </w:p>
              </w:tc>
              <w:tc>
                <w:tcPr>
                  <w:tcW w:w="707" w:type="dxa"/>
                  <w:vMerge w:val="restart"/>
                  <w:vAlign w:val="center"/>
                </w:tcPr>
                <w:p w14:paraId="57D8CDB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24小时</w:t>
                  </w:r>
                </w:p>
              </w:tc>
              <w:tc>
                <w:tcPr>
                  <w:tcW w:w="793" w:type="dxa"/>
                  <w:vMerge w:val="restart"/>
                  <w:vAlign w:val="center"/>
                </w:tcPr>
                <w:p w14:paraId="5FE1509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1E33D154">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0F95511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34.8</w:t>
                  </w:r>
                </w:p>
              </w:tc>
              <w:tc>
                <w:tcPr>
                  <w:tcW w:w="579" w:type="dxa"/>
                  <w:vAlign w:val="center"/>
                </w:tcPr>
                <w:p w14:paraId="3BF4089C">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233665A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7168C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0FB2643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0B17202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0A6BDBC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0457FEA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3EAA49A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2B86E18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0299933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5D1B865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61620C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距西厂界24</w:t>
                  </w:r>
                </w:p>
              </w:tc>
              <w:tc>
                <w:tcPr>
                  <w:tcW w:w="857" w:type="dxa"/>
                  <w:vAlign w:val="center"/>
                </w:tcPr>
                <w:p w14:paraId="2A665F1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61.2</w:t>
                  </w:r>
                </w:p>
              </w:tc>
              <w:tc>
                <w:tcPr>
                  <w:tcW w:w="707" w:type="dxa"/>
                  <w:vMerge w:val="continue"/>
                  <w:vAlign w:val="center"/>
                </w:tcPr>
                <w:p w14:paraId="2ED6E75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1AB96F0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3FFEEF61">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281CA8A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35.2</w:t>
                  </w:r>
                </w:p>
              </w:tc>
              <w:tc>
                <w:tcPr>
                  <w:tcW w:w="579" w:type="dxa"/>
                  <w:vAlign w:val="center"/>
                </w:tcPr>
                <w:p w14:paraId="14BCC787">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2E9C09CF">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08047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659CD14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7CFAFB7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60E0F18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18929BB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3F59EE0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6C73B83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7C0399F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2DFD9ED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362DE9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距南厂界35</w:t>
                  </w:r>
                </w:p>
              </w:tc>
              <w:tc>
                <w:tcPr>
                  <w:tcW w:w="857" w:type="dxa"/>
                  <w:vAlign w:val="center"/>
                </w:tcPr>
                <w:p w14:paraId="6E57EBD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61.0</w:t>
                  </w:r>
                </w:p>
              </w:tc>
              <w:tc>
                <w:tcPr>
                  <w:tcW w:w="707" w:type="dxa"/>
                  <w:vMerge w:val="continue"/>
                  <w:vAlign w:val="center"/>
                </w:tcPr>
                <w:p w14:paraId="2F8029C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7BBFB06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016F36E0">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09A17DD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35.0</w:t>
                  </w:r>
                </w:p>
              </w:tc>
              <w:tc>
                <w:tcPr>
                  <w:tcW w:w="579" w:type="dxa"/>
                  <w:vAlign w:val="center"/>
                </w:tcPr>
                <w:p w14:paraId="5BD0E954">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2EC9BC13">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65FF9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140829B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1CF5C1A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12F795E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74DD0F4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75EACD4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2DC2FCC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7678007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7AFBBAC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1F419B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距北厂界4</w:t>
                  </w:r>
                </w:p>
              </w:tc>
              <w:tc>
                <w:tcPr>
                  <w:tcW w:w="857" w:type="dxa"/>
                  <w:vAlign w:val="center"/>
                </w:tcPr>
                <w:p w14:paraId="337D0AD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67.1</w:t>
                  </w:r>
                </w:p>
              </w:tc>
              <w:tc>
                <w:tcPr>
                  <w:tcW w:w="707" w:type="dxa"/>
                  <w:vMerge w:val="continue"/>
                  <w:vAlign w:val="center"/>
                </w:tcPr>
                <w:p w14:paraId="6B90EE3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065A32C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6A6E8F34">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7C95FC8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41.1</w:t>
                  </w:r>
                </w:p>
              </w:tc>
              <w:tc>
                <w:tcPr>
                  <w:tcW w:w="579" w:type="dxa"/>
                  <w:vAlign w:val="center"/>
                </w:tcPr>
                <w:p w14:paraId="4F3C8A11">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74440CC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74715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19C40FF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6F02B23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rPr>
                    <w:t>全自动锡膏印刷机</w:t>
                  </w:r>
                </w:p>
              </w:tc>
              <w:tc>
                <w:tcPr>
                  <w:tcW w:w="771" w:type="dxa"/>
                  <w:vMerge w:val="restart"/>
                  <w:vAlign w:val="center"/>
                </w:tcPr>
                <w:p w14:paraId="1A7EEAA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GKG GSE</w:t>
                  </w:r>
                </w:p>
              </w:tc>
              <w:tc>
                <w:tcPr>
                  <w:tcW w:w="1086" w:type="dxa"/>
                  <w:vMerge w:val="restart"/>
                  <w:vAlign w:val="center"/>
                </w:tcPr>
                <w:p w14:paraId="2148290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75/1</w:t>
                  </w:r>
                </w:p>
              </w:tc>
              <w:tc>
                <w:tcPr>
                  <w:tcW w:w="750" w:type="dxa"/>
                  <w:vMerge w:val="continue"/>
                  <w:vAlign w:val="center"/>
                </w:tcPr>
                <w:p w14:paraId="501878B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7E24447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24</w:t>
                  </w:r>
                </w:p>
              </w:tc>
              <w:tc>
                <w:tcPr>
                  <w:tcW w:w="728" w:type="dxa"/>
                  <w:vMerge w:val="restart"/>
                  <w:vAlign w:val="center"/>
                </w:tcPr>
                <w:p w14:paraId="587FED6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31</w:t>
                  </w:r>
                </w:p>
              </w:tc>
              <w:tc>
                <w:tcPr>
                  <w:tcW w:w="600" w:type="dxa"/>
                  <w:vMerge w:val="restart"/>
                  <w:vAlign w:val="center"/>
                </w:tcPr>
                <w:p w14:paraId="624F2D3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02EF84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距东厂界73</w:t>
                  </w:r>
                </w:p>
              </w:tc>
              <w:tc>
                <w:tcPr>
                  <w:tcW w:w="857" w:type="dxa"/>
                  <w:vAlign w:val="center"/>
                </w:tcPr>
                <w:p w14:paraId="5008F5D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60.8</w:t>
                  </w:r>
                </w:p>
              </w:tc>
              <w:tc>
                <w:tcPr>
                  <w:tcW w:w="707" w:type="dxa"/>
                  <w:vMerge w:val="continue"/>
                  <w:vAlign w:val="center"/>
                </w:tcPr>
                <w:p w14:paraId="6D405B4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7A93B8E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1302F8B4">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43445EA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34.8</w:t>
                  </w:r>
                </w:p>
              </w:tc>
              <w:tc>
                <w:tcPr>
                  <w:tcW w:w="579" w:type="dxa"/>
                  <w:vAlign w:val="center"/>
                </w:tcPr>
                <w:p w14:paraId="0343E008">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163EBE99">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60CDD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737975D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62EF116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44FF70A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2EDA2F2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401EBDE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42F6742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42F5A07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49AFAA2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090B66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距西厂界24</w:t>
                  </w:r>
                </w:p>
              </w:tc>
              <w:tc>
                <w:tcPr>
                  <w:tcW w:w="857" w:type="dxa"/>
                  <w:vAlign w:val="center"/>
                </w:tcPr>
                <w:p w14:paraId="3CEFFA6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61.2</w:t>
                  </w:r>
                </w:p>
              </w:tc>
              <w:tc>
                <w:tcPr>
                  <w:tcW w:w="707" w:type="dxa"/>
                  <w:vMerge w:val="continue"/>
                  <w:vAlign w:val="center"/>
                </w:tcPr>
                <w:p w14:paraId="59CFC56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314B448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5F5396B4">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5B210B1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35.2</w:t>
                  </w:r>
                </w:p>
              </w:tc>
              <w:tc>
                <w:tcPr>
                  <w:tcW w:w="579" w:type="dxa"/>
                  <w:vAlign w:val="center"/>
                </w:tcPr>
                <w:p w14:paraId="6BFD4C5A">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2F89D85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76AB7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784D295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1C0CFE3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49C9099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1FEAF8B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3C43E02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35D6081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2FC3C74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11EFC34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0A183C6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距南厂界31</w:t>
                  </w:r>
                </w:p>
              </w:tc>
              <w:tc>
                <w:tcPr>
                  <w:tcW w:w="857" w:type="dxa"/>
                  <w:vAlign w:val="center"/>
                </w:tcPr>
                <w:p w14:paraId="6466665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61.0</w:t>
                  </w:r>
                </w:p>
              </w:tc>
              <w:tc>
                <w:tcPr>
                  <w:tcW w:w="707" w:type="dxa"/>
                  <w:vMerge w:val="continue"/>
                  <w:vAlign w:val="center"/>
                </w:tcPr>
                <w:p w14:paraId="4707733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6FE0D11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2E6C4211">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380DF0B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35.0</w:t>
                  </w:r>
                </w:p>
              </w:tc>
              <w:tc>
                <w:tcPr>
                  <w:tcW w:w="579" w:type="dxa"/>
                  <w:vAlign w:val="center"/>
                </w:tcPr>
                <w:p w14:paraId="7D45FF8C">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31ADF55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6D742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290AA53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36BB952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41EFFC0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35D0146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3F6B15F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29CF24C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0EBD245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35F26CC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2937E6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距北厂界8</w:t>
                  </w:r>
                </w:p>
              </w:tc>
              <w:tc>
                <w:tcPr>
                  <w:tcW w:w="857" w:type="dxa"/>
                  <w:vAlign w:val="center"/>
                </w:tcPr>
                <w:p w14:paraId="540C03D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63.4</w:t>
                  </w:r>
                </w:p>
              </w:tc>
              <w:tc>
                <w:tcPr>
                  <w:tcW w:w="707" w:type="dxa"/>
                  <w:vMerge w:val="continue"/>
                  <w:vAlign w:val="center"/>
                </w:tcPr>
                <w:p w14:paraId="4613E4B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79EC368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2F95828B">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4928E88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37.4</w:t>
                  </w:r>
                </w:p>
              </w:tc>
              <w:tc>
                <w:tcPr>
                  <w:tcW w:w="579" w:type="dxa"/>
                  <w:vAlign w:val="center"/>
                </w:tcPr>
                <w:p w14:paraId="062BF097">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24E87743">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783D8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103BEBD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63F236EC">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rPr>
                    <w:t>全自动锡膏印刷机</w:t>
                  </w:r>
                </w:p>
              </w:tc>
              <w:tc>
                <w:tcPr>
                  <w:tcW w:w="771" w:type="dxa"/>
                  <w:vMerge w:val="restart"/>
                  <w:vAlign w:val="center"/>
                </w:tcPr>
                <w:p w14:paraId="2919829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GKG GSE</w:t>
                  </w:r>
                </w:p>
              </w:tc>
              <w:tc>
                <w:tcPr>
                  <w:tcW w:w="1086" w:type="dxa"/>
                  <w:vMerge w:val="restart"/>
                  <w:vAlign w:val="center"/>
                </w:tcPr>
                <w:p w14:paraId="480FD9D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75/1</w:t>
                  </w:r>
                </w:p>
              </w:tc>
              <w:tc>
                <w:tcPr>
                  <w:tcW w:w="750" w:type="dxa"/>
                  <w:vMerge w:val="continue"/>
                  <w:vAlign w:val="center"/>
                </w:tcPr>
                <w:p w14:paraId="3F5431A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55CAA69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24</w:t>
                  </w:r>
                </w:p>
              </w:tc>
              <w:tc>
                <w:tcPr>
                  <w:tcW w:w="728" w:type="dxa"/>
                  <w:vMerge w:val="restart"/>
                  <w:vAlign w:val="center"/>
                </w:tcPr>
                <w:p w14:paraId="22FCE76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28</w:t>
                  </w:r>
                </w:p>
              </w:tc>
              <w:tc>
                <w:tcPr>
                  <w:tcW w:w="600" w:type="dxa"/>
                  <w:vMerge w:val="restart"/>
                  <w:vAlign w:val="center"/>
                </w:tcPr>
                <w:p w14:paraId="238D943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1CC53A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距东厂界73</w:t>
                  </w:r>
                </w:p>
              </w:tc>
              <w:tc>
                <w:tcPr>
                  <w:tcW w:w="857" w:type="dxa"/>
                  <w:vAlign w:val="center"/>
                </w:tcPr>
                <w:p w14:paraId="528651E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60.8</w:t>
                  </w:r>
                </w:p>
              </w:tc>
              <w:tc>
                <w:tcPr>
                  <w:tcW w:w="707" w:type="dxa"/>
                  <w:vMerge w:val="continue"/>
                  <w:vAlign w:val="center"/>
                </w:tcPr>
                <w:p w14:paraId="381C4A9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60075BA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6E63C735">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390B26C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34.8</w:t>
                  </w:r>
                </w:p>
              </w:tc>
              <w:tc>
                <w:tcPr>
                  <w:tcW w:w="579" w:type="dxa"/>
                  <w:vAlign w:val="center"/>
                </w:tcPr>
                <w:p w14:paraId="7A73EC8F">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502656F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120C3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55FD909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449CCAB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1BC23CE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4086A5E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15254ED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025555A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7BBDE74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53E7D43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7769B4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距西厂界24</w:t>
                  </w:r>
                </w:p>
              </w:tc>
              <w:tc>
                <w:tcPr>
                  <w:tcW w:w="857" w:type="dxa"/>
                  <w:vAlign w:val="center"/>
                </w:tcPr>
                <w:p w14:paraId="06A5F16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61.2</w:t>
                  </w:r>
                </w:p>
              </w:tc>
              <w:tc>
                <w:tcPr>
                  <w:tcW w:w="707" w:type="dxa"/>
                  <w:vMerge w:val="continue"/>
                  <w:vAlign w:val="center"/>
                </w:tcPr>
                <w:p w14:paraId="2A81C0B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6461AD1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6E3FBB3A">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6C71720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35.2</w:t>
                  </w:r>
                </w:p>
              </w:tc>
              <w:tc>
                <w:tcPr>
                  <w:tcW w:w="579" w:type="dxa"/>
                  <w:vAlign w:val="center"/>
                </w:tcPr>
                <w:p w14:paraId="6EA04F6F">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5CE8B166">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587FB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0F3B97E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3E96BB4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1F33BE4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2CC0324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5CC81FF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6092D6E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34DBF4A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4285F03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3A700A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距南厂界28</w:t>
                  </w:r>
                </w:p>
              </w:tc>
              <w:tc>
                <w:tcPr>
                  <w:tcW w:w="857" w:type="dxa"/>
                  <w:vAlign w:val="center"/>
                </w:tcPr>
                <w:p w14:paraId="7EAD7B7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61.1</w:t>
                  </w:r>
                </w:p>
              </w:tc>
              <w:tc>
                <w:tcPr>
                  <w:tcW w:w="707" w:type="dxa"/>
                  <w:vMerge w:val="continue"/>
                  <w:vAlign w:val="center"/>
                </w:tcPr>
                <w:p w14:paraId="0518E01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6415C6E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583F4ED1">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6B6110E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35.1</w:t>
                  </w:r>
                </w:p>
              </w:tc>
              <w:tc>
                <w:tcPr>
                  <w:tcW w:w="579" w:type="dxa"/>
                  <w:vAlign w:val="center"/>
                </w:tcPr>
                <w:p w14:paraId="533639D2">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7003A3E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05D5C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11408A2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06AA4A6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4585F6B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5597A2C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356B61C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7F7EE0A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38886FE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51BC32A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3967576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距北厂界11</w:t>
                  </w:r>
                </w:p>
              </w:tc>
              <w:tc>
                <w:tcPr>
                  <w:tcW w:w="857" w:type="dxa"/>
                  <w:vAlign w:val="center"/>
                </w:tcPr>
                <w:p w14:paraId="468E796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62.4</w:t>
                  </w:r>
                </w:p>
              </w:tc>
              <w:tc>
                <w:tcPr>
                  <w:tcW w:w="707" w:type="dxa"/>
                  <w:vMerge w:val="continue"/>
                  <w:vAlign w:val="center"/>
                </w:tcPr>
                <w:p w14:paraId="359B97F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32C0DDC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7BC6ACD1">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64A19C7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36.4</w:t>
                  </w:r>
                </w:p>
              </w:tc>
              <w:tc>
                <w:tcPr>
                  <w:tcW w:w="579" w:type="dxa"/>
                  <w:vAlign w:val="center"/>
                </w:tcPr>
                <w:p w14:paraId="495530A8">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3E1A555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78ED3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2B8E30C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0F3A4839">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rPr>
                    <w:t>全自动锡膏印刷机</w:t>
                  </w:r>
                </w:p>
              </w:tc>
              <w:tc>
                <w:tcPr>
                  <w:tcW w:w="771" w:type="dxa"/>
                  <w:vMerge w:val="restart"/>
                  <w:vAlign w:val="center"/>
                </w:tcPr>
                <w:p w14:paraId="3D1CDC2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GKG GSE</w:t>
                  </w:r>
                </w:p>
              </w:tc>
              <w:tc>
                <w:tcPr>
                  <w:tcW w:w="1086" w:type="dxa"/>
                  <w:vMerge w:val="restart"/>
                  <w:vAlign w:val="center"/>
                </w:tcPr>
                <w:p w14:paraId="30DFF5A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75/1</w:t>
                  </w:r>
                </w:p>
              </w:tc>
              <w:tc>
                <w:tcPr>
                  <w:tcW w:w="750" w:type="dxa"/>
                  <w:vMerge w:val="continue"/>
                  <w:vAlign w:val="center"/>
                </w:tcPr>
                <w:p w14:paraId="2FD0252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78B7EA2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24</w:t>
                  </w:r>
                </w:p>
              </w:tc>
              <w:tc>
                <w:tcPr>
                  <w:tcW w:w="728" w:type="dxa"/>
                  <w:vMerge w:val="restart"/>
                  <w:vAlign w:val="center"/>
                </w:tcPr>
                <w:p w14:paraId="00F6E72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24</w:t>
                  </w:r>
                </w:p>
              </w:tc>
              <w:tc>
                <w:tcPr>
                  <w:tcW w:w="600" w:type="dxa"/>
                  <w:vMerge w:val="restart"/>
                  <w:vAlign w:val="center"/>
                </w:tcPr>
                <w:p w14:paraId="5BB45DE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150E18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距东厂界73</w:t>
                  </w:r>
                </w:p>
              </w:tc>
              <w:tc>
                <w:tcPr>
                  <w:tcW w:w="857" w:type="dxa"/>
                  <w:vAlign w:val="center"/>
                </w:tcPr>
                <w:p w14:paraId="33D382E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60.8</w:t>
                  </w:r>
                </w:p>
              </w:tc>
              <w:tc>
                <w:tcPr>
                  <w:tcW w:w="707" w:type="dxa"/>
                  <w:vMerge w:val="continue"/>
                  <w:vAlign w:val="center"/>
                </w:tcPr>
                <w:p w14:paraId="2275FBC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091D516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1D459DAD">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3E7A091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34.8</w:t>
                  </w:r>
                </w:p>
              </w:tc>
              <w:tc>
                <w:tcPr>
                  <w:tcW w:w="579" w:type="dxa"/>
                  <w:vAlign w:val="center"/>
                </w:tcPr>
                <w:p w14:paraId="370B2D9C">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658F2FCC">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57596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3ED3A6B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7FDC5A4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4285487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7131760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1AFA8BB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6321114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5381A1B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05C4FF4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4D0041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距西厂界24</w:t>
                  </w:r>
                </w:p>
              </w:tc>
              <w:tc>
                <w:tcPr>
                  <w:tcW w:w="857" w:type="dxa"/>
                  <w:vAlign w:val="center"/>
                </w:tcPr>
                <w:p w14:paraId="218BE8A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61.2</w:t>
                  </w:r>
                </w:p>
              </w:tc>
              <w:tc>
                <w:tcPr>
                  <w:tcW w:w="707" w:type="dxa"/>
                  <w:vMerge w:val="continue"/>
                  <w:vAlign w:val="center"/>
                </w:tcPr>
                <w:p w14:paraId="79C3BCC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7C63A7E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61216B26">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2E82786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35.2</w:t>
                  </w:r>
                </w:p>
              </w:tc>
              <w:tc>
                <w:tcPr>
                  <w:tcW w:w="579" w:type="dxa"/>
                  <w:vAlign w:val="center"/>
                </w:tcPr>
                <w:p w14:paraId="3E05BE70">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7DE0CF3C">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68EB3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496B7D9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49342E9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528AEC7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6B80356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5031412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676C262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06E1B70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16D3DC0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7F9F25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距南厂界24</w:t>
                  </w:r>
                </w:p>
              </w:tc>
              <w:tc>
                <w:tcPr>
                  <w:tcW w:w="857" w:type="dxa"/>
                  <w:vAlign w:val="center"/>
                </w:tcPr>
                <w:p w14:paraId="118B470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61.2</w:t>
                  </w:r>
                </w:p>
              </w:tc>
              <w:tc>
                <w:tcPr>
                  <w:tcW w:w="707" w:type="dxa"/>
                  <w:vMerge w:val="continue"/>
                  <w:vAlign w:val="center"/>
                </w:tcPr>
                <w:p w14:paraId="476AA36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480CF95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56FD1AA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0CF91E3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35.2</w:t>
                  </w:r>
                </w:p>
              </w:tc>
              <w:tc>
                <w:tcPr>
                  <w:tcW w:w="579" w:type="dxa"/>
                  <w:vAlign w:val="center"/>
                </w:tcPr>
                <w:p w14:paraId="44585DA0">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5695ACDE">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3F90F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327EE24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36C78B2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70619CB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1570344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2BAAA20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02CEA76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056D4D5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6FA45B1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62CD5A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距北厂界15</w:t>
                  </w:r>
                </w:p>
              </w:tc>
              <w:tc>
                <w:tcPr>
                  <w:tcW w:w="857" w:type="dxa"/>
                  <w:vAlign w:val="center"/>
                </w:tcPr>
                <w:p w14:paraId="6A6FBE7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61.7</w:t>
                  </w:r>
                </w:p>
              </w:tc>
              <w:tc>
                <w:tcPr>
                  <w:tcW w:w="707" w:type="dxa"/>
                  <w:vMerge w:val="continue"/>
                  <w:vAlign w:val="center"/>
                </w:tcPr>
                <w:p w14:paraId="609B05D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2805EF4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7051B03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4E89CE6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35.7</w:t>
                  </w:r>
                </w:p>
              </w:tc>
              <w:tc>
                <w:tcPr>
                  <w:tcW w:w="579" w:type="dxa"/>
                  <w:vAlign w:val="center"/>
                </w:tcPr>
                <w:p w14:paraId="57A20CD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0FA0FDE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08CF7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59B8535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35E10BB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rPr>
                    <w:t>全自动锡膏印刷机</w:t>
                  </w:r>
                </w:p>
              </w:tc>
              <w:tc>
                <w:tcPr>
                  <w:tcW w:w="771" w:type="dxa"/>
                  <w:vMerge w:val="restart"/>
                  <w:vAlign w:val="center"/>
                </w:tcPr>
                <w:p w14:paraId="70A1B7E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GKG GSE</w:t>
                  </w:r>
                </w:p>
              </w:tc>
              <w:tc>
                <w:tcPr>
                  <w:tcW w:w="1086" w:type="dxa"/>
                  <w:vMerge w:val="restart"/>
                  <w:vAlign w:val="center"/>
                </w:tcPr>
                <w:p w14:paraId="7680D16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75/1</w:t>
                  </w:r>
                </w:p>
              </w:tc>
              <w:tc>
                <w:tcPr>
                  <w:tcW w:w="750" w:type="dxa"/>
                  <w:vMerge w:val="continue"/>
                  <w:vAlign w:val="center"/>
                </w:tcPr>
                <w:p w14:paraId="2D6CB51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072A67B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39</w:t>
                  </w:r>
                </w:p>
              </w:tc>
              <w:tc>
                <w:tcPr>
                  <w:tcW w:w="728" w:type="dxa"/>
                  <w:vMerge w:val="restart"/>
                  <w:vAlign w:val="center"/>
                </w:tcPr>
                <w:p w14:paraId="528B07D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35</w:t>
                  </w:r>
                </w:p>
              </w:tc>
              <w:tc>
                <w:tcPr>
                  <w:tcW w:w="600" w:type="dxa"/>
                  <w:vMerge w:val="restart"/>
                  <w:vAlign w:val="center"/>
                </w:tcPr>
                <w:p w14:paraId="7077A56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304E5A3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距东厂界50</w:t>
                  </w:r>
                </w:p>
              </w:tc>
              <w:tc>
                <w:tcPr>
                  <w:tcW w:w="857" w:type="dxa"/>
                  <w:vAlign w:val="center"/>
                </w:tcPr>
                <w:p w14:paraId="27E93C7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60.9</w:t>
                  </w:r>
                </w:p>
              </w:tc>
              <w:tc>
                <w:tcPr>
                  <w:tcW w:w="707" w:type="dxa"/>
                  <w:vMerge w:val="continue"/>
                  <w:vAlign w:val="center"/>
                </w:tcPr>
                <w:p w14:paraId="045F9F1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43081BC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26491D5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608B0E9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34.9</w:t>
                  </w:r>
                </w:p>
              </w:tc>
              <w:tc>
                <w:tcPr>
                  <w:tcW w:w="579" w:type="dxa"/>
                  <w:vAlign w:val="center"/>
                </w:tcPr>
                <w:p w14:paraId="1AD22A5B">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4F3F2C8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1E948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2C7F333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75BBFAD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75C0C55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3A55D46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712B3C5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19F3105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189CA88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4A05458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6AFB5B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距西厂界39</w:t>
                  </w:r>
                </w:p>
              </w:tc>
              <w:tc>
                <w:tcPr>
                  <w:tcW w:w="857" w:type="dxa"/>
                  <w:vAlign w:val="center"/>
                </w:tcPr>
                <w:p w14:paraId="37D5390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60.9</w:t>
                  </w:r>
                </w:p>
              </w:tc>
              <w:tc>
                <w:tcPr>
                  <w:tcW w:w="707" w:type="dxa"/>
                  <w:vMerge w:val="continue"/>
                  <w:vAlign w:val="center"/>
                </w:tcPr>
                <w:p w14:paraId="1EE0EC6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497AD8A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4BDEFA2F">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7117A3D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34.9</w:t>
                  </w:r>
                </w:p>
              </w:tc>
              <w:tc>
                <w:tcPr>
                  <w:tcW w:w="579" w:type="dxa"/>
                  <w:vAlign w:val="center"/>
                </w:tcPr>
                <w:p w14:paraId="0F80EF6A">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2723D3AE">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56C37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2742C0F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157AF4B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459F1FF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6BB9179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17D3FC5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5747919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2786B68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607F191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06899B3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距南厂界35</w:t>
                  </w:r>
                </w:p>
              </w:tc>
              <w:tc>
                <w:tcPr>
                  <w:tcW w:w="857" w:type="dxa"/>
                  <w:vAlign w:val="center"/>
                </w:tcPr>
                <w:p w14:paraId="7D5559C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61.0</w:t>
                  </w:r>
                </w:p>
              </w:tc>
              <w:tc>
                <w:tcPr>
                  <w:tcW w:w="707" w:type="dxa"/>
                  <w:vMerge w:val="continue"/>
                  <w:vAlign w:val="center"/>
                </w:tcPr>
                <w:p w14:paraId="7CE5EEC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543450C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6ECB73B9">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68F6EB5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35.0</w:t>
                  </w:r>
                </w:p>
              </w:tc>
              <w:tc>
                <w:tcPr>
                  <w:tcW w:w="579" w:type="dxa"/>
                  <w:vAlign w:val="center"/>
                </w:tcPr>
                <w:p w14:paraId="7650FA26">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40BF751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38007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4AE9EF6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782FEC9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7F55A6D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0A98247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3A75E5F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4BA50AC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4500857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796EBE2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335114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距北厂界4</w:t>
                  </w:r>
                </w:p>
              </w:tc>
              <w:tc>
                <w:tcPr>
                  <w:tcW w:w="857" w:type="dxa"/>
                  <w:vAlign w:val="center"/>
                </w:tcPr>
                <w:p w14:paraId="0C7A61E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67.1</w:t>
                  </w:r>
                </w:p>
              </w:tc>
              <w:tc>
                <w:tcPr>
                  <w:tcW w:w="707" w:type="dxa"/>
                  <w:vMerge w:val="continue"/>
                  <w:vAlign w:val="center"/>
                </w:tcPr>
                <w:p w14:paraId="07C131C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62EFD8A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4C1E66B2">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032D7BB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41.1</w:t>
                  </w:r>
                </w:p>
              </w:tc>
              <w:tc>
                <w:tcPr>
                  <w:tcW w:w="579" w:type="dxa"/>
                  <w:vAlign w:val="center"/>
                </w:tcPr>
                <w:p w14:paraId="08B295B8">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02B0CB4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48EAC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44EB03A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01BD6B6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rPr>
                    <w:t>全自动锡膏印刷机</w:t>
                  </w:r>
                </w:p>
              </w:tc>
              <w:tc>
                <w:tcPr>
                  <w:tcW w:w="771" w:type="dxa"/>
                  <w:vMerge w:val="restart"/>
                  <w:vAlign w:val="center"/>
                </w:tcPr>
                <w:p w14:paraId="6D8B5A6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GKG GSE</w:t>
                  </w:r>
                </w:p>
              </w:tc>
              <w:tc>
                <w:tcPr>
                  <w:tcW w:w="1086" w:type="dxa"/>
                  <w:vMerge w:val="restart"/>
                  <w:vAlign w:val="center"/>
                </w:tcPr>
                <w:p w14:paraId="41B5D04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75/1</w:t>
                  </w:r>
                </w:p>
              </w:tc>
              <w:tc>
                <w:tcPr>
                  <w:tcW w:w="750" w:type="dxa"/>
                  <w:vMerge w:val="continue"/>
                  <w:vAlign w:val="center"/>
                </w:tcPr>
                <w:p w14:paraId="26142FE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00B341B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39</w:t>
                  </w:r>
                </w:p>
              </w:tc>
              <w:tc>
                <w:tcPr>
                  <w:tcW w:w="728" w:type="dxa"/>
                  <w:vMerge w:val="restart"/>
                  <w:vAlign w:val="center"/>
                </w:tcPr>
                <w:p w14:paraId="5318BDA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31</w:t>
                  </w:r>
                </w:p>
              </w:tc>
              <w:tc>
                <w:tcPr>
                  <w:tcW w:w="600" w:type="dxa"/>
                  <w:vMerge w:val="restart"/>
                  <w:vAlign w:val="center"/>
                </w:tcPr>
                <w:p w14:paraId="1A0D12C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484F953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距东厂界50</w:t>
                  </w:r>
                </w:p>
              </w:tc>
              <w:tc>
                <w:tcPr>
                  <w:tcW w:w="857" w:type="dxa"/>
                  <w:vAlign w:val="center"/>
                </w:tcPr>
                <w:p w14:paraId="6B0A77E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60.9</w:t>
                  </w:r>
                </w:p>
              </w:tc>
              <w:tc>
                <w:tcPr>
                  <w:tcW w:w="707" w:type="dxa"/>
                  <w:vMerge w:val="continue"/>
                  <w:vAlign w:val="center"/>
                </w:tcPr>
                <w:p w14:paraId="766A992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543D5A2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060B395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5C3D9C6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34.9</w:t>
                  </w:r>
                </w:p>
              </w:tc>
              <w:tc>
                <w:tcPr>
                  <w:tcW w:w="579" w:type="dxa"/>
                  <w:vAlign w:val="center"/>
                </w:tcPr>
                <w:p w14:paraId="5FDE0D06">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70E89CB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26FC2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04D8397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03857F3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1DE9D87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41902B9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4A175AC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68D302B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5BE593A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2E90723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168E4D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距西厂界39</w:t>
                  </w:r>
                </w:p>
              </w:tc>
              <w:tc>
                <w:tcPr>
                  <w:tcW w:w="857" w:type="dxa"/>
                  <w:vAlign w:val="center"/>
                </w:tcPr>
                <w:p w14:paraId="0BD52A4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60.9</w:t>
                  </w:r>
                </w:p>
              </w:tc>
              <w:tc>
                <w:tcPr>
                  <w:tcW w:w="707" w:type="dxa"/>
                  <w:vMerge w:val="continue"/>
                  <w:vAlign w:val="center"/>
                </w:tcPr>
                <w:p w14:paraId="5812ED4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4D7652B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43B23120">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5D9BE96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34.9</w:t>
                  </w:r>
                </w:p>
              </w:tc>
              <w:tc>
                <w:tcPr>
                  <w:tcW w:w="579" w:type="dxa"/>
                  <w:vAlign w:val="center"/>
                </w:tcPr>
                <w:p w14:paraId="4B00410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29F2A66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6F437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5177FF2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686E8A4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1F836E0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136A354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1236FB3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50D2960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72ED888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2E66F2F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25A4D44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距南厂界31</w:t>
                  </w:r>
                </w:p>
              </w:tc>
              <w:tc>
                <w:tcPr>
                  <w:tcW w:w="857" w:type="dxa"/>
                  <w:vAlign w:val="center"/>
                </w:tcPr>
                <w:p w14:paraId="0515D8C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61.0</w:t>
                  </w:r>
                </w:p>
              </w:tc>
              <w:tc>
                <w:tcPr>
                  <w:tcW w:w="707" w:type="dxa"/>
                  <w:vMerge w:val="continue"/>
                  <w:vAlign w:val="center"/>
                </w:tcPr>
                <w:p w14:paraId="384633B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626A844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1D1C40D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0AC5F40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35.0</w:t>
                  </w:r>
                </w:p>
              </w:tc>
              <w:tc>
                <w:tcPr>
                  <w:tcW w:w="579" w:type="dxa"/>
                  <w:vAlign w:val="center"/>
                </w:tcPr>
                <w:p w14:paraId="64E695C1">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23186EA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4AC7D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089D27E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2E4A081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395C1F6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02265F8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01686BA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4825209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5EA28BD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4FD1900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1920D0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距北厂界8</w:t>
                  </w:r>
                </w:p>
              </w:tc>
              <w:tc>
                <w:tcPr>
                  <w:tcW w:w="857" w:type="dxa"/>
                  <w:vAlign w:val="center"/>
                </w:tcPr>
                <w:p w14:paraId="72E014E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63.4</w:t>
                  </w:r>
                </w:p>
              </w:tc>
              <w:tc>
                <w:tcPr>
                  <w:tcW w:w="707" w:type="dxa"/>
                  <w:vMerge w:val="continue"/>
                  <w:vAlign w:val="center"/>
                </w:tcPr>
                <w:p w14:paraId="19D17C2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45D8B45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7E2109C8">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3DB84CD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37.4</w:t>
                  </w:r>
                </w:p>
              </w:tc>
              <w:tc>
                <w:tcPr>
                  <w:tcW w:w="579" w:type="dxa"/>
                  <w:vAlign w:val="center"/>
                </w:tcPr>
                <w:p w14:paraId="4F6D081F">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362104DF">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029D0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5005991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63146C3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rPr>
                    <w:t>全自动锡膏印刷机</w:t>
                  </w:r>
                </w:p>
              </w:tc>
              <w:tc>
                <w:tcPr>
                  <w:tcW w:w="771" w:type="dxa"/>
                  <w:vMerge w:val="restart"/>
                  <w:vAlign w:val="center"/>
                </w:tcPr>
                <w:p w14:paraId="44CF6FE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GKG GSE</w:t>
                  </w:r>
                </w:p>
              </w:tc>
              <w:tc>
                <w:tcPr>
                  <w:tcW w:w="1086" w:type="dxa"/>
                  <w:vMerge w:val="restart"/>
                  <w:vAlign w:val="center"/>
                </w:tcPr>
                <w:p w14:paraId="771AD09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75/1</w:t>
                  </w:r>
                </w:p>
              </w:tc>
              <w:tc>
                <w:tcPr>
                  <w:tcW w:w="750" w:type="dxa"/>
                  <w:vMerge w:val="continue"/>
                  <w:vAlign w:val="center"/>
                </w:tcPr>
                <w:p w14:paraId="3EDABD5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19AB760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39</w:t>
                  </w:r>
                </w:p>
              </w:tc>
              <w:tc>
                <w:tcPr>
                  <w:tcW w:w="728" w:type="dxa"/>
                  <w:vMerge w:val="restart"/>
                  <w:vAlign w:val="center"/>
                </w:tcPr>
                <w:p w14:paraId="30C4616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28</w:t>
                  </w:r>
                </w:p>
              </w:tc>
              <w:tc>
                <w:tcPr>
                  <w:tcW w:w="600" w:type="dxa"/>
                  <w:vMerge w:val="restart"/>
                  <w:vAlign w:val="center"/>
                </w:tcPr>
                <w:p w14:paraId="004BC3F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42A293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距东厂界50</w:t>
                  </w:r>
                </w:p>
              </w:tc>
              <w:tc>
                <w:tcPr>
                  <w:tcW w:w="857" w:type="dxa"/>
                  <w:vAlign w:val="center"/>
                </w:tcPr>
                <w:p w14:paraId="00BFB7A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60.9</w:t>
                  </w:r>
                </w:p>
              </w:tc>
              <w:tc>
                <w:tcPr>
                  <w:tcW w:w="707" w:type="dxa"/>
                  <w:vMerge w:val="continue"/>
                  <w:vAlign w:val="center"/>
                </w:tcPr>
                <w:p w14:paraId="54E50AF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16372F5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535251B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2828629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34.9</w:t>
                  </w:r>
                </w:p>
              </w:tc>
              <w:tc>
                <w:tcPr>
                  <w:tcW w:w="579" w:type="dxa"/>
                  <w:vAlign w:val="center"/>
                </w:tcPr>
                <w:p w14:paraId="2DFC606F">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10EA7B2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53E34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1188431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65CF836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77937E9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700866A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65759EE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7D9B2B6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30C649B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79CEAD1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5C1CFB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距西厂界39</w:t>
                  </w:r>
                </w:p>
              </w:tc>
              <w:tc>
                <w:tcPr>
                  <w:tcW w:w="857" w:type="dxa"/>
                  <w:vAlign w:val="center"/>
                </w:tcPr>
                <w:p w14:paraId="6183432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60.9</w:t>
                  </w:r>
                </w:p>
              </w:tc>
              <w:tc>
                <w:tcPr>
                  <w:tcW w:w="707" w:type="dxa"/>
                  <w:vMerge w:val="continue"/>
                  <w:vAlign w:val="center"/>
                </w:tcPr>
                <w:p w14:paraId="703409A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70DA003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52E1C37D">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7E7F1AF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34.9</w:t>
                  </w:r>
                </w:p>
              </w:tc>
              <w:tc>
                <w:tcPr>
                  <w:tcW w:w="579" w:type="dxa"/>
                  <w:vAlign w:val="center"/>
                </w:tcPr>
                <w:p w14:paraId="02C297C5">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652F4D7E">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0CD7E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33B28F7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4C21553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6290000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7487C8B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0D1AE6D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2973DA9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58A2086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0120C36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62AC53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距南厂界28</w:t>
                  </w:r>
                </w:p>
              </w:tc>
              <w:tc>
                <w:tcPr>
                  <w:tcW w:w="857" w:type="dxa"/>
                  <w:vAlign w:val="center"/>
                </w:tcPr>
                <w:p w14:paraId="4ECB099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61.1</w:t>
                  </w:r>
                </w:p>
              </w:tc>
              <w:tc>
                <w:tcPr>
                  <w:tcW w:w="707" w:type="dxa"/>
                  <w:vMerge w:val="continue"/>
                  <w:vAlign w:val="center"/>
                </w:tcPr>
                <w:p w14:paraId="49E4798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22230ED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4A7AAD41">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3F4E77C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35.1</w:t>
                  </w:r>
                </w:p>
              </w:tc>
              <w:tc>
                <w:tcPr>
                  <w:tcW w:w="579" w:type="dxa"/>
                  <w:vAlign w:val="center"/>
                </w:tcPr>
                <w:p w14:paraId="7164B94C">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25A2736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69F57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59F233A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5841864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1159A00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5FBE891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165F3CE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13A881A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7763DC7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36A9246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561637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距北厂界11</w:t>
                  </w:r>
                </w:p>
              </w:tc>
              <w:tc>
                <w:tcPr>
                  <w:tcW w:w="857" w:type="dxa"/>
                  <w:vAlign w:val="center"/>
                </w:tcPr>
                <w:p w14:paraId="614C3A2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62.4</w:t>
                  </w:r>
                </w:p>
              </w:tc>
              <w:tc>
                <w:tcPr>
                  <w:tcW w:w="707" w:type="dxa"/>
                  <w:vMerge w:val="continue"/>
                  <w:vAlign w:val="center"/>
                </w:tcPr>
                <w:p w14:paraId="4CD24F5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60FC0A5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3184BBDC">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41E76F8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36.4</w:t>
                  </w:r>
                </w:p>
              </w:tc>
              <w:tc>
                <w:tcPr>
                  <w:tcW w:w="579" w:type="dxa"/>
                  <w:vAlign w:val="center"/>
                </w:tcPr>
                <w:p w14:paraId="710DC09F">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70C1C6D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296CE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208A605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03AAE43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rPr>
                    <w:t>全自动锡膏印刷机</w:t>
                  </w:r>
                </w:p>
              </w:tc>
              <w:tc>
                <w:tcPr>
                  <w:tcW w:w="771" w:type="dxa"/>
                  <w:vMerge w:val="restart"/>
                  <w:vAlign w:val="center"/>
                </w:tcPr>
                <w:p w14:paraId="4A67D8C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GKG GSE</w:t>
                  </w:r>
                </w:p>
              </w:tc>
              <w:tc>
                <w:tcPr>
                  <w:tcW w:w="1086" w:type="dxa"/>
                  <w:vMerge w:val="restart"/>
                  <w:vAlign w:val="center"/>
                </w:tcPr>
                <w:p w14:paraId="22933F5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75/1</w:t>
                  </w:r>
                </w:p>
              </w:tc>
              <w:tc>
                <w:tcPr>
                  <w:tcW w:w="750" w:type="dxa"/>
                  <w:vMerge w:val="continue"/>
                  <w:vAlign w:val="center"/>
                </w:tcPr>
                <w:p w14:paraId="6D8555F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38820A0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39</w:t>
                  </w:r>
                </w:p>
              </w:tc>
              <w:tc>
                <w:tcPr>
                  <w:tcW w:w="728" w:type="dxa"/>
                  <w:vMerge w:val="restart"/>
                  <w:vAlign w:val="center"/>
                </w:tcPr>
                <w:p w14:paraId="2395918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24</w:t>
                  </w:r>
                </w:p>
              </w:tc>
              <w:tc>
                <w:tcPr>
                  <w:tcW w:w="600" w:type="dxa"/>
                  <w:vMerge w:val="restart"/>
                  <w:vAlign w:val="center"/>
                </w:tcPr>
                <w:p w14:paraId="6EB3A21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206742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距东厂界50</w:t>
                  </w:r>
                </w:p>
              </w:tc>
              <w:tc>
                <w:tcPr>
                  <w:tcW w:w="857" w:type="dxa"/>
                  <w:vAlign w:val="center"/>
                </w:tcPr>
                <w:p w14:paraId="10E4356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60.9</w:t>
                  </w:r>
                </w:p>
              </w:tc>
              <w:tc>
                <w:tcPr>
                  <w:tcW w:w="707" w:type="dxa"/>
                  <w:vMerge w:val="continue"/>
                  <w:vAlign w:val="center"/>
                </w:tcPr>
                <w:p w14:paraId="789002E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78B3CB2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5511A39D">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6EE5B45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34.9</w:t>
                  </w:r>
                </w:p>
              </w:tc>
              <w:tc>
                <w:tcPr>
                  <w:tcW w:w="579" w:type="dxa"/>
                  <w:vAlign w:val="center"/>
                </w:tcPr>
                <w:p w14:paraId="53C98B30">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25F68C1F">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6D2DA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54D6981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5B36089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5BBE911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03E5F13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13B6375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2F11329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4B25A48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0645D72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2DA643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距西厂界39</w:t>
                  </w:r>
                </w:p>
              </w:tc>
              <w:tc>
                <w:tcPr>
                  <w:tcW w:w="857" w:type="dxa"/>
                  <w:vAlign w:val="center"/>
                </w:tcPr>
                <w:p w14:paraId="0611070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60.9</w:t>
                  </w:r>
                </w:p>
              </w:tc>
              <w:tc>
                <w:tcPr>
                  <w:tcW w:w="707" w:type="dxa"/>
                  <w:vMerge w:val="continue"/>
                  <w:vAlign w:val="center"/>
                </w:tcPr>
                <w:p w14:paraId="49AC700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2BE0293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3F7D79F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7A222EC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34.9</w:t>
                  </w:r>
                </w:p>
              </w:tc>
              <w:tc>
                <w:tcPr>
                  <w:tcW w:w="579" w:type="dxa"/>
                  <w:vAlign w:val="center"/>
                </w:tcPr>
                <w:p w14:paraId="61EA628E">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03297D1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53BD0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3015325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46FB703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2F22CE0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6138945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50E4B46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4E1B4E0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36D8C1F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2588160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640725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距南厂界24</w:t>
                  </w:r>
                </w:p>
              </w:tc>
              <w:tc>
                <w:tcPr>
                  <w:tcW w:w="857" w:type="dxa"/>
                  <w:vAlign w:val="center"/>
                </w:tcPr>
                <w:p w14:paraId="773DB18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61.2</w:t>
                  </w:r>
                </w:p>
              </w:tc>
              <w:tc>
                <w:tcPr>
                  <w:tcW w:w="707" w:type="dxa"/>
                  <w:vMerge w:val="continue"/>
                  <w:vAlign w:val="center"/>
                </w:tcPr>
                <w:p w14:paraId="280B562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461EFA1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06859205">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40BC2B8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35.2</w:t>
                  </w:r>
                </w:p>
              </w:tc>
              <w:tc>
                <w:tcPr>
                  <w:tcW w:w="579" w:type="dxa"/>
                  <w:vAlign w:val="center"/>
                </w:tcPr>
                <w:p w14:paraId="3860C9C6">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2D461019">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0842B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43" w:type="dxa"/>
                  <w:vMerge w:val="continue"/>
                  <w:vAlign w:val="center"/>
                </w:tcPr>
                <w:p w14:paraId="474B54D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79B3E78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0EF5B0B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29513F5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515B835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70B3B7C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13F7E0F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2BC8A49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75947D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距北厂界15</w:t>
                  </w:r>
                </w:p>
              </w:tc>
              <w:tc>
                <w:tcPr>
                  <w:tcW w:w="857" w:type="dxa"/>
                  <w:vAlign w:val="center"/>
                </w:tcPr>
                <w:p w14:paraId="512052A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61.7</w:t>
                  </w:r>
                </w:p>
              </w:tc>
              <w:tc>
                <w:tcPr>
                  <w:tcW w:w="707" w:type="dxa"/>
                  <w:vMerge w:val="continue"/>
                  <w:vAlign w:val="center"/>
                </w:tcPr>
                <w:p w14:paraId="5CBC5AD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75286EA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5EF68B47">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055B42A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35.7</w:t>
                  </w:r>
                </w:p>
              </w:tc>
              <w:tc>
                <w:tcPr>
                  <w:tcW w:w="579" w:type="dxa"/>
                  <w:vAlign w:val="center"/>
                </w:tcPr>
                <w:p w14:paraId="3FBDA7DC">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77AA60EE">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2972F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662C875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2C741F8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回流焊</w:t>
                  </w:r>
                </w:p>
              </w:tc>
              <w:tc>
                <w:tcPr>
                  <w:tcW w:w="771" w:type="dxa"/>
                  <w:vMerge w:val="restart"/>
                  <w:vAlign w:val="center"/>
                </w:tcPr>
                <w:p w14:paraId="66CC88FE">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rPr>
                    <w:t>RNS-1040/MR933</w:t>
                  </w:r>
                </w:p>
              </w:tc>
              <w:tc>
                <w:tcPr>
                  <w:tcW w:w="1086" w:type="dxa"/>
                  <w:vMerge w:val="restart"/>
                  <w:vAlign w:val="center"/>
                </w:tcPr>
                <w:p w14:paraId="6C66E85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70/1</w:t>
                  </w:r>
                </w:p>
              </w:tc>
              <w:tc>
                <w:tcPr>
                  <w:tcW w:w="750" w:type="dxa"/>
                  <w:vMerge w:val="continue"/>
                  <w:vAlign w:val="center"/>
                </w:tcPr>
                <w:p w14:paraId="738DA38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1892026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65</w:t>
                  </w:r>
                </w:p>
              </w:tc>
              <w:tc>
                <w:tcPr>
                  <w:tcW w:w="728" w:type="dxa"/>
                  <w:vMerge w:val="restart"/>
                  <w:vAlign w:val="center"/>
                </w:tcPr>
                <w:p w14:paraId="012074B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35</w:t>
                  </w:r>
                </w:p>
              </w:tc>
              <w:tc>
                <w:tcPr>
                  <w:tcW w:w="600" w:type="dxa"/>
                  <w:vMerge w:val="restart"/>
                  <w:vAlign w:val="center"/>
                </w:tcPr>
                <w:p w14:paraId="626CCE0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7DE254D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距东厂界32</w:t>
                  </w:r>
                </w:p>
              </w:tc>
              <w:tc>
                <w:tcPr>
                  <w:tcW w:w="857" w:type="dxa"/>
                  <w:vAlign w:val="center"/>
                </w:tcPr>
                <w:p w14:paraId="3464D5C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56.0</w:t>
                  </w:r>
                </w:p>
              </w:tc>
              <w:tc>
                <w:tcPr>
                  <w:tcW w:w="707" w:type="dxa"/>
                  <w:vMerge w:val="continue"/>
                  <w:vAlign w:val="center"/>
                </w:tcPr>
                <w:p w14:paraId="0CC66D3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6412016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4ADDB9D0">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36E1705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30.0</w:t>
                  </w:r>
                </w:p>
              </w:tc>
              <w:tc>
                <w:tcPr>
                  <w:tcW w:w="579" w:type="dxa"/>
                  <w:vAlign w:val="center"/>
                </w:tcPr>
                <w:p w14:paraId="1B4F5B15">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2EA0BA6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148D5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461BD2D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23EDC21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49B628A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0919496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7F30D73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6F315FF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0DB0063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7393B89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48EF63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距西厂界65</w:t>
                  </w:r>
                </w:p>
              </w:tc>
              <w:tc>
                <w:tcPr>
                  <w:tcW w:w="857" w:type="dxa"/>
                  <w:vAlign w:val="center"/>
                </w:tcPr>
                <w:p w14:paraId="6519B41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55.9</w:t>
                  </w:r>
                </w:p>
              </w:tc>
              <w:tc>
                <w:tcPr>
                  <w:tcW w:w="707" w:type="dxa"/>
                  <w:vMerge w:val="continue"/>
                  <w:vAlign w:val="center"/>
                </w:tcPr>
                <w:p w14:paraId="14B3942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31F887D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52A3670C">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6A88CC8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29.9</w:t>
                  </w:r>
                </w:p>
              </w:tc>
              <w:tc>
                <w:tcPr>
                  <w:tcW w:w="579" w:type="dxa"/>
                  <w:vAlign w:val="center"/>
                </w:tcPr>
                <w:p w14:paraId="59CDE26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112F455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6DEDC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6F76881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063EA7F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0ACBDC3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4F97CDF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31FAF20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542E19F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65995FC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2516791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1DB614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距南厂界35</w:t>
                  </w:r>
                </w:p>
              </w:tc>
              <w:tc>
                <w:tcPr>
                  <w:tcW w:w="857" w:type="dxa"/>
                  <w:vAlign w:val="center"/>
                </w:tcPr>
                <w:p w14:paraId="2EE4BAF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56.0</w:t>
                  </w:r>
                </w:p>
              </w:tc>
              <w:tc>
                <w:tcPr>
                  <w:tcW w:w="707" w:type="dxa"/>
                  <w:vMerge w:val="continue"/>
                  <w:vAlign w:val="center"/>
                </w:tcPr>
                <w:p w14:paraId="4F963B6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5EDE1D8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7B7C460D">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0A29DCA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30.0</w:t>
                  </w:r>
                </w:p>
              </w:tc>
              <w:tc>
                <w:tcPr>
                  <w:tcW w:w="579" w:type="dxa"/>
                  <w:vAlign w:val="center"/>
                </w:tcPr>
                <w:p w14:paraId="14E40CA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55E015A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02A0C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10A23DD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6AD4532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6E11D96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3A8236B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27BE965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4FDD7FE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55A053C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23E410C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656D91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距北厂界4</w:t>
                  </w:r>
                </w:p>
              </w:tc>
              <w:tc>
                <w:tcPr>
                  <w:tcW w:w="857" w:type="dxa"/>
                  <w:vAlign w:val="center"/>
                </w:tcPr>
                <w:p w14:paraId="560C699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62.1</w:t>
                  </w:r>
                </w:p>
              </w:tc>
              <w:tc>
                <w:tcPr>
                  <w:tcW w:w="707" w:type="dxa"/>
                  <w:vMerge w:val="continue"/>
                  <w:vAlign w:val="center"/>
                </w:tcPr>
                <w:p w14:paraId="1F45AC3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7B4C5CB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76382EAF">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746BE49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36.1</w:t>
                  </w:r>
                </w:p>
              </w:tc>
              <w:tc>
                <w:tcPr>
                  <w:tcW w:w="579" w:type="dxa"/>
                  <w:vAlign w:val="center"/>
                </w:tcPr>
                <w:p w14:paraId="3B9FB8AA">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1B6BA9E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39999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0BE1896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0DA91863">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回流焊</w:t>
                  </w:r>
                </w:p>
              </w:tc>
              <w:tc>
                <w:tcPr>
                  <w:tcW w:w="771" w:type="dxa"/>
                  <w:vMerge w:val="restart"/>
                  <w:vAlign w:val="center"/>
                </w:tcPr>
                <w:p w14:paraId="7CB0B3D6">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rPr>
                    <w:t>RNS-1040/MR933</w:t>
                  </w:r>
                </w:p>
              </w:tc>
              <w:tc>
                <w:tcPr>
                  <w:tcW w:w="1086" w:type="dxa"/>
                  <w:vMerge w:val="restart"/>
                  <w:vAlign w:val="center"/>
                </w:tcPr>
                <w:p w14:paraId="3FD77A7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70/1</w:t>
                  </w:r>
                </w:p>
              </w:tc>
              <w:tc>
                <w:tcPr>
                  <w:tcW w:w="750" w:type="dxa"/>
                  <w:vMerge w:val="continue"/>
                  <w:vAlign w:val="center"/>
                </w:tcPr>
                <w:p w14:paraId="42DCEE0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514D7AB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65</w:t>
                  </w:r>
                </w:p>
              </w:tc>
              <w:tc>
                <w:tcPr>
                  <w:tcW w:w="728" w:type="dxa"/>
                  <w:vMerge w:val="restart"/>
                  <w:vAlign w:val="center"/>
                </w:tcPr>
                <w:p w14:paraId="397180A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31</w:t>
                  </w:r>
                </w:p>
              </w:tc>
              <w:tc>
                <w:tcPr>
                  <w:tcW w:w="600" w:type="dxa"/>
                  <w:vMerge w:val="restart"/>
                  <w:vAlign w:val="center"/>
                </w:tcPr>
                <w:p w14:paraId="79F31C0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469FCF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距东厂界32</w:t>
                  </w:r>
                </w:p>
              </w:tc>
              <w:tc>
                <w:tcPr>
                  <w:tcW w:w="857" w:type="dxa"/>
                  <w:vAlign w:val="center"/>
                </w:tcPr>
                <w:p w14:paraId="051AA76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56.0</w:t>
                  </w:r>
                </w:p>
              </w:tc>
              <w:tc>
                <w:tcPr>
                  <w:tcW w:w="707" w:type="dxa"/>
                  <w:vMerge w:val="continue"/>
                  <w:vAlign w:val="center"/>
                </w:tcPr>
                <w:p w14:paraId="2F6C109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24AF40D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49B49D6D">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6347AAC4">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10"/>
                      <w:sz w:val="21"/>
                      <w:szCs w:val="21"/>
                      <w:u w:val="single"/>
                      <w:vertAlign w:val="baseline"/>
                      <w:lang w:val="en-US" w:eastAsia="zh-CN" w:bidi="ar-SA"/>
                    </w:rPr>
                  </w:pPr>
                  <w:r>
                    <w:rPr>
                      <w:rFonts w:hint="default" w:ascii="Times New Roman" w:hAnsi="Times New Roman" w:eastAsia="宋体" w:cs="Times New Roman"/>
                      <w:color w:val="auto"/>
                      <w:sz w:val="21"/>
                      <w:szCs w:val="21"/>
                      <w:u w:val="single"/>
                      <w:vertAlign w:val="baseline"/>
                      <w:lang w:val="en-US" w:eastAsia="zh-CN"/>
                    </w:rPr>
                    <w:t>30.0</w:t>
                  </w:r>
                </w:p>
              </w:tc>
              <w:tc>
                <w:tcPr>
                  <w:tcW w:w="579" w:type="dxa"/>
                  <w:vAlign w:val="center"/>
                </w:tcPr>
                <w:p w14:paraId="791045A8">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51D3EE6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48AB3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0CAE4AF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1507261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364E141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0E802B2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2D2E909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7F18AA1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58F396E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7D86D7A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6E0028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距西厂界65</w:t>
                  </w:r>
                </w:p>
              </w:tc>
              <w:tc>
                <w:tcPr>
                  <w:tcW w:w="857" w:type="dxa"/>
                  <w:vAlign w:val="center"/>
                </w:tcPr>
                <w:p w14:paraId="3A3C113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55.9</w:t>
                  </w:r>
                </w:p>
              </w:tc>
              <w:tc>
                <w:tcPr>
                  <w:tcW w:w="707" w:type="dxa"/>
                  <w:vMerge w:val="continue"/>
                  <w:vAlign w:val="center"/>
                </w:tcPr>
                <w:p w14:paraId="0E8771F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6146BC3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1841339D">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081F3B48">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10"/>
                      <w:sz w:val="21"/>
                      <w:szCs w:val="21"/>
                      <w:u w:val="single"/>
                      <w:vertAlign w:val="baseline"/>
                      <w:lang w:val="en-US" w:eastAsia="zh-CN" w:bidi="ar-SA"/>
                    </w:rPr>
                  </w:pPr>
                  <w:r>
                    <w:rPr>
                      <w:rFonts w:hint="default" w:ascii="Times New Roman" w:hAnsi="Times New Roman" w:eastAsia="宋体" w:cs="Times New Roman"/>
                      <w:color w:val="auto"/>
                      <w:sz w:val="21"/>
                      <w:szCs w:val="21"/>
                      <w:u w:val="single"/>
                      <w:vertAlign w:val="baseline"/>
                      <w:lang w:val="en-US" w:eastAsia="zh-CN"/>
                    </w:rPr>
                    <w:t>29.9</w:t>
                  </w:r>
                </w:p>
              </w:tc>
              <w:tc>
                <w:tcPr>
                  <w:tcW w:w="579" w:type="dxa"/>
                  <w:vAlign w:val="center"/>
                </w:tcPr>
                <w:p w14:paraId="1C64AF8E">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4A9A3F3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779D2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5865E79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5167FFA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12BBD94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15ACA0C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2BD908E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54C5606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4C577E1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1EC79EF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325442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距南厂界31</w:t>
                  </w:r>
                </w:p>
              </w:tc>
              <w:tc>
                <w:tcPr>
                  <w:tcW w:w="857" w:type="dxa"/>
                  <w:vAlign w:val="center"/>
                </w:tcPr>
                <w:p w14:paraId="7D400D9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56.0</w:t>
                  </w:r>
                </w:p>
              </w:tc>
              <w:tc>
                <w:tcPr>
                  <w:tcW w:w="707" w:type="dxa"/>
                  <w:vMerge w:val="continue"/>
                  <w:vAlign w:val="center"/>
                </w:tcPr>
                <w:p w14:paraId="6CC67CB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03CF1AC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54745FE4">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1B6E9A5B">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10"/>
                      <w:sz w:val="21"/>
                      <w:szCs w:val="21"/>
                      <w:u w:val="single"/>
                      <w:vertAlign w:val="baseline"/>
                      <w:lang w:val="en-US" w:eastAsia="zh-CN" w:bidi="ar-SA"/>
                    </w:rPr>
                  </w:pPr>
                  <w:r>
                    <w:rPr>
                      <w:rFonts w:hint="default" w:ascii="Times New Roman" w:hAnsi="Times New Roman" w:eastAsia="宋体" w:cs="Times New Roman"/>
                      <w:color w:val="auto"/>
                      <w:sz w:val="21"/>
                      <w:szCs w:val="21"/>
                      <w:u w:val="single"/>
                      <w:vertAlign w:val="baseline"/>
                      <w:lang w:val="en-US" w:eastAsia="zh-CN"/>
                    </w:rPr>
                    <w:t>30.0</w:t>
                  </w:r>
                </w:p>
              </w:tc>
              <w:tc>
                <w:tcPr>
                  <w:tcW w:w="579" w:type="dxa"/>
                  <w:vAlign w:val="center"/>
                </w:tcPr>
                <w:p w14:paraId="6E76A5B0">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317AE0E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1F427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338DD13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6061E39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7954023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422025D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09F40C5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513FA8D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4B735B3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6F867E2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014691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距北厂界8</w:t>
                  </w:r>
                </w:p>
              </w:tc>
              <w:tc>
                <w:tcPr>
                  <w:tcW w:w="857" w:type="dxa"/>
                  <w:vAlign w:val="center"/>
                </w:tcPr>
                <w:p w14:paraId="63AF0D9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58.4</w:t>
                  </w:r>
                </w:p>
              </w:tc>
              <w:tc>
                <w:tcPr>
                  <w:tcW w:w="707" w:type="dxa"/>
                  <w:vMerge w:val="continue"/>
                  <w:vAlign w:val="center"/>
                </w:tcPr>
                <w:p w14:paraId="04FC42B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770BB04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1D9A0B7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50EBFCD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32.4</w:t>
                  </w:r>
                </w:p>
              </w:tc>
              <w:tc>
                <w:tcPr>
                  <w:tcW w:w="579" w:type="dxa"/>
                  <w:vAlign w:val="center"/>
                </w:tcPr>
                <w:p w14:paraId="20647502">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5010D20C">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10D18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0C81728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50E46FA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回流焊</w:t>
                  </w:r>
                </w:p>
              </w:tc>
              <w:tc>
                <w:tcPr>
                  <w:tcW w:w="771" w:type="dxa"/>
                  <w:vMerge w:val="restart"/>
                  <w:vAlign w:val="center"/>
                </w:tcPr>
                <w:p w14:paraId="126D1E6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rPr>
                    <w:t>RNS-1040/MR933</w:t>
                  </w:r>
                </w:p>
              </w:tc>
              <w:tc>
                <w:tcPr>
                  <w:tcW w:w="1086" w:type="dxa"/>
                  <w:vMerge w:val="restart"/>
                  <w:vAlign w:val="center"/>
                </w:tcPr>
                <w:p w14:paraId="07EAD5C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70/1</w:t>
                  </w:r>
                </w:p>
              </w:tc>
              <w:tc>
                <w:tcPr>
                  <w:tcW w:w="750" w:type="dxa"/>
                  <w:vMerge w:val="continue"/>
                  <w:vAlign w:val="center"/>
                </w:tcPr>
                <w:p w14:paraId="7A9362A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2BBCC2D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65</w:t>
                  </w:r>
                </w:p>
              </w:tc>
              <w:tc>
                <w:tcPr>
                  <w:tcW w:w="728" w:type="dxa"/>
                  <w:vMerge w:val="restart"/>
                  <w:vAlign w:val="center"/>
                </w:tcPr>
                <w:p w14:paraId="4FB496F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28</w:t>
                  </w:r>
                </w:p>
              </w:tc>
              <w:tc>
                <w:tcPr>
                  <w:tcW w:w="600" w:type="dxa"/>
                  <w:vMerge w:val="restart"/>
                  <w:vAlign w:val="center"/>
                </w:tcPr>
                <w:p w14:paraId="5A9EDA4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6C1786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距东厂界32</w:t>
                  </w:r>
                </w:p>
              </w:tc>
              <w:tc>
                <w:tcPr>
                  <w:tcW w:w="857" w:type="dxa"/>
                  <w:vAlign w:val="center"/>
                </w:tcPr>
                <w:p w14:paraId="0E23F5D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56.0</w:t>
                  </w:r>
                </w:p>
              </w:tc>
              <w:tc>
                <w:tcPr>
                  <w:tcW w:w="707" w:type="dxa"/>
                  <w:vMerge w:val="continue"/>
                  <w:vAlign w:val="center"/>
                </w:tcPr>
                <w:p w14:paraId="7A9B16D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35ED1C0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31FF8D3D">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6EFB77FB">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10"/>
                      <w:sz w:val="21"/>
                      <w:szCs w:val="21"/>
                      <w:u w:val="single"/>
                      <w:vertAlign w:val="baseline"/>
                      <w:lang w:val="en-US" w:eastAsia="zh-CN" w:bidi="ar-SA"/>
                    </w:rPr>
                  </w:pPr>
                  <w:r>
                    <w:rPr>
                      <w:rFonts w:hint="default" w:ascii="Times New Roman" w:hAnsi="Times New Roman" w:eastAsia="宋体" w:cs="Times New Roman"/>
                      <w:color w:val="auto"/>
                      <w:sz w:val="21"/>
                      <w:szCs w:val="21"/>
                      <w:u w:val="single"/>
                      <w:vertAlign w:val="baseline"/>
                      <w:lang w:val="en-US" w:eastAsia="zh-CN"/>
                    </w:rPr>
                    <w:t>30.0</w:t>
                  </w:r>
                </w:p>
              </w:tc>
              <w:tc>
                <w:tcPr>
                  <w:tcW w:w="579" w:type="dxa"/>
                  <w:vAlign w:val="center"/>
                </w:tcPr>
                <w:p w14:paraId="21E60ED2">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7893222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106E2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16460F1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79E5ABE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1259A17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2EDD64A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04A3335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2821457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2604ED6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18B0E6D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6E8344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距西厂界65</w:t>
                  </w:r>
                </w:p>
              </w:tc>
              <w:tc>
                <w:tcPr>
                  <w:tcW w:w="857" w:type="dxa"/>
                  <w:vAlign w:val="center"/>
                </w:tcPr>
                <w:p w14:paraId="60D8352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55.9</w:t>
                  </w:r>
                </w:p>
              </w:tc>
              <w:tc>
                <w:tcPr>
                  <w:tcW w:w="707" w:type="dxa"/>
                  <w:vMerge w:val="continue"/>
                  <w:vAlign w:val="center"/>
                </w:tcPr>
                <w:p w14:paraId="2F196D2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644E8CB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33E7C67C">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14B40CFA">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10"/>
                      <w:sz w:val="21"/>
                      <w:szCs w:val="21"/>
                      <w:u w:val="single"/>
                      <w:vertAlign w:val="baseline"/>
                      <w:lang w:val="en-US" w:eastAsia="zh-CN" w:bidi="ar-SA"/>
                    </w:rPr>
                  </w:pPr>
                  <w:r>
                    <w:rPr>
                      <w:rFonts w:hint="default" w:ascii="Times New Roman" w:hAnsi="Times New Roman" w:eastAsia="宋体" w:cs="Times New Roman"/>
                      <w:color w:val="auto"/>
                      <w:sz w:val="21"/>
                      <w:szCs w:val="21"/>
                      <w:u w:val="single"/>
                      <w:vertAlign w:val="baseline"/>
                      <w:lang w:val="en-US" w:eastAsia="zh-CN"/>
                    </w:rPr>
                    <w:t>29.9</w:t>
                  </w:r>
                </w:p>
              </w:tc>
              <w:tc>
                <w:tcPr>
                  <w:tcW w:w="579" w:type="dxa"/>
                  <w:vAlign w:val="center"/>
                </w:tcPr>
                <w:p w14:paraId="1FA99DB9">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379B93C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73C08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3032921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0F27F62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28958F1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3B9AAEF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78F308F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5E4F808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7DFEF76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445723F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6BCB47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距南厂界28</w:t>
                  </w:r>
                </w:p>
              </w:tc>
              <w:tc>
                <w:tcPr>
                  <w:tcW w:w="857" w:type="dxa"/>
                  <w:vAlign w:val="center"/>
                </w:tcPr>
                <w:p w14:paraId="003D45F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56.1</w:t>
                  </w:r>
                </w:p>
              </w:tc>
              <w:tc>
                <w:tcPr>
                  <w:tcW w:w="707" w:type="dxa"/>
                  <w:vMerge w:val="continue"/>
                  <w:vAlign w:val="center"/>
                </w:tcPr>
                <w:p w14:paraId="1283AAA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73348BA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0CF18FFE">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4C33F91C">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10"/>
                      <w:sz w:val="21"/>
                      <w:szCs w:val="21"/>
                      <w:u w:val="single"/>
                      <w:vertAlign w:val="baseline"/>
                      <w:lang w:val="en-US" w:eastAsia="zh-CN" w:bidi="ar-SA"/>
                    </w:rPr>
                  </w:pPr>
                  <w:r>
                    <w:rPr>
                      <w:rFonts w:hint="default" w:ascii="Times New Roman" w:hAnsi="Times New Roman" w:eastAsia="宋体" w:cs="Times New Roman"/>
                      <w:color w:val="auto"/>
                      <w:sz w:val="21"/>
                      <w:szCs w:val="21"/>
                      <w:u w:val="single"/>
                      <w:vertAlign w:val="baseline"/>
                      <w:lang w:val="en-US" w:eastAsia="zh-CN"/>
                    </w:rPr>
                    <w:t>30.1</w:t>
                  </w:r>
                </w:p>
              </w:tc>
              <w:tc>
                <w:tcPr>
                  <w:tcW w:w="579" w:type="dxa"/>
                  <w:vAlign w:val="center"/>
                </w:tcPr>
                <w:p w14:paraId="0CB57026">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1C2B4D83">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27E1E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7051F59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5B56891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5FBA51A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66E3805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535C50B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71833E3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4E98FF8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57EE51D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776538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距北厂界11</w:t>
                  </w:r>
                </w:p>
              </w:tc>
              <w:tc>
                <w:tcPr>
                  <w:tcW w:w="857" w:type="dxa"/>
                  <w:vAlign w:val="center"/>
                </w:tcPr>
                <w:p w14:paraId="4593129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57.4</w:t>
                  </w:r>
                </w:p>
              </w:tc>
              <w:tc>
                <w:tcPr>
                  <w:tcW w:w="707" w:type="dxa"/>
                  <w:vMerge w:val="continue"/>
                  <w:vAlign w:val="center"/>
                </w:tcPr>
                <w:p w14:paraId="09A5515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7E90A43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49429E39">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7A0BD9F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31.4</w:t>
                  </w:r>
                </w:p>
              </w:tc>
              <w:tc>
                <w:tcPr>
                  <w:tcW w:w="579" w:type="dxa"/>
                  <w:vAlign w:val="center"/>
                </w:tcPr>
                <w:p w14:paraId="3FE084AF">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054FEDE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64574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5F3597B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419AE3C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回流焊</w:t>
                  </w:r>
                </w:p>
              </w:tc>
              <w:tc>
                <w:tcPr>
                  <w:tcW w:w="771" w:type="dxa"/>
                  <w:vMerge w:val="restart"/>
                  <w:vAlign w:val="center"/>
                </w:tcPr>
                <w:p w14:paraId="763FA0D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rPr>
                    <w:t>RNS-1040/MR933</w:t>
                  </w:r>
                </w:p>
              </w:tc>
              <w:tc>
                <w:tcPr>
                  <w:tcW w:w="1086" w:type="dxa"/>
                  <w:vMerge w:val="restart"/>
                  <w:vAlign w:val="center"/>
                </w:tcPr>
                <w:p w14:paraId="14C8FBB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70/1</w:t>
                  </w:r>
                </w:p>
              </w:tc>
              <w:tc>
                <w:tcPr>
                  <w:tcW w:w="750" w:type="dxa"/>
                  <w:vMerge w:val="continue"/>
                  <w:vAlign w:val="center"/>
                </w:tcPr>
                <w:p w14:paraId="7174C86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082054D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65</w:t>
                  </w:r>
                </w:p>
              </w:tc>
              <w:tc>
                <w:tcPr>
                  <w:tcW w:w="728" w:type="dxa"/>
                  <w:vMerge w:val="restart"/>
                  <w:vAlign w:val="center"/>
                </w:tcPr>
                <w:p w14:paraId="15458D5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24</w:t>
                  </w:r>
                </w:p>
              </w:tc>
              <w:tc>
                <w:tcPr>
                  <w:tcW w:w="600" w:type="dxa"/>
                  <w:vMerge w:val="restart"/>
                  <w:vAlign w:val="center"/>
                </w:tcPr>
                <w:p w14:paraId="70A1A6C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33FC86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距东厂界32</w:t>
                  </w:r>
                </w:p>
              </w:tc>
              <w:tc>
                <w:tcPr>
                  <w:tcW w:w="857" w:type="dxa"/>
                  <w:vAlign w:val="center"/>
                </w:tcPr>
                <w:p w14:paraId="1E78B33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56.0</w:t>
                  </w:r>
                </w:p>
              </w:tc>
              <w:tc>
                <w:tcPr>
                  <w:tcW w:w="707" w:type="dxa"/>
                  <w:vMerge w:val="continue"/>
                  <w:vAlign w:val="center"/>
                </w:tcPr>
                <w:p w14:paraId="4C71DD7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06227EF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718140A8">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539DCADE">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10"/>
                      <w:sz w:val="21"/>
                      <w:szCs w:val="21"/>
                      <w:u w:val="single"/>
                      <w:vertAlign w:val="baseline"/>
                      <w:lang w:val="en-US" w:eastAsia="zh-CN" w:bidi="ar-SA"/>
                    </w:rPr>
                  </w:pPr>
                  <w:r>
                    <w:rPr>
                      <w:rFonts w:hint="default" w:ascii="Times New Roman" w:hAnsi="Times New Roman" w:eastAsia="宋体" w:cs="Times New Roman"/>
                      <w:color w:val="auto"/>
                      <w:sz w:val="21"/>
                      <w:szCs w:val="21"/>
                      <w:u w:val="single"/>
                      <w:vertAlign w:val="baseline"/>
                      <w:lang w:val="en-US" w:eastAsia="zh-CN"/>
                    </w:rPr>
                    <w:t>30.0</w:t>
                  </w:r>
                </w:p>
              </w:tc>
              <w:tc>
                <w:tcPr>
                  <w:tcW w:w="579" w:type="dxa"/>
                  <w:vAlign w:val="center"/>
                </w:tcPr>
                <w:p w14:paraId="75FBE988">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0FE6BB4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2D75F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49812D8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2E78CB5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78046A1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6C537A7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2FA9E63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43D77C4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2247B12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0FF2794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258419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距西厂界65</w:t>
                  </w:r>
                </w:p>
              </w:tc>
              <w:tc>
                <w:tcPr>
                  <w:tcW w:w="857" w:type="dxa"/>
                  <w:vAlign w:val="center"/>
                </w:tcPr>
                <w:p w14:paraId="17D7AF0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55.9</w:t>
                  </w:r>
                </w:p>
              </w:tc>
              <w:tc>
                <w:tcPr>
                  <w:tcW w:w="707" w:type="dxa"/>
                  <w:vMerge w:val="continue"/>
                  <w:vAlign w:val="center"/>
                </w:tcPr>
                <w:p w14:paraId="7EDE4B5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592B8A1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66C1D916">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7D9E56B8">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10"/>
                      <w:sz w:val="21"/>
                      <w:szCs w:val="21"/>
                      <w:u w:val="single"/>
                      <w:vertAlign w:val="baseline"/>
                      <w:lang w:val="en-US" w:eastAsia="zh-CN" w:bidi="ar-SA"/>
                    </w:rPr>
                  </w:pPr>
                  <w:r>
                    <w:rPr>
                      <w:rFonts w:hint="default" w:ascii="Times New Roman" w:hAnsi="Times New Roman" w:eastAsia="宋体" w:cs="Times New Roman"/>
                      <w:color w:val="auto"/>
                      <w:sz w:val="21"/>
                      <w:szCs w:val="21"/>
                      <w:u w:val="single"/>
                      <w:vertAlign w:val="baseline"/>
                      <w:lang w:val="en-US" w:eastAsia="zh-CN"/>
                    </w:rPr>
                    <w:t>29.9</w:t>
                  </w:r>
                </w:p>
              </w:tc>
              <w:tc>
                <w:tcPr>
                  <w:tcW w:w="579" w:type="dxa"/>
                  <w:vAlign w:val="center"/>
                </w:tcPr>
                <w:p w14:paraId="0C770D15">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5B0DDEB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0FA6A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24C3E22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2111C73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1B50F2D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21452AF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60B36D6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228A113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259BB40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5267A40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516D458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距南厂界24</w:t>
                  </w:r>
                </w:p>
              </w:tc>
              <w:tc>
                <w:tcPr>
                  <w:tcW w:w="857" w:type="dxa"/>
                  <w:vAlign w:val="center"/>
                </w:tcPr>
                <w:p w14:paraId="7D06831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56.2</w:t>
                  </w:r>
                </w:p>
              </w:tc>
              <w:tc>
                <w:tcPr>
                  <w:tcW w:w="707" w:type="dxa"/>
                  <w:vMerge w:val="continue"/>
                  <w:vAlign w:val="center"/>
                </w:tcPr>
                <w:p w14:paraId="0E0138A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19FFE5C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21ADB587">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6D8B1129">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10"/>
                      <w:sz w:val="21"/>
                      <w:szCs w:val="21"/>
                      <w:u w:val="single"/>
                      <w:vertAlign w:val="baseline"/>
                      <w:lang w:val="en-US" w:eastAsia="zh-CN" w:bidi="ar-SA"/>
                    </w:rPr>
                  </w:pPr>
                  <w:r>
                    <w:rPr>
                      <w:rFonts w:hint="default" w:ascii="Times New Roman" w:hAnsi="Times New Roman" w:eastAsia="宋体" w:cs="Times New Roman"/>
                      <w:color w:val="auto"/>
                      <w:sz w:val="21"/>
                      <w:szCs w:val="21"/>
                      <w:u w:val="single"/>
                      <w:vertAlign w:val="baseline"/>
                      <w:lang w:val="en-US" w:eastAsia="zh-CN"/>
                    </w:rPr>
                    <w:t>30.2</w:t>
                  </w:r>
                </w:p>
              </w:tc>
              <w:tc>
                <w:tcPr>
                  <w:tcW w:w="579" w:type="dxa"/>
                  <w:vAlign w:val="center"/>
                </w:tcPr>
                <w:p w14:paraId="3E36DEF7">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19ECB70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72E58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475E082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2F0C376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71" w:type="dxa"/>
                  <w:vMerge w:val="continue"/>
                  <w:vAlign w:val="center"/>
                </w:tcPr>
                <w:p w14:paraId="75E3513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606CD3F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6B4946F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0F4F233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45F52A6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7572D4A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47EF8E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距北厂界15</w:t>
                  </w:r>
                </w:p>
              </w:tc>
              <w:tc>
                <w:tcPr>
                  <w:tcW w:w="857" w:type="dxa"/>
                  <w:vAlign w:val="center"/>
                </w:tcPr>
                <w:p w14:paraId="6760B90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56.7</w:t>
                  </w:r>
                </w:p>
              </w:tc>
              <w:tc>
                <w:tcPr>
                  <w:tcW w:w="707" w:type="dxa"/>
                  <w:vMerge w:val="continue"/>
                  <w:vAlign w:val="center"/>
                </w:tcPr>
                <w:p w14:paraId="4BE2BF9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49897E3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593252AA">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7D2BF7E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30.7</w:t>
                  </w:r>
                </w:p>
              </w:tc>
              <w:tc>
                <w:tcPr>
                  <w:tcW w:w="579" w:type="dxa"/>
                  <w:vAlign w:val="center"/>
                </w:tcPr>
                <w:p w14:paraId="14C7DA0D">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503946C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4C6DA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030A2F6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08FA7D5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回流焊</w:t>
                  </w:r>
                </w:p>
              </w:tc>
              <w:tc>
                <w:tcPr>
                  <w:tcW w:w="771" w:type="dxa"/>
                  <w:vMerge w:val="restart"/>
                  <w:vAlign w:val="center"/>
                </w:tcPr>
                <w:p w14:paraId="39E2E59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rPr>
                    <w:t>RNS-1040/MR933</w:t>
                  </w:r>
                </w:p>
              </w:tc>
              <w:tc>
                <w:tcPr>
                  <w:tcW w:w="1086" w:type="dxa"/>
                  <w:vMerge w:val="restart"/>
                  <w:vAlign w:val="center"/>
                </w:tcPr>
                <w:p w14:paraId="36AF8B7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70/1</w:t>
                  </w:r>
                </w:p>
              </w:tc>
              <w:tc>
                <w:tcPr>
                  <w:tcW w:w="750" w:type="dxa"/>
                  <w:vMerge w:val="continue"/>
                  <w:vAlign w:val="center"/>
                </w:tcPr>
                <w:p w14:paraId="66CF03F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71B27D0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39</w:t>
                  </w:r>
                </w:p>
              </w:tc>
              <w:tc>
                <w:tcPr>
                  <w:tcW w:w="728" w:type="dxa"/>
                  <w:vMerge w:val="restart"/>
                  <w:vAlign w:val="center"/>
                </w:tcPr>
                <w:p w14:paraId="50125F9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35</w:t>
                  </w:r>
                </w:p>
              </w:tc>
              <w:tc>
                <w:tcPr>
                  <w:tcW w:w="600" w:type="dxa"/>
                  <w:vMerge w:val="restart"/>
                  <w:vAlign w:val="center"/>
                </w:tcPr>
                <w:p w14:paraId="363BAB9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1C9147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距东厂界58</w:t>
                  </w:r>
                </w:p>
              </w:tc>
              <w:tc>
                <w:tcPr>
                  <w:tcW w:w="857" w:type="dxa"/>
                  <w:vAlign w:val="center"/>
                </w:tcPr>
                <w:p w14:paraId="22F38FD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55.9</w:t>
                  </w:r>
                </w:p>
              </w:tc>
              <w:tc>
                <w:tcPr>
                  <w:tcW w:w="707" w:type="dxa"/>
                  <w:vMerge w:val="continue"/>
                  <w:vAlign w:val="center"/>
                </w:tcPr>
                <w:p w14:paraId="585615D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0BBE5EB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56507AA8">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024D064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29.9</w:t>
                  </w:r>
                </w:p>
              </w:tc>
              <w:tc>
                <w:tcPr>
                  <w:tcW w:w="579" w:type="dxa"/>
                  <w:vAlign w:val="center"/>
                </w:tcPr>
                <w:p w14:paraId="65A48B2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1A880A5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0AF28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5001117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56C2762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7C9EBDF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10F53E2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3CCCD05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61F7ECB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2A1B52D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5FC0179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25154E2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距西厂界39</w:t>
                  </w:r>
                </w:p>
              </w:tc>
              <w:tc>
                <w:tcPr>
                  <w:tcW w:w="857" w:type="dxa"/>
                  <w:vAlign w:val="center"/>
                </w:tcPr>
                <w:p w14:paraId="6417871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55.9</w:t>
                  </w:r>
                </w:p>
              </w:tc>
              <w:tc>
                <w:tcPr>
                  <w:tcW w:w="707" w:type="dxa"/>
                  <w:vMerge w:val="continue"/>
                  <w:vAlign w:val="center"/>
                </w:tcPr>
                <w:p w14:paraId="20E5FF7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45C9C2B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1BD07518">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34B5C7D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29.9</w:t>
                  </w:r>
                </w:p>
              </w:tc>
              <w:tc>
                <w:tcPr>
                  <w:tcW w:w="579" w:type="dxa"/>
                  <w:vAlign w:val="center"/>
                </w:tcPr>
                <w:p w14:paraId="2E9488F5">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29DBB9A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1588C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385F310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3C09B7B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691507B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11A9FC5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17D88C7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3C35815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757A523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77AA20C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25984B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距南厂界35</w:t>
                  </w:r>
                </w:p>
              </w:tc>
              <w:tc>
                <w:tcPr>
                  <w:tcW w:w="857" w:type="dxa"/>
                  <w:vAlign w:val="center"/>
                </w:tcPr>
                <w:p w14:paraId="0790FA8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56.0</w:t>
                  </w:r>
                </w:p>
              </w:tc>
              <w:tc>
                <w:tcPr>
                  <w:tcW w:w="707" w:type="dxa"/>
                  <w:vMerge w:val="continue"/>
                  <w:vAlign w:val="center"/>
                </w:tcPr>
                <w:p w14:paraId="415B655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231F9B0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2640D5BC">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59AEF88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30.0</w:t>
                  </w:r>
                </w:p>
              </w:tc>
              <w:tc>
                <w:tcPr>
                  <w:tcW w:w="579" w:type="dxa"/>
                  <w:vAlign w:val="center"/>
                </w:tcPr>
                <w:p w14:paraId="350E4E4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109AA2D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08194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31E72BB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08440A8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2D3D8F2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33E59D2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60DC8E6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5DE4F88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66D22A3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5899C6E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03D4FC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距北厂界4</w:t>
                  </w:r>
                </w:p>
              </w:tc>
              <w:tc>
                <w:tcPr>
                  <w:tcW w:w="857" w:type="dxa"/>
                  <w:vAlign w:val="center"/>
                </w:tcPr>
                <w:p w14:paraId="7D7240E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62.1</w:t>
                  </w:r>
                </w:p>
              </w:tc>
              <w:tc>
                <w:tcPr>
                  <w:tcW w:w="707" w:type="dxa"/>
                  <w:vMerge w:val="continue"/>
                  <w:vAlign w:val="center"/>
                </w:tcPr>
                <w:p w14:paraId="580A7C4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2E2612D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7D3B2A68">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5861BD7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36.1</w:t>
                  </w:r>
                </w:p>
              </w:tc>
              <w:tc>
                <w:tcPr>
                  <w:tcW w:w="579" w:type="dxa"/>
                  <w:vAlign w:val="center"/>
                </w:tcPr>
                <w:p w14:paraId="7DD49CCC">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1F84C67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124C2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5FDF708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1C16BEE9">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回流焊</w:t>
                  </w:r>
                </w:p>
              </w:tc>
              <w:tc>
                <w:tcPr>
                  <w:tcW w:w="771" w:type="dxa"/>
                  <w:vMerge w:val="restart"/>
                  <w:vAlign w:val="center"/>
                </w:tcPr>
                <w:p w14:paraId="74B5048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rPr>
                    <w:t>RNS-1040/MR933</w:t>
                  </w:r>
                </w:p>
              </w:tc>
              <w:tc>
                <w:tcPr>
                  <w:tcW w:w="1086" w:type="dxa"/>
                  <w:vMerge w:val="restart"/>
                  <w:vAlign w:val="center"/>
                </w:tcPr>
                <w:p w14:paraId="27FBCC0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70/1</w:t>
                  </w:r>
                </w:p>
              </w:tc>
              <w:tc>
                <w:tcPr>
                  <w:tcW w:w="750" w:type="dxa"/>
                  <w:vMerge w:val="continue"/>
                  <w:vAlign w:val="center"/>
                </w:tcPr>
                <w:p w14:paraId="1FDCB50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302067F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39</w:t>
                  </w:r>
                </w:p>
              </w:tc>
              <w:tc>
                <w:tcPr>
                  <w:tcW w:w="728" w:type="dxa"/>
                  <w:vMerge w:val="restart"/>
                  <w:vAlign w:val="center"/>
                </w:tcPr>
                <w:p w14:paraId="5B2002A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31</w:t>
                  </w:r>
                </w:p>
              </w:tc>
              <w:tc>
                <w:tcPr>
                  <w:tcW w:w="600" w:type="dxa"/>
                  <w:vMerge w:val="restart"/>
                  <w:vAlign w:val="center"/>
                </w:tcPr>
                <w:p w14:paraId="0617446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155A4A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距东厂界58</w:t>
                  </w:r>
                </w:p>
              </w:tc>
              <w:tc>
                <w:tcPr>
                  <w:tcW w:w="857" w:type="dxa"/>
                  <w:vAlign w:val="center"/>
                </w:tcPr>
                <w:p w14:paraId="68D4C01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55.9</w:t>
                  </w:r>
                </w:p>
              </w:tc>
              <w:tc>
                <w:tcPr>
                  <w:tcW w:w="707" w:type="dxa"/>
                  <w:vMerge w:val="continue"/>
                  <w:vAlign w:val="center"/>
                </w:tcPr>
                <w:p w14:paraId="0B6EC51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7BCEB5C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35A644C2">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47E6443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29.9</w:t>
                  </w:r>
                </w:p>
              </w:tc>
              <w:tc>
                <w:tcPr>
                  <w:tcW w:w="579" w:type="dxa"/>
                  <w:vAlign w:val="center"/>
                </w:tcPr>
                <w:p w14:paraId="103619EE">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598FC95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04FBD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5FDF3D9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008BFD9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7CE9D45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7189AA5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28BABDE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757DF63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0B15FEA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4D5F567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634FA1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距西厂界39</w:t>
                  </w:r>
                </w:p>
              </w:tc>
              <w:tc>
                <w:tcPr>
                  <w:tcW w:w="857" w:type="dxa"/>
                  <w:vAlign w:val="center"/>
                </w:tcPr>
                <w:p w14:paraId="0565673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55.9</w:t>
                  </w:r>
                </w:p>
              </w:tc>
              <w:tc>
                <w:tcPr>
                  <w:tcW w:w="707" w:type="dxa"/>
                  <w:vMerge w:val="continue"/>
                  <w:vAlign w:val="center"/>
                </w:tcPr>
                <w:p w14:paraId="0EAB87C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02F8605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2D6BEB1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51B347C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29.9</w:t>
                  </w:r>
                </w:p>
              </w:tc>
              <w:tc>
                <w:tcPr>
                  <w:tcW w:w="579" w:type="dxa"/>
                  <w:vAlign w:val="center"/>
                </w:tcPr>
                <w:p w14:paraId="15C15172">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2683D3D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2D0E8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43C9ABC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70BD097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09AB52D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114F60E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1C20580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39C863B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0F96E85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64AA0EA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6820DA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距南厂界31</w:t>
                  </w:r>
                </w:p>
              </w:tc>
              <w:tc>
                <w:tcPr>
                  <w:tcW w:w="857" w:type="dxa"/>
                  <w:vAlign w:val="center"/>
                </w:tcPr>
                <w:p w14:paraId="20BB224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56.0</w:t>
                  </w:r>
                </w:p>
              </w:tc>
              <w:tc>
                <w:tcPr>
                  <w:tcW w:w="707" w:type="dxa"/>
                  <w:vMerge w:val="continue"/>
                  <w:vAlign w:val="center"/>
                </w:tcPr>
                <w:p w14:paraId="244495E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6427F4B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47C89A15">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41E3DFC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30.0</w:t>
                  </w:r>
                </w:p>
              </w:tc>
              <w:tc>
                <w:tcPr>
                  <w:tcW w:w="579" w:type="dxa"/>
                  <w:vAlign w:val="center"/>
                </w:tcPr>
                <w:p w14:paraId="7B892DEF">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09FB4B13">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7C8C0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6FC3334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1B18E9A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6D17CE5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513BF4F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125EDAD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51364F9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6BEE20A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2B13702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3DA23A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距北厂界8</w:t>
                  </w:r>
                </w:p>
              </w:tc>
              <w:tc>
                <w:tcPr>
                  <w:tcW w:w="857" w:type="dxa"/>
                  <w:vAlign w:val="center"/>
                </w:tcPr>
                <w:p w14:paraId="2462F15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58.4</w:t>
                  </w:r>
                </w:p>
              </w:tc>
              <w:tc>
                <w:tcPr>
                  <w:tcW w:w="707" w:type="dxa"/>
                  <w:vMerge w:val="continue"/>
                  <w:vAlign w:val="center"/>
                </w:tcPr>
                <w:p w14:paraId="2F8188E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3A7A4BC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543A4580">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527A70D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32.4</w:t>
                  </w:r>
                </w:p>
              </w:tc>
              <w:tc>
                <w:tcPr>
                  <w:tcW w:w="579" w:type="dxa"/>
                  <w:vAlign w:val="center"/>
                </w:tcPr>
                <w:p w14:paraId="12735E05">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1C079446">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5AB5E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0906167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6469610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回流焊</w:t>
                  </w:r>
                </w:p>
              </w:tc>
              <w:tc>
                <w:tcPr>
                  <w:tcW w:w="771" w:type="dxa"/>
                  <w:vMerge w:val="restart"/>
                  <w:vAlign w:val="center"/>
                </w:tcPr>
                <w:p w14:paraId="601EC55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rPr>
                    <w:t>RNS-1040/MR933</w:t>
                  </w:r>
                </w:p>
              </w:tc>
              <w:tc>
                <w:tcPr>
                  <w:tcW w:w="1086" w:type="dxa"/>
                  <w:vMerge w:val="restart"/>
                  <w:vAlign w:val="center"/>
                </w:tcPr>
                <w:p w14:paraId="1390795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70/1</w:t>
                  </w:r>
                </w:p>
              </w:tc>
              <w:tc>
                <w:tcPr>
                  <w:tcW w:w="750" w:type="dxa"/>
                  <w:vMerge w:val="continue"/>
                  <w:vAlign w:val="center"/>
                </w:tcPr>
                <w:p w14:paraId="6BB759E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5D1C505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39</w:t>
                  </w:r>
                </w:p>
              </w:tc>
              <w:tc>
                <w:tcPr>
                  <w:tcW w:w="728" w:type="dxa"/>
                  <w:vMerge w:val="restart"/>
                  <w:vAlign w:val="center"/>
                </w:tcPr>
                <w:p w14:paraId="24B07A7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28</w:t>
                  </w:r>
                </w:p>
              </w:tc>
              <w:tc>
                <w:tcPr>
                  <w:tcW w:w="600" w:type="dxa"/>
                  <w:vMerge w:val="restart"/>
                  <w:vAlign w:val="center"/>
                </w:tcPr>
                <w:p w14:paraId="4833797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556CC3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距东厂界58</w:t>
                  </w:r>
                </w:p>
              </w:tc>
              <w:tc>
                <w:tcPr>
                  <w:tcW w:w="857" w:type="dxa"/>
                  <w:vAlign w:val="center"/>
                </w:tcPr>
                <w:p w14:paraId="1DF24D6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55.9</w:t>
                  </w:r>
                </w:p>
              </w:tc>
              <w:tc>
                <w:tcPr>
                  <w:tcW w:w="707" w:type="dxa"/>
                  <w:vMerge w:val="continue"/>
                  <w:vAlign w:val="center"/>
                </w:tcPr>
                <w:p w14:paraId="72CE2DD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110019B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1C432849">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4828FA6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29.9</w:t>
                  </w:r>
                </w:p>
              </w:tc>
              <w:tc>
                <w:tcPr>
                  <w:tcW w:w="579" w:type="dxa"/>
                  <w:vAlign w:val="center"/>
                </w:tcPr>
                <w:p w14:paraId="41D39E8C">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7F55E33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56DCB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2E44FE0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674EEAA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4BB3520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068B505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06ED484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51E716E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6C4ACE9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6C4D244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7810163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距西厂界39</w:t>
                  </w:r>
                </w:p>
              </w:tc>
              <w:tc>
                <w:tcPr>
                  <w:tcW w:w="857" w:type="dxa"/>
                  <w:vAlign w:val="center"/>
                </w:tcPr>
                <w:p w14:paraId="057094D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55.9</w:t>
                  </w:r>
                </w:p>
              </w:tc>
              <w:tc>
                <w:tcPr>
                  <w:tcW w:w="707" w:type="dxa"/>
                  <w:vMerge w:val="continue"/>
                  <w:vAlign w:val="center"/>
                </w:tcPr>
                <w:p w14:paraId="7A457EB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3A70369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3028E62B">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79E5CC4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29.9</w:t>
                  </w:r>
                </w:p>
              </w:tc>
              <w:tc>
                <w:tcPr>
                  <w:tcW w:w="579" w:type="dxa"/>
                  <w:vAlign w:val="center"/>
                </w:tcPr>
                <w:p w14:paraId="5BDD52B7">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7060A33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4997D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153CED7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7582909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002915E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1ACFD5D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0630350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6B17766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2FDA7F3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3302BFC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028E8E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距南厂界28</w:t>
                  </w:r>
                </w:p>
              </w:tc>
              <w:tc>
                <w:tcPr>
                  <w:tcW w:w="857" w:type="dxa"/>
                  <w:vAlign w:val="center"/>
                </w:tcPr>
                <w:p w14:paraId="2BA577E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56.1</w:t>
                  </w:r>
                </w:p>
              </w:tc>
              <w:tc>
                <w:tcPr>
                  <w:tcW w:w="707" w:type="dxa"/>
                  <w:vMerge w:val="continue"/>
                  <w:vAlign w:val="center"/>
                </w:tcPr>
                <w:p w14:paraId="0DCCD50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6B72356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78084305">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7259DDE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30.1</w:t>
                  </w:r>
                </w:p>
              </w:tc>
              <w:tc>
                <w:tcPr>
                  <w:tcW w:w="579" w:type="dxa"/>
                  <w:vAlign w:val="center"/>
                </w:tcPr>
                <w:p w14:paraId="0928D8F9">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64E31AF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68390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7A0B794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2A02436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2AB28F6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455560E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501FDF5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03592D0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041C399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3F1BEBD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38896B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距北厂界11</w:t>
                  </w:r>
                </w:p>
              </w:tc>
              <w:tc>
                <w:tcPr>
                  <w:tcW w:w="857" w:type="dxa"/>
                  <w:vAlign w:val="center"/>
                </w:tcPr>
                <w:p w14:paraId="700EA83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57.4</w:t>
                  </w:r>
                </w:p>
              </w:tc>
              <w:tc>
                <w:tcPr>
                  <w:tcW w:w="707" w:type="dxa"/>
                  <w:vMerge w:val="continue"/>
                  <w:vAlign w:val="center"/>
                </w:tcPr>
                <w:p w14:paraId="7B16083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0D8ED42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6B545EE7">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7BBB82F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31.4</w:t>
                  </w:r>
                </w:p>
              </w:tc>
              <w:tc>
                <w:tcPr>
                  <w:tcW w:w="579" w:type="dxa"/>
                  <w:vAlign w:val="center"/>
                </w:tcPr>
                <w:p w14:paraId="782B0B6E">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0F624BA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79B7B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4E1CE13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478F952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回流焊</w:t>
                  </w:r>
                </w:p>
              </w:tc>
              <w:tc>
                <w:tcPr>
                  <w:tcW w:w="771" w:type="dxa"/>
                  <w:vMerge w:val="restart"/>
                  <w:vAlign w:val="center"/>
                </w:tcPr>
                <w:p w14:paraId="68EAF49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rPr>
                    <w:t>RNS-1040/MR933</w:t>
                  </w:r>
                </w:p>
              </w:tc>
              <w:tc>
                <w:tcPr>
                  <w:tcW w:w="1086" w:type="dxa"/>
                  <w:vMerge w:val="restart"/>
                  <w:vAlign w:val="center"/>
                </w:tcPr>
                <w:p w14:paraId="01F4DDE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70/1</w:t>
                  </w:r>
                </w:p>
              </w:tc>
              <w:tc>
                <w:tcPr>
                  <w:tcW w:w="750" w:type="dxa"/>
                  <w:vMerge w:val="continue"/>
                  <w:vAlign w:val="center"/>
                </w:tcPr>
                <w:p w14:paraId="3A2E991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58DCA82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39</w:t>
                  </w:r>
                </w:p>
              </w:tc>
              <w:tc>
                <w:tcPr>
                  <w:tcW w:w="728" w:type="dxa"/>
                  <w:vMerge w:val="restart"/>
                  <w:vAlign w:val="center"/>
                </w:tcPr>
                <w:p w14:paraId="22273A9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24</w:t>
                  </w:r>
                </w:p>
              </w:tc>
              <w:tc>
                <w:tcPr>
                  <w:tcW w:w="600" w:type="dxa"/>
                  <w:vMerge w:val="restart"/>
                  <w:vAlign w:val="center"/>
                </w:tcPr>
                <w:p w14:paraId="0782874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051BAA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距东厂界58</w:t>
                  </w:r>
                </w:p>
              </w:tc>
              <w:tc>
                <w:tcPr>
                  <w:tcW w:w="857" w:type="dxa"/>
                  <w:vAlign w:val="center"/>
                </w:tcPr>
                <w:p w14:paraId="31EF023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55.9</w:t>
                  </w:r>
                </w:p>
              </w:tc>
              <w:tc>
                <w:tcPr>
                  <w:tcW w:w="707" w:type="dxa"/>
                  <w:vMerge w:val="continue"/>
                  <w:vAlign w:val="center"/>
                </w:tcPr>
                <w:p w14:paraId="7DCD81E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25FD2F4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67B596BB">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5923853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29.9</w:t>
                  </w:r>
                </w:p>
              </w:tc>
              <w:tc>
                <w:tcPr>
                  <w:tcW w:w="579" w:type="dxa"/>
                  <w:vAlign w:val="center"/>
                </w:tcPr>
                <w:p w14:paraId="729DE102">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06636A0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5D4DB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27F5896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14A9A2C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74D0F25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686DE59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6561BE8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0AB1D86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42DBB30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6A9BA70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181CA7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距西厂界39</w:t>
                  </w:r>
                </w:p>
              </w:tc>
              <w:tc>
                <w:tcPr>
                  <w:tcW w:w="857" w:type="dxa"/>
                  <w:vAlign w:val="center"/>
                </w:tcPr>
                <w:p w14:paraId="40361A4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55.9</w:t>
                  </w:r>
                </w:p>
              </w:tc>
              <w:tc>
                <w:tcPr>
                  <w:tcW w:w="707" w:type="dxa"/>
                  <w:vMerge w:val="continue"/>
                  <w:vAlign w:val="center"/>
                </w:tcPr>
                <w:p w14:paraId="58FA1A0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26CFAF0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224021D9">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09DFBFF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29.9</w:t>
                  </w:r>
                </w:p>
              </w:tc>
              <w:tc>
                <w:tcPr>
                  <w:tcW w:w="579" w:type="dxa"/>
                  <w:vAlign w:val="center"/>
                </w:tcPr>
                <w:p w14:paraId="2D7CABEE">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66560BBE">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6FF81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5C9EC4A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10FB38E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291BD7D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0A13E1E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3C322ED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4C445BD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2F940F1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5595BCE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00B9AE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距南厂界24</w:t>
                  </w:r>
                </w:p>
              </w:tc>
              <w:tc>
                <w:tcPr>
                  <w:tcW w:w="857" w:type="dxa"/>
                  <w:vAlign w:val="center"/>
                </w:tcPr>
                <w:p w14:paraId="7E430F1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56.2</w:t>
                  </w:r>
                </w:p>
              </w:tc>
              <w:tc>
                <w:tcPr>
                  <w:tcW w:w="707" w:type="dxa"/>
                  <w:vMerge w:val="continue"/>
                  <w:vAlign w:val="center"/>
                </w:tcPr>
                <w:p w14:paraId="25E249C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72870A9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71CC624D">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500E3B4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30.2</w:t>
                  </w:r>
                </w:p>
              </w:tc>
              <w:tc>
                <w:tcPr>
                  <w:tcW w:w="579" w:type="dxa"/>
                  <w:vAlign w:val="center"/>
                </w:tcPr>
                <w:p w14:paraId="0AB469A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28773EB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56ED6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414ACDB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51281A7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727F082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0085352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62AB7D2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5BC09C8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21D3D67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2575497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4662698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距北厂界15</w:t>
                  </w:r>
                </w:p>
              </w:tc>
              <w:tc>
                <w:tcPr>
                  <w:tcW w:w="857" w:type="dxa"/>
                  <w:vAlign w:val="center"/>
                </w:tcPr>
                <w:p w14:paraId="19AAA32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56.7</w:t>
                  </w:r>
                </w:p>
              </w:tc>
              <w:tc>
                <w:tcPr>
                  <w:tcW w:w="707" w:type="dxa"/>
                  <w:vMerge w:val="continue"/>
                  <w:vAlign w:val="center"/>
                </w:tcPr>
                <w:p w14:paraId="2511DDE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7D49967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771B5F2A">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2955EB2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30.7</w:t>
                  </w:r>
                </w:p>
              </w:tc>
              <w:tc>
                <w:tcPr>
                  <w:tcW w:w="579" w:type="dxa"/>
                  <w:vAlign w:val="center"/>
                </w:tcPr>
                <w:p w14:paraId="053F57BA">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5B7FAFD6">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62070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4A0A548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7EB97D4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无铅波峰焊</w:t>
                  </w:r>
                </w:p>
              </w:tc>
              <w:tc>
                <w:tcPr>
                  <w:tcW w:w="771" w:type="dxa"/>
                  <w:vMerge w:val="restart"/>
                  <w:vAlign w:val="center"/>
                </w:tcPr>
                <w:p w14:paraId="263CDC2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SELL-450-CB</w:t>
                  </w:r>
                </w:p>
              </w:tc>
              <w:tc>
                <w:tcPr>
                  <w:tcW w:w="1086" w:type="dxa"/>
                  <w:vMerge w:val="restart"/>
                  <w:vAlign w:val="center"/>
                </w:tcPr>
                <w:p w14:paraId="1BF6BD3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70/1</w:t>
                  </w:r>
                </w:p>
              </w:tc>
              <w:tc>
                <w:tcPr>
                  <w:tcW w:w="750" w:type="dxa"/>
                  <w:vMerge w:val="continue"/>
                  <w:vAlign w:val="center"/>
                </w:tcPr>
                <w:p w14:paraId="1DD2418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1094631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37</w:t>
                  </w:r>
                </w:p>
              </w:tc>
              <w:tc>
                <w:tcPr>
                  <w:tcW w:w="728" w:type="dxa"/>
                  <w:vMerge w:val="restart"/>
                  <w:vAlign w:val="center"/>
                </w:tcPr>
                <w:p w14:paraId="34EB1BE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18</w:t>
                  </w:r>
                </w:p>
              </w:tc>
              <w:tc>
                <w:tcPr>
                  <w:tcW w:w="600" w:type="dxa"/>
                  <w:vMerge w:val="restart"/>
                  <w:vAlign w:val="center"/>
                </w:tcPr>
                <w:p w14:paraId="5333E1A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5D0D3A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距东厂界60</w:t>
                  </w:r>
                </w:p>
              </w:tc>
              <w:tc>
                <w:tcPr>
                  <w:tcW w:w="857" w:type="dxa"/>
                  <w:vAlign w:val="center"/>
                </w:tcPr>
                <w:p w14:paraId="28B3DCD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55.9</w:t>
                  </w:r>
                </w:p>
              </w:tc>
              <w:tc>
                <w:tcPr>
                  <w:tcW w:w="707" w:type="dxa"/>
                  <w:vMerge w:val="continue"/>
                  <w:vAlign w:val="center"/>
                </w:tcPr>
                <w:p w14:paraId="57D9103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6FEDDDD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12E3A8F1">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351A81F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29.9</w:t>
                  </w:r>
                </w:p>
              </w:tc>
              <w:tc>
                <w:tcPr>
                  <w:tcW w:w="579" w:type="dxa"/>
                  <w:vAlign w:val="center"/>
                </w:tcPr>
                <w:p w14:paraId="17C40495">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01C8D469">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19075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255A5CF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2607B01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6BAD92D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5E75D71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6715500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1C48818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733237B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5304396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3B268F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距西厂界37</w:t>
                  </w:r>
                </w:p>
              </w:tc>
              <w:tc>
                <w:tcPr>
                  <w:tcW w:w="857" w:type="dxa"/>
                  <w:vAlign w:val="center"/>
                </w:tcPr>
                <w:p w14:paraId="5875432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56.0</w:t>
                  </w:r>
                </w:p>
              </w:tc>
              <w:tc>
                <w:tcPr>
                  <w:tcW w:w="707" w:type="dxa"/>
                  <w:vMerge w:val="continue"/>
                  <w:vAlign w:val="center"/>
                </w:tcPr>
                <w:p w14:paraId="5C18010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7EEA36D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201A4FC6">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17BB648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30.0</w:t>
                  </w:r>
                </w:p>
              </w:tc>
              <w:tc>
                <w:tcPr>
                  <w:tcW w:w="579" w:type="dxa"/>
                  <w:vAlign w:val="center"/>
                </w:tcPr>
                <w:p w14:paraId="5359F610">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2AC7530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61F55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160A9A0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2E88F16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245D59A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16208E9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7858510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097DF0E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1833D14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5DE78D0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0867AB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距南厂界18</w:t>
                  </w:r>
                </w:p>
              </w:tc>
              <w:tc>
                <w:tcPr>
                  <w:tcW w:w="857" w:type="dxa"/>
                  <w:vAlign w:val="center"/>
                </w:tcPr>
                <w:p w14:paraId="24CEA8B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56.5</w:t>
                  </w:r>
                </w:p>
              </w:tc>
              <w:tc>
                <w:tcPr>
                  <w:tcW w:w="707" w:type="dxa"/>
                  <w:vMerge w:val="continue"/>
                  <w:vAlign w:val="center"/>
                </w:tcPr>
                <w:p w14:paraId="799BA25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7F4BDDD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6DA1F0CC">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164F893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30.5</w:t>
                  </w:r>
                </w:p>
              </w:tc>
              <w:tc>
                <w:tcPr>
                  <w:tcW w:w="579" w:type="dxa"/>
                  <w:vAlign w:val="center"/>
                </w:tcPr>
                <w:p w14:paraId="6BD66210">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0D3D413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66068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43" w:type="dxa"/>
                  <w:vMerge w:val="continue"/>
                  <w:vAlign w:val="center"/>
                </w:tcPr>
                <w:p w14:paraId="06FFC64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4E3F1EA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7AF33B2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23B9EC8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5957AA8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081580F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789B2EC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464A3BE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37E1F3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距北厂界22</w:t>
                  </w:r>
                </w:p>
              </w:tc>
              <w:tc>
                <w:tcPr>
                  <w:tcW w:w="857" w:type="dxa"/>
                  <w:vAlign w:val="center"/>
                </w:tcPr>
                <w:p w14:paraId="4036423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56.2</w:t>
                  </w:r>
                </w:p>
              </w:tc>
              <w:tc>
                <w:tcPr>
                  <w:tcW w:w="707" w:type="dxa"/>
                  <w:vMerge w:val="continue"/>
                  <w:vAlign w:val="center"/>
                </w:tcPr>
                <w:p w14:paraId="38BE203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57854F5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5DBF4747">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6086D2A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30.2</w:t>
                  </w:r>
                </w:p>
              </w:tc>
              <w:tc>
                <w:tcPr>
                  <w:tcW w:w="579" w:type="dxa"/>
                  <w:vAlign w:val="center"/>
                </w:tcPr>
                <w:p w14:paraId="15AF2038">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71E09D8F">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237F2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5F04A71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0E1EA3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无铅波峰焊</w:t>
                  </w:r>
                </w:p>
              </w:tc>
              <w:tc>
                <w:tcPr>
                  <w:tcW w:w="771" w:type="dxa"/>
                  <w:vMerge w:val="restart"/>
                  <w:vAlign w:val="center"/>
                </w:tcPr>
                <w:p w14:paraId="679E11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SELL-450-CB</w:t>
                  </w:r>
                </w:p>
              </w:tc>
              <w:tc>
                <w:tcPr>
                  <w:tcW w:w="1086" w:type="dxa"/>
                  <w:vMerge w:val="restart"/>
                  <w:vAlign w:val="center"/>
                </w:tcPr>
                <w:p w14:paraId="2F3C3BC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70/1</w:t>
                  </w:r>
                </w:p>
              </w:tc>
              <w:tc>
                <w:tcPr>
                  <w:tcW w:w="750" w:type="dxa"/>
                  <w:vMerge w:val="continue"/>
                  <w:vAlign w:val="center"/>
                </w:tcPr>
                <w:p w14:paraId="00D6AA2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22F5CF2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63</w:t>
                  </w:r>
                </w:p>
              </w:tc>
              <w:tc>
                <w:tcPr>
                  <w:tcW w:w="728" w:type="dxa"/>
                  <w:vMerge w:val="restart"/>
                  <w:vAlign w:val="center"/>
                </w:tcPr>
                <w:p w14:paraId="5144214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18</w:t>
                  </w:r>
                </w:p>
              </w:tc>
              <w:tc>
                <w:tcPr>
                  <w:tcW w:w="600" w:type="dxa"/>
                  <w:vMerge w:val="restart"/>
                  <w:vAlign w:val="center"/>
                </w:tcPr>
                <w:p w14:paraId="7027E42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59CFD7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距东厂界34</w:t>
                  </w:r>
                </w:p>
              </w:tc>
              <w:tc>
                <w:tcPr>
                  <w:tcW w:w="857" w:type="dxa"/>
                  <w:vAlign w:val="center"/>
                </w:tcPr>
                <w:p w14:paraId="33765AA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56.0</w:t>
                  </w:r>
                </w:p>
              </w:tc>
              <w:tc>
                <w:tcPr>
                  <w:tcW w:w="707" w:type="dxa"/>
                  <w:vMerge w:val="continue"/>
                  <w:vAlign w:val="center"/>
                </w:tcPr>
                <w:p w14:paraId="6CBE655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204F3B6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2139E1B0">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33E5447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30.0</w:t>
                  </w:r>
                </w:p>
              </w:tc>
              <w:tc>
                <w:tcPr>
                  <w:tcW w:w="579" w:type="dxa"/>
                  <w:vAlign w:val="center"/>
                </w:tcPr>
                <w:p w14:paraId="40EE2C2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4DB50BD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1208E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2EF53B1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7A5305E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p>
              </w:tc>
              <w:tc>
                <w:tcPr>
                  <w:tcW w:w="771" w:type="dxa"/>
                  <w:vMerge w:val="continue"/>
                  <w:vAlign w:val="center"/>
                </w:tcPr>
                <w:p w14:paraId="2E67A75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411FC1F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1BF7A5D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6559645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7016E73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7B91AD7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3955BC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距西厂界63</w:t>
                  </w:r>
                </w:p>
              </w:tc>
              <w:tc>
                <w:tcPr>
                  <w:tcW w:w="857" w:type="dxa"/>
                  <w:vAlign w:val="center"/>
                </w:tcPr>
                <w:p w14:paraId="237587E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55.9</w:t>
                  </w:r>
                </w:p>
              </w:tc>
              <w:tc>
                <w:tcPr>
                  <w:tcW w:w="707" w:type="dxa"/>
                  <w:vMerge w:val="continue"/>
                  <w:vAlign w:val="center"/>
                </w:tcPr>
                <w:p w14:paraId="211F0C8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78E69DE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0A7F76D7">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2A50020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29.9</w:t>
                  </w:r>
                </w:p>
              </w:tc>
              <w:tc>
                <w:tcPr>
                  <w:tcW w:w="579" w:type="dxa"/>
                  <w:vAlign w:val="center"/>
                </w:tcPr>
                <w:p w14:paraId="01BA220E">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454C757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3AC7F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05393AF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704AFA5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p>
              </w:tc>
              <w:tc>
                <w:tcPr>
                  <w:tcW w:w="771" w:type="dxa"/>
                  <w:vMerge w:val="continue"/>
                  <w:vAlign w:val="center"/>
                </w:tcPr>
                <w:p w14:paraId="091D35B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0B21A1A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3F18FFE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3365CD6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3124F5D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68C47B8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63BA11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距南厂界18</w:t>
                  </w:r>
                </w:p>
              </w:tc>
              <w:tc>
                <w:tcPr>
                  <w:tcW w:w="857" w:type="dxa"/>
                  <w:vAlign w:val="center"/>
                </w:tcPr>
                <w:p w14:paraId="33958D1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56.5</w:t>
                  </w:r>
                </w:p>
              </w:tc>
              <w:tc>
                <w:tcPr>
                  <w:tcW w:w="707" w:type="dxa"/>
                  <w:vMerge w:val="continue"/>
                  <w:vAlign w:val="center"/>
                </w:tcPr>
                <w:p w14:paraId="47B2D54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07A46F1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07C8A61B">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27B7FFB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30.5</w:t>
                  </w:r>
                </w:p>
              </w:tc>
              <w:tc>
                <w:tcPr>
                  <w:tcW w:w="579" w:type="dxa"/>
                  <w:vAlign w:val="center"/>
                </w:tcPr>
                <w:p w14:paraId="40382146">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4A084AF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229C9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7A3BC39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continue"/>
                  <w:vAlign w:val="center"/>
                </w:tcPr>
                <w:p w14:paraId="57DB6753">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p>
              </w:tc>
              <w:tc>
                <w:tcPr>
                  <w:tcW w:w="771" w:type="dxa"/>
                  <w:vMerge w:val="continue"/>
                  <w:vAlign w:val="center"/>
                </w:tcPr>
                <w:p w14:paraId="06A5298F">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086" w:type="dxa"/>
                  <w:vMerge w:val="continue"/>
                  <w:vAlign w:val="center"/>
                </w:tcPr>
                <w:p w14:paraId="27AB60A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50" w:type="dxa"/>
                  <w:vMerge w:val="continue"/>
                  <w:vAlign w:val="center"/>
                </w:tcPr>
                <w:p w14:paraId="13A4EE9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continue"/>
                  <w:vAlign w:val="center"/>
                </w:tcPr>
                <w:p w14:paraId="21456E9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28" w:type="dxa"/>
                  <w:vMerge w:val="continue"/>
                  <w:vAlign w:val="center"/>
                </w:tcPr>
                <w:p w14:paraId="6DF049B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00" w:type="dxa"/>
                  <w:vMerge w:val="continue"/>
                  <w:vAlign w:val="center"/>
                </w:tcPr>
                <w:p w14:paraId="0061012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607" w:type="dxa"/>
                  <w:vAlign w:val="center"/>
                </w:tcPr>
                <w:p w14:paraId="724CED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距北厂界22</w:t>
                  </w:r>
                </w:p>
              </w:tc>
              <w:tc>
                <w:tcPr>
                  <w:tcW w:w="857" w:type="dxa"/>
                  <w:vAlign w:val="center"/>
                </w:tcPr>
                <w:p w14:paraId="6F6944E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56.2</w:t>
                  </w:r>
                </w:p>
              </w:tc>
              <w:tc>
                <w:tcPr>
                  <w:tcW w:w="707" w:type="dxa"/>
                  <w:vMerge w:val="continue"/>
                  <w:vAlign w:val="center"/>
                </w:tcPr>
                <w:p w14:paraId="3E99F2D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continue"/>
                  <w:vAlign w:val="center"/>
                </w:tcPr>
                <w:p w14:paraId="06AFF8A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579" w:type="dxa"/>
                  <w:vAlign w:val="center"/>
                </w:tcPr>
                <w:p w14:paraId="4D047A41">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3F7EC70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30.2</w:t>
                  </w:r>
                </w:p>
              </w:tc>
              <w:tc>
                <w:tcPr>
                  <w:tcW w:w="579" w:type="dxa"/>
                  <w:vAlign w:val="center"/>
                </w:tcPr>
                <w:p w14:paraId="3B0C613A">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158E9F5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357CA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5046B55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56E084D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lang w:val="en-US" w:eastAsia="zh-CN"/>
                    </w:rPr>
                    <w:t>无铅波峰焊</w:t>
                  </w:r>
                </w:p>
              </w:tc>
              <w:tc>
                <w:tcPr>
                  <w:tcW w:w="771" w:type="dxa"/>
                  <w:vMerge w:val="restart"/>
                  <w:vAlign w:val="center"/>
                </w:tcPr>
                <w:p w14:paraId="1F711D0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SELL-450-CB</w:t>
                  </w:r>
                </w:p>
              </w:tc>
              <w:tc>
                <w:tcPr>
                  <w:tcW w:w="1086" w:type="dxa"/>
                  <w:vMerge w:val="restart"/>
                  <w:vAlign w:val="center"/>
                </w:tcPr>
                <w:p w14:paraId="45F8A2B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70/1</w:t>
                  </w:r>
                </w:p>
              </w:tc>
              <w:tc>
                <w:tcPr>
                  <w:tcW w:w="750" w:type="dxa"/>
                  <w:vMerge w:val="continue"/>
                  <w:vAlign w:val="center"/>
                </w:tcPr>
                <w:p w14:paraId="0F854F5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6226DA2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728" w:type="dxa"/>
                  <w:vMerge w:val="restart"/>
                  <w:vAlign w:val="center"/>
                </w:tcPr>
                <w:p w14:paraId="5E796E0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32</w:t>
                  </w:r>
                </w:p>
              </w:tc>
              <w:tc>
                <w:tcPr>
                  <w:tcW w:w="600" w:type="dxa"/>
                  <w:vMerge w:val="restart"/>
                  <w:vAlign w:val="center"/>
                </w:tcPr>
                <w:p w14:paraId="7C6A372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422C2C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距东厂界77</w:t>
                  </w:r>
                </w:p>
              </w:tc>
              <w:tc>
                <w:tcPr>
                  <w:tcW w:w="857" w:type="dxa"/>
                  <w:vAlign w:val="center"/>
                </w:tcPr>
                <w:p w14:paraId="075ED3B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55.8</w:t>
                  </w:r>
                </w:p>
              </w:tc>
              <w:tc>
                <w:tcPr>
                  <w:tcW w:w="707" w:type="dxa"/>
                  <w:vMerge w:val="continue"/>
                  <w:vAlign w:val="center"/>
                </w:tcPr>
                <w:p w14:paraId="7200FCE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4479CAC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7456B9BD">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4917242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29.8</w:t>
                  </w:r>
                </w:p>
              </w:tc>
              <w:tc>
                <w:tcPr>
                  <w:tcW w:w="579" w:type="dxa"/>
                  <w:vAlign w:val="center"/>
                </w:tcPr>
                <w:p w14:paraId="29CD0B14">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3BD1165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6BB93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0A5C0BF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5202424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6CAECFD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71BD3D1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2FF41A3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58C084A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35AD3B8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4CE7BB9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5CA0CC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距西厂界20</w:t>
                  </w:r>
                </w:p>
              </w:tc>
              <w:tc>
                <w:tcPr>
                  <w:tcW w:w="857" w:type="dxa"/>
                  <w:vAlign w:val="center"/>
                </w:tcPr>
                <w:p w14:paraId="09948B0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56.3</w:t>
                  </w:r>
                </w:p>
              </w:tc>
              <w:tc>
                <w:tcPr>
                  <w:tcW w:w="707" w:type="dxa"/>
                  <w:vMerge w:val="continue"/>
                  <w:vAlign w:val="center"/>
                </w:tcPr>
                <w:p w14:paraId="569008B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0FB8BF2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5DC22AC7">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2DBD4AF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30.3</w:t>
                  </w:r>
                </w:p>
              </w:tc>
              <w:tc>
                <w:tcPr>
                  <w:tcW w:w="579" w:type="dxa"/>
                  <w:vAlign w:val="center"/>
                </w:tcPr>
                <w:p w14:paraId="7FD20572">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27E002C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5F4A6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32E7400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4493E50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4CC9813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00AECCD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61CF455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4F2538E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0F6C5C5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335D290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44E9A8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距南厂界32</w:t>
                  </w:r>
                </w:p>
              </w:tc>
              <w:tc>
                <w:tcPr>
                  <w:tcW w:w="857" w:type="dxa"/>
                  <w:vAlign w:val="center"/>
                </w:tcPr>
                <w:p w14:paraId="558A3E3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56.0</w:t>
                  </w:r>
                </w:p>
              </w:tc>
              <w:tc>
                <w:tcPr>
                  <w:tcW w:w="707" w:type="dxa"/>
                  <w:vMerge w:val="continue"/>
                  <w:vAlign w:val="center"/>
                </w:tcPr>
                <w:p w14:paraId="3FC0336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673B5C5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6B8B5F6E">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1A5C5AF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30.0</w:t>
                  </w:r>
                </w:p>
              </w:tc>
              <w:tc>
                <w:tcPr>
                  <w:tcW w:w="579" w:type="dxa"/>
                  <w:vAlign w:val="center"/>
                </w:tcPr>
                <w:p w14:paraId="62B5BED4">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0F7AB19E">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2FC12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2177E91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220D5CA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282A3C0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56E85CB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0C9DB2E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7CBE0AF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1B1DA94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32147FE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59EF753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距北厂界8</w:t>
                  </w:r>
                </w:p>
              </w:tc>
              <w:tc>
                <w:tcPr>
                  <w:tcW w:w="857" w:type="dxa"/>
                  <w:vAlign w:val="center"/>
                </w:tcPr>
                <w:p w14:paraId="0009E45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58.4</w:t>
                  </w:r>
                </w:p>
              </w:tc>
              <w:tc>
                <w:tcPr>
                  <w:tcW w:w="707" w:type="dxa"/>
                  <w:vMerge w:val="continue"/>
                  <w:vAlign w:val="center"/>
                </w:tcPr>
                <w:p w14:paraId="493E76E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21C7679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47CFD3C5">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20AF863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32.4</w:t>
                  </w:r>
                </w:p>
              </w:tc>
              <w:tc>
                <w:tcPr>
                  <w:tcW w:w="579" w:type="dxa"/>
                  <w:vAlign w:val="center"/>
                </w:tcPr>
                <w:p w14:paraId="1CB2799D">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18DB70D3">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3F768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10F65C9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51901F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lang w:val="en-US" w:eastAsia="zh-CN"/>
                    </w:rPr>
                    <w:t>无铅波峰焊</w:t>
                  </w:r>
                </w:p>
              </w:tc>
              <w:tc>
                <w:tcPr>
                  <w:tcW w:w="771" w:type="dxa"/>
                  <w:vMerge w:val="restart"/>
                  <w:vAlign w:val="center"/>
                </w:tcPr>
                <w:p w14:paraId="48C3E0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SELL-450-CB</w:t>
                  </w:r>
                </w:p>
              </w:tc>
              <w:tc>
                <w:tcPr>
                  <w:tcW w:w="1086" w:type="dxa"/>
                  <w:vMerge w:val="restart"/>
                  <w:vAlign w:val="center"/>
                </w:tcPr>
                <w:p w14:paraId="7D9CB06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70/1</w:t>
                  </w:r>
                </w:p>
              </w:tc>
              <w:tc>
                <w:tcPr>
                  <w:tcW w:w="750" w:type="dxa"/>
                  <w:vMerge w:val="continue"/>
                  <w:vAlign w:val="center"/>
                </w:tcPr>
                <w:p w14:paraId="74E6D8E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095181E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728" w:type="dxa"/>
                  <w:vMerge w:val="restart"/>
                  <w:vAlign w:val="center"/>
                </w:tcPr>
                <w:p w14:paraId="644F00E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28</w:t>
                  </w:r>
                </w:p>
              </w:tc>
              <w:tc>
                <w:tcPr>
                  <w:tcW w:w="600" w:type="dxa"/>
                  <w:vMerge w:val="restart"/>
                  <w:vAlign w:val="center"/>
                </w:tcPr>
                <w:p w14:paraId="65FEF3A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6A53EF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距东厂界77</w:t>
                  </w:r>
                </w:p>
              </w:tc>
              <w:tc>
                <w:tcPr>
                  <w:tcW w:w="857" w:type="dxa"/>
                  <w:vAlign w:val="center"/>
                </w:tcPr>
                <w:p w14:paraId="2031475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55.8</w:t>
                  </w:r>
                </w:p>
              </w:tc>
              <w:tc>
                <w:tcPr>
                  <w:tcW w:w="707" w:type="dxa"/>
                  <w:vMerge w:val="continue"/>
                  <w:vAlign w:val="center"/>
                </w:tcPr>
                <w:p w14:paraId="604706A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1F7E6D5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7FDDE5A4">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221071E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29.8</w:t>
                  </w:r>
                </w:p>
              </w:tc>
              <w:tc>
                <w:tcPr>
                  <w:tcW w:w="579" w:type="dxa"/>
                  <w:vAlign w:val="center"/>
                </w:tcPr>
                <w:p w14:paraId="4D238B2C">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482D75A9">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4FCB6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6852830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57631D9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2E4B990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726CCE0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09C7723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295CF0C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6BA5061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0F69044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59AB29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距西厂界20</w:t>
                  </w:r>
                </w:p>
              </w:tc>
              <w:tc>
                <w:tcPr>
                  <w:tcW w:w="857" w:type="dxa"/>
                  <w:vAlign w:val="center"/>
                </w:tcPr>
                <w:p w14:paraId="2C09329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56.3</w:t>
                  </w:r>
                </w:p>
              </w:tc>
              <w:tc>
                <w:tcPr>
                  <w:tcW w:w="707" w:type="dxa"/>
                  <w:vMerge w:val="continue"/>
                  <w:vAlign w:val="center"/>
                </w:tcPr>
                <w:p w14:paraId="39B067D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545EFAA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0DCE995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429F5C9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30.3</w:t>
                  </w:r>
                </w:p>
              </w:tc>
              <w:tc>
                <w:tcPr>
                  <w:tcW w:w="579" w:type="dxa"/>
                  <w:vAlign w:val="center"/>
                </w:tcPr>
                <w:p w14:paraId="6D9F343E">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27F45F79">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0E9B3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4DF5447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0A7B6A0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60CB31B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122FBEC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7086248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712FA98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63F6178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22943F0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0F0152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距南厂界28</w:t>
                  </w:r>
                </w:p>
              </w:tc>
              <w:tc>
                <w:tcPr>
                  <w:tcW w:w="857" w:type="dxa"/>
                  <w:vAlign w:val="center"/>
                </w:tcPr>
                <w:p w14:paraId="7E4581D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56.1</w:t>
                  </w:r>
                </w:p>
              </w:tc>
              <w:tc>
                <w:tcPr>
                  <w:tcW w:w="707" w:type="dxa"/>
                  <w:vMerge w:val="continue"/>
                  <w:vAlign w:val="center"/>
                </w:tcPr>
                <w:p w14:paraId="5A35AEF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23DF251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21011EBB">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5E0F48E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30.1</w:t>
                  </w:r>
                </w:p>
              </w:tc>
              <w:tc>
                <w:tcPr>
                  <w:tcW w:w="579" w:type="dxa"/>
                  <w:vAlign w:val="center"/>
                </w:tcPr>
                <w:p w14:paraId="2BEC830F">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015A70F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33889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24A0A66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53CF0A1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55A6015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4895FE9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542CA5E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0A75050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0527425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3286A0E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04A643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距北厂界12</w:t>
                  </w:r>
                </w:p>
              </w:tc>
              <w:tc>
                <w:tcPr>
                  <w:tcW w:w="857" w:type="dxa"/>
                  <w:vAlign w:val="center"/>
                </w:tcPr>
                <w:p w14:paraId="0FD219D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57.2</w:t>
                  </w:r>
                </w:p>
              </w:tc>
              <w:tc>
                <w:tcPr>
                  <w:tcW w:w="707" w:type="dxa"/>
                  <w:vMerge w:val="continue"/>
                  <w:vAlign w:val="center"/>
                </w:tcPr>
                <w:p w14:paraId="03CE249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1C78B5A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7145217D">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507A15D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31.2</w:t>
                  </w:r>
                </w:p>
              </w:tc>
              <w:tc>
                <w:tcPr>
                  <w:tcW w:w="579" w:type="dxa"/>
                  <w:vAlign w:val="center"/>
                </w:tcPr>
                <w:p w14:paraId="4F86DE10">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686E0BF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08BDF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547865D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28ED2D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lang w:val="en-US" w:eastAsia="zh-CN"/>
                    </w:rPr>
                    <w:t>无铅波峰焊</w:t>
                  </w:r>
                </w:p>
              </w:tc>
              <w:tc>
                <w:tcPr>
                  <w:tcW w:w="771" w:type="dxa"/>
                  <w:vMerge w:val="restart"/>
                  <w:vAlign w:val="center"/>
                </w:tcPr>
                <w:p w14:paraId="69A82C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SELL-450-CB</w:t>
                  </w:r>
                </w:p>
              </w:tc>
              <w:tc>
                <w:tcPr>
                  <w:tcW w:w="1086" w:type="dxa"/>
                  <w:vMerge w:val="restart"/>
                  <w:vAlign w:val="center"/>
                </w:tcPr>
                <w:p w14:paraId="16298CE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70/1</w:t>
                  </w:r>
                </w:p>
              </w:tc>
              <w:tc>
                <w:tcPr>
                  <w:tcW w:w="750" w:type="dxa"/>
                  <w:vMerge w:val="continue"/>
                  <w:vAlign w:val="center"/>
                </w:tcPr>
                <w:p w14:paraId="21D54E0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3F33F0E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728" w:type="dxa"/>
                  <w:vMerge w:val="restart"/>
                  <w:vAlign w:val="center"/>
                </w:tcPr>
                <w:p w14:paraId="211F3BF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24</w:t>
                  </w:r>
                </w:p>
              </w:tc>
              <w:tc>
                <w:tcPr>
                  <w:tcW w:w="600" w:type="dxa"/>
                  <w:vMerge w:val="restart"/>
                  <w:vAlign w:val="center"/>
                </w:tcPr>
                <w:p w14:paraId="025179E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38151C1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距东厂界77</w:t>
                  </w:r>
                </w:p>
              </w:tc>
              <w:tc>
                <w:tcPr>
                  <w:tcW w:w="857" w:type="dxa"/>
                  <w:vAlign w:val="center"/>
                </w:tcPr>
                <w:p w14:paraId="7900FB0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55.8</w:t>
                  </w:r>
                </w:p>
              </w:tc>
              <w:tc>
                <w:tcPr>
                  <w:tcW w:w="707" w:type="dxa"/>
                  <w:vMerge w:val="continue"/>
                  <w:vAlign w:val="center"/>
                </w:tcPr>
                <w:p w14:paraId="043B44A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1831F25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366B6C49">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54E1255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29.8</w:t>
                  </w:r>
                </w:p>
              </w:tc>
              <w:tc>
                <w:tcPr>
                  <w:tcW w:w="579" w:type="dxa"/>
                  <w:vAlign w:val="center"/>
                </w:tcPr>
                <w:p w14:paraId="2F9BF5DB">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43C44333">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2B0DE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7C13DA7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6FF9B87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4FA7AD1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217C771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6938312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11F3A69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6309C3C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685E7E8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2247D43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距西厂界20</w:t>
                  </w:r>
                </w:p>
              </w:tc>
              <w:tc>
                <w:tcPr>
                  <w:tcW w:w="857" w:type="dxa"/>
                  <w:vAlign w:val="center"/>
                </w:tcPr>
                <w:p w14:paraId="0BD77261">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56.3</w:t>
                  </w:r>
                </w:p>
              </w:tc>
              <w:tc>
                <w:tcPr>
                  <w:tcW w:w="707" w:type="dxa"/>
                  <w:vMerge w:val="continue"/>
                  <w:vAlign w:val="center"/>
                </w:tcPr>
                <w:p w14:paraId="269C1ED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27BFC28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65ABEC5A">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2D3CD48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30.3</w:t>
                  </w:r>
                </w:p>
              </w:tc>
              <w:tc>
                <w:tcPr>
                  <w:tcW w:w="579" w:type="dxa"/>
                  <w:vAlign w:val="center"/>
                </w:tcPr>
                <w:p w14:paraId="4E6626FC">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454ADB7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030EE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3202721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5D07661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10762F8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580D06B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6528CEC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2C4E4F1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419888D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28FD031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53193F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距南厂界24</w:t>
                  </w:r>
                </w:p>
              </w:tc>
              <w:tc>
                <w:tcPr>
                  <w:tcW w:w="857" w:type="dxa"/>
                  <w:vAlign w:val="center"/>
                </w:tcPr>
                <w:p w14:paraId="1FC8750F">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56.2</w:t>
                  </w:r>
                </w:p>
              </w:tc>
              <w:tc>
                <w:tcPr>
                  <w:tcW w:w="707" w:type="dxa"/>
                  <w:vMerge w:val="continue"/>
                  <w:vAlign w:val="center"/>
                </w:tcPr>
                <w:p w14:paraId="1D34F99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75F3497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45538BA9">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0D73A87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30.2</w:t>
                  </w:r>
                </w:p>
              </w:tc>
              <w:tc>
                <w:tcPr>
                  <w:tcW w:w="579" w:type="dxa"/>
                  <w:vAlign w:val="center"/>
                </w:tcPr>
                <w:p w14:paraId="1308E3DF">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56064AD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7F7DB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5A4526F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051D496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75EB33F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3E0C4EB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6CABD5C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481D6A1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3267234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3DF3A03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7ACF05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距北厂界16</w:t>
                  </w:r>
                </w:p>
              </w:tc>
              <w:tc>
                <w:tcPr>
                  <w:tcW w:w="857" w:type="dxa"/>
                  <w:vAlign w:val="center"/>
                </w:tcPr>
                <w:p w14:paraId="10D327C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56.6</w:t>
                  </w:r>
                </w:p>
              </w:tc>
              <w:tc>
                <w:tcPr>
                  <w:tcW w:w="707" w:type="dxa"/>
                  <w:vMerge w:val="continue"/>
                  <w:vAlign w:val="center"/>
                </w:tcPr>
                <w:p w14:paraId="0637C8E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5F5F489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510863E4">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611B93C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30.6</w:t>
                  </w:r>
                </w:p>
              </w:tc>
              <w:tc>
                <w:tcPr>
                  <w:tcW w:w="579" w:type="dxa"/>
                  <w:vAlign w:val="center"/>
                </w:tcPr>
                <w:p w14:paraId="3D535EC7">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2A95FE5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4AC63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55EE8CC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24A19D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lang w:val="en-US" w:eastAsia="zh-CN"/>
                    </w:rPr>
                    <w:t>无铅波峰焊</w:t>
                  </w:r>
                </w:p>
              </w:tc>
              <w:tc>
                <w:tcPr>
                  <w:tcW w:w="771" w:type="dxa"/>
                  <w:vMerge w:val="restart"/>
                  <w:vAlign w:val="center"/>
                </w:tcPr>
                <w:p w14:paraId="6C1AB9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SELL-450-CB</w:t>
                  </w:r>
                </w:p>
              </w:tc>
              <w:tc>
                <w:tcPr>
                  <w:tcW w:w="1086" w:type="dxa"/>
                  <w:vMerge w:val="restart"/>
                  <w:vAlign w:val="center"/>
                </w:tcPr>
                <w:p w14:paraId="04A23D7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70/1</w:t>
                  </w:r>
                </w:p>
              </w:tc>
              <w:tc>
                <w:tcPr>
                  <w:tcW w:w="750" w:type="dxa"/>
                  <w:vMerge w:val="continue"/>
                  <w:vAlign w:val="center"/>
                </w:tcPr>
                <w:p w14:paraId="02E0355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6F4B070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728" w:type="dxa"/>
                  <w:vMerge w:val="restart"/>
                  <w:vAlign w:val="center"/>
                </w:tcPr>
                <w:p w14:paraId="10AE84A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600" w:type="dxa"/>
                  <w:vMerge w:val="restart"/>
                  <w:vAlign w:val="center"/>
                </w:tcPr>
                <w:p w14:paraId="7027627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1F128D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距东厂界77</w:t>
                  </w:r>
                </w:p>
              </w:tc>
              <w:tc>
                <w:tcPr>
                  <w:tcW w:w="857" w:type="dxa"/>
                  <w:vAlign w:val="center"/>
                </w:tcPr>
                <w:p w14:paraId="113FEA1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55.8</w:t>
                  </w:r>
                </w:p>
              </w:tc>
              <w:tc>
                <w:tcPr>
                  <w:tcW w:w="707" w:type="dxa"/>
                  <w:vMerge w:val="continue"/>
                  <w:vAlign w:val="center"/>
                </w:tcPr>
                <w:p w14:paraId="12F94E9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2087280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6A144EA8">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105F0D5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29.8</w:t>
                  </w:r>
                </w:p>
              </w:tc>
              <w:tc>
                <w:tcPr>
                  <w:tcW w:w="579" w:type="dxa"/>
                  <w:vAlign w:val="center"/>
                </w:tcPr>
                <w:p w14:paraId="2E0655D1">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30D5024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4486B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1274378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4FD2E34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10CD2B7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1541592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63CBE85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3D88BB6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5B4C017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0373E7D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1F5AF21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距西厂界20</w:t>
                  </w:r>
                </w:p>
              </w:tc>
              <w:tc>
                <w:tcPr>
                  <w:tcW w:w="857" w:type="dxa"/>
                  <w:vAlign w:val="center"/>
                </w:tcPr>
                <w:p w14:paraId="2FD6FE1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56.3</w:t>
                  </w:r>
                </w:p>
              </w:tc>
              <w:tc>
                <w:tcPr>
                  <w:tcW w:w="707" w:type="dxa"/>
                  <w:vMerge w:val="continue"/>
                  <w:vAlign w:val="center"/>
                </w:tcPr>
                <w:p w14:paraId="3CD0DD2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5076C0C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33AE4160">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41DE8AB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30.3</w:t>
                  </w:r>
                </w:p>
              </w:tc>
              <w:tc>
                <w:tcPr>
                  <w:tcW w:w="579" w:type="dxa"/>
                  <w:vAlign w:val="center"/>
                </w:tcPr>
                <w:p w14:paraId="5EB58E9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6677604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63F0D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69605EB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086FB2C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2303701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7755506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2A0E9F7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6E187A0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68CD2AE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73E4656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39404C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距南厂界20</w:t>
                  </w:r>
                </w:p>
              </w:tc>
              <w:tc>
                <w:tcPr>
                  <w:tcW w:w="857" w:type="dxa"/>
                  <w:vAlign w:val="center"/>
                </w:tcPr>
                <w:p w14:paraId="04436F9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56.3</w:t>
                  </w:r>
                </w:p>
              </w:tc>
              <w:tc>
                <w:tcPr>
                  <w:tcW w:w="707" w:type="dxa"/>
                  <w:vMerge w:val="continue"/>
                  <w:vAlign w:val="center"/>
                </w:tcPr>
                <w:p w14:paraId="3D2272D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0E58264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3052967A">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41177CB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30.3</w:t>
                  </w:r>
                </w:p>
              </w:tc>
              <w:tc>
                <w:tcPr>
                  <w:tcW w:w="579" w:type="dxa"/>
                  <w:vAlign w:val="center"/>
                </w:tcPr>
                <w:p w14:paraId="6EE897B4">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23B3D02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451A5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843" w:type="dxa"/>
                  <w:vMerge w:val="continue"/>
                  <w:vAlign w:val="center"/>
                </w:tcPr>
                <w:p w14:paraId="1407D05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274BE1F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40C319E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63C8694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1F7D97B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19663AA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4AD9E52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3146E90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198FDB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距北厂界20</w:t>
                  </w:r>
                </w:p>
              </w:tc>
              <w:tc>
                <w:tcPr>
                  <w:tcW w:w="857" w:type="dxa"/>
                  <w:vAlign w:val="center"/>
                </w:tcPr>
                <w:p w14:paraId="3FF64CE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56.3</w:t>
                  </w:r>
                </w:p>
              </w:tc>
              <w:tc>
                <w:tcPr>
                  <w:tcW w:w="707" w:type="dxa"/>
                  <w:vMerge w:val="continue"/>
                  <w:vAlign w:val="center"/>
                </w:tcPr>
                <w:p w14:paraId="678948E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58372FA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7C88EEE7">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2B03CE1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30.3</w:t>
                  </w:r>
                </w:p>
              </w:tc>
              <w:tc>
                <w:tcPr>
                  <w:tcW w:w="579" w:type="dxa"/>
                  <w:vAlign w:val="center"/>
                </w:tcPr>
                <w:p w14:paraId="11FA713C">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2AB2D72E">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730B8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843" w:type="dxa"/>
                  <w:vMerge w:val="continue"/>
                  <w:vAlign w:val="center"/>
                </w:tcPr>
                <w:p w14:paraId="731F98A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65314B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无铅波峰焊</w:t>
                  </w:r>
                </w:p>
              </w:tc>
              <w:tc>
                <w:tcPr>
                  <w:tcW w:w="771" w:type="dxa"/>
                  <w:vMerge w:val="restart"/>
                  <w:vAlign w:val="center"/>
                </w:tcPr>
                <w:p w14:paraId="19955007">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SELL-450-CB</w:t>
                  </w:r>
                </w:p>
              </w:tc>
              <w:tc>
                <w:tcPr>
                  <w:tcW w:w="1086" w:type="dxa"/>
                  <w:vMerge w:val="restart"/>
                  <w:vAlign w:val="center"/>
                </w:tcPr>
                <w:p w14:paraId="1FAE72B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70/1</w:t>
                  </w:r>
                </w:p>
              </w:tc>
              <w:tc>
                <w:tcPr>
                  <w:tcW w:w="750" w:type="dxa"/>
                  <w:vMerge w:val="continue"/>
                  <w:vAlign w:val="center"/>
                </w:tcPr>
                <w:p w14:paraId="3F3EA75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2DD50AD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728" w:type="dxa"/>
                  <w:vMerge w:val="restart"/>
                  <w:vAlign w:val="center"/>
                </w:tcPr>
                <w:p w14:paraId="1BA8B0C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31</w:t>
                  </w:r>
                </w:p>
              </w:tc>
              <w:tc>
                <w:tcPr>
                  <w:tcW w:w="600" w:type="dxa"/>
                  <w:vMerge w:val="restart"/>
                  <w:vAlign w:val="center"/>
                </w:tcPr>
                <w:p w14:paraId="58FF800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2BE25D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距东厂界77</w:t>
                  </w:r>
                </w:p>
              </w:tc>
              <w:tc>
                <w:tcPr>
                  <w:tcW w:w="857" w:type="dxa"/>
                  <w:vAlign w:val="center"/>
                </w:tcPr>
                <w:p w14:paraId="00C72C7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55.8</w:t>
                  </w:r>
                </w:p>
              </w:tc>
              <w:tc>
                <w:tcPr>
                  <w:tcW w:w="707" w:type="dxa"/>
                  <w:vMerge w:val="continue"/>
                  <w:vAlign w:val="center"/>
                </w:tcPr>
                <w:p w14:paraId="7A4E58F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6C902A1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6ADF558E">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2CB3461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29.8</w:t>
                  </w:r>
                </w:p>
              </w:tc>
              <w:tc>
                <w:tcPr>
                  <w:tcW w:w="579" w:type="dxa"/>
                  <w:vAlign w:val="center"/>
                </w:tcPr>
                <w:p w14:paraId="5745CD71">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6F57C2F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3E4C2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843" w:type="dxa"/>
                  <w:vMerge w:val="continue"/>
                  <w:vAlign w:val="center"/>
                </w:tcPr>
                <w:p w14:paraId="7D2FBA8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791E2F5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3CCCFD3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0488EF3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2AF7090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10E9F39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6237A9F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4427A4B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66A1D4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距西厂界20</w:t>
                  </w:r>
                </w:p>
              </w:tc>
              <w:tc>
                <w:tcPr>
                  <w:tcW w:w="857" w:type="dxa"/>
                  <w:vAlign w:val="center"/>
                </w:tcPr>
                <w:p w14:paraId="49B7792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56.3</w:t>
                  </w:r>
                </w:p>
              </w:tc>
              <w:tc>
                <w:tcPr>
                  <w:tcW w:w="707" w:type="dxa"/>
                  <w:vMerge w:val="continue"/>
                  <w:vAlign w:val="center"/>
                </w:tcPr>
                <w:p w14:paraId="39854E3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1841114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441C7A45">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040FBA7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30.3</w:t>
                  </w:r>
                </w:p>
              </w:tc>
              <w:tc>
                <w:tcPr>
                  <w:tcW w:w="579" w:type="dxa"/>
                  <w:vAlign w:val="center"/>
                </w:tcPr>
                <w:p w14:paraId="2624740E">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1626E01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76A21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843" w:type="dxa"/>
                  <w:vMerge w:val="continue"/>
                  <w:vAlign w:val="center"/>
                </w:tcPr>
                <w:p w14:paraId="4CBD357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1F5A9B5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0589AC8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744147A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29DAE36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2FE5D2B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00015F3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0B72702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23E3ED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距南厂界31</w:t>
                  </w:r>
                </w:p>
              </w:tc>
              <w:tc>
                <w:tcPr>
                  <w:tcW w:w="857" w:type="dxa"/>
                  <w:vAlign w:val="center"/>
                </w:tcPr>
                <w:p w14:paraId="1D2E5B4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56.0</w:t>
                  </w:r>
                </w:p>
              </w:tc>
              <w:tc>
                <w:tcPr>
                  <w:tcW w:w="707" w:type="dxa"/>
                  <w:vMerge w:val="continue"/>
                  <w:vAlign w:val="center"/>
                </w:tcPr>
                <w:p w14:paraId="7F329F1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7F3B6E6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4E90D3EB">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1194B8F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30.0</w:t>
                  </w:r>
                </w:p>
              </w:tc>
              <w:tc>
                <w:tcPr>
                  <w:tcW w:w="579" w:type="dxa"/>
                  <w:vAlign w:val="center"/>
                </w:tcPr>
                <w:p w14:paraId="63DA6FC2">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3271D69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47D04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843" w:type="dxa"/>
                  <w:vMerge w:val="continue"/>
                  <w:vAlign w:val="center"/>
                </w:tcPr>
                <w:p w14:paraId="309D10D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147D727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2B5C5CA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03B3B8B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7952B5F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1AB07B5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039FFA5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6A0FC03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3E2D423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距北厂界8</w:t>
                  </w:r>
                </w:p>
              </w:tc>
              <w:tc>
                <w:tcPr>
                  <w:tcW w:w="857" w:type="dxa"/>
                  <w:vAlign w:val="center"/>
                </w:tcPr>
                <w:p w14:paraId="4563D89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58.4</w:t>
                  </w:r>
                </w:p>
              </w:tc>
              <w:tc>
                <w:tcPr>
                  <w:tcW w:w="707" w:type="dxa"/>
                  <w:vMerge w:val="continue"/>
                  <w:vAlign w:val="center"/>
                </w:tcPr>
                <w:p w14:paraId="3A447EF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4E1148E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25056A37">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6D06FD8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32.4</w:t>
                  </w:r>
                </w:p>
              </w:tc>
              <w:tc>
                <w:tcPr>
                  <w:tcW w:w="579" w:type="dxa"/>
                  <w:vAlign w:val="center"/>
                </w:tcPr>
                <w:p w14:paraId="30EB271A">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31D6B50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26351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843" w:type="dxa"/>
                  <w:vMerge w:val="continue"/>
                  <w:vAlign w:val="center"/>
                </w:tcPr>
                <w:p w14:paraId="1F0F9CA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223EBC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无铅波峰焊</w:t>
                  </w:r>
                </w:p>
              </w:tc>
              <w:tc>
                <w:tcPr>
                  <w:tcW w:w="771" w:type="dxa"/>
                  <w:vMerge w:val="restart"/>
                  <w:vAlign w:val="center"/>
                </w:tcPr>
                <w:p w14:paraId="77427677">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SELL-450-CB</w:t>
                  </w:r>
                </w:p>
              </w:tc>
              <w:tc>
                <w:tcPr>
                  <w:tcW w:w="1086" w:type="dxa"/>
                  <w:vMerge w:val="restart"/>
                  <w:vAlign w:val="center"/>
                </w:tcPr>
                <w:p w14:paraId="0EF452E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70/1</w:t>
                  </w:r>
                </w:p>
              </w:tc>
              <w:tc>
                <w:tcPr>
                  <w:tcW w:w="750" w:type="dxa"/>
                  <w:vMerge w:val="continue"/>
                  <w:vAlign w:val="center"/>
                </w:tcPr>
                <w:p w14:paraId="7D0E78E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6196FF8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728" w:type="dxa"/>
                  <w:vMerge w:val="restart"/>
                  <w:vAlign w:val="center"/>
                </w:tcPr>
                <w:p w14:paraId="30CB63D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27</w:t>
                  </w:r>
                </w:p>
              </w:tc>
              <w:tc>
                <w:tcPr>
                  <w:tcW w:w="600" w:type="dxa"/>
                  <w:vMerge w:val="restart"/>
                  <w:vAlign w:val="center"/>
                </w:tcPr>
                <w:p w14:paraId="2B2337C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48B5E3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距东厂界77</w:t>
                  </w:r>
                </w:p>
              </w:tc>
              <w:tc>
                <w:tcPr>
                  <w:tcW w:w="857" w:type="dxa"/>
                  <w:vAlign w:val="center"/>
                </w:tcPr>
                <w:p w14:paraId="07D7A0F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55.8</w:t>
                  </w:r>
                </w:p>
              </w:tc>
              <w:tc>
                <w:tcPr>
                  <w:tcW w:w="707" w:type="dxa"/>
                  <w:vMerge w:val="continue"/>
                  <w:vAlign w:val="center"/>
                </w:tcPr>
                <w:p w14:paraId="0BFA3F8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4423926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77452F55">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784AC58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29.8</w:t>
                  </w:r>
                </w:p>
              </w:tc>
              <w:tc>
                <w:tcPr>
                  <w:tcW w:w="579" w:type="dxa"/>
                  <w:vAlign w:val="center"/>
                </w:tcPr>
                <w:p w14:paraId="0DA69354">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71BB5B1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1A125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843" w:type="dxa"/>
                  <w:vMerge w:val="continue"/>
                  <w:vAlign w:val="center"/>
                </w:tcPr>
                <w:p w14:paraId="21EB3B1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0B886F4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4EB48AC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022D53D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5FA6EE9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67768B6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3744A35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445C15B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71BF12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距西厂界20</w:t>
                  </w:r>
                </w:p>
              </w:tc>
              <w:tc>
                <w:tcPr>
                  <w:tcW w:w="857" w:type="dxa"/>
                  <w:vAlign w:val="center"/>
                </w:tcPr>
                <w:p w14:paraId="7D560AD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56.3</w:t>
                  </w:r>
                </w:p>
              </w:tc>
              <w:tc>
                <w:tcPr>
                  <w:tcW w:w="707" w:type="dxa"/>
                  <w:vMerge w:val="continue"/>
                  <w:vAlign w:val="center"/>
                </w:tcPr>
                <w:p w14:paraId="5514122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0347376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0549B824">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7FE41A5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30.3</w:t>
                  </w:r>
                </w:p>
              </w:tc>
              <w:tc>
                <w:tcPr>
                  <w:tcW w:w="579" w:type="dxa"/>
                  <w:vAlign w:val="center"/>
                </w:tcPr>
                <w:p w14:paraId="50127FB6">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3AE4A12C">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4FB4B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843" w:type="dxa"/>
                  <w:vMerge w:val="continue"/>
                  <w:vAlign w:val="center"/>
                </w:tcPr>
                <w:p w14:paraId="1419377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1F10FD8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5364449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6027DD0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0EA9990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4A936BD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40661AA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10E2DA9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54DA44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距南厂界27</w:t>
                  </w:r>
                </w:p>
              </w:tc>
              <w:tc>
                <w:tcPr>
                  <w:tcW w:w="857" w:type="dxa"/>
                  <w:vAlign w:val="center"/>
                </w:tcPr>
                <w:p w14:paraId="7D6792A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56.1</w:t>
                  </w:r>
                </w:p>
              </w:tc>
              <w:tc>
                <w:tcPr>
                  <w:tcW w:w="707" w:type="dxa"/>
                  <w:vMerge w:val="continue"/>
                  <w:vAlign w:val="center"/>
                </w:tcPr>
                <w:p w14:paraId="02D765F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17AD238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6FD17E6D">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1F95DCF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30.1</w:t>
                  </w:r>
                </w:p>
              </w:tc>
              <w:tc>
                <w:tcPr>
                  <w:tcW w:w="579" w:type="dxa"/>
                  <w:vAlign w:val="center"/>
                </w:tcPr>
                <w:p w14:paraId="7084CE9D">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7863F4F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5031D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843" w:type="dxa"/>
                  <w:vMerge w:val="continue"/>
                  <w:vAlign w:val="center"/>
                </w:tcPr>
                <w:p w14:paraId="56AE5C0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18EAD34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3A34499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11A2771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0E730EC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477CFBC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664616E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7B0DDCF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7958DD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距北厂界12</w:t>
                  </w:r>
                </w:p>
              </w:tc>
              <w:tc>
                <w:tcPr>
                  <w:tcW w:w="857" w:type="dxa"/>
                  <w:vAlign w:val="center"/>
                </w:tcPr>
                <w:p w14:paraId="2A31812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57.2</w:t>
                  </w:r>
                </w:p>
              </w:tc>
              <w:tc>
                <w:tcPr>
                  <w:tcW w:w="707" w:type="dxa"/>
                  <w:vMerge w:val="continue"/>
                  <w:vAlign w:val="center"/>
                </w:tcPr>
                <w:p w14:paraId="77F545F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7F8BF9B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033EB169">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7BD1C72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31.2</w:t>
                  </w:r>
                </w:p>
              </w:tc>
              <w:tc>
                <w:tcPr>
                  <w:tcW w:w="579" w:type="dxa"/>
                  <w:vAlign w:val="center"/>
                </w:tcPr>
                <w:p w14:paraId="2A97F269">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09E29343">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7EFDA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843" w:type="dxa"/>
                  <w:vMerge w:val="continue"/>
                  <w:vAlign w:val="center"/>
                </w:tcPr>
                <w:p w14:paraId="215CA95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7AC119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无铅波峰焊</w:t>
                  </w:r>
                </w:p>
              </w:tc>
              <w:tc>
                <w:tcPr>
                  <w:tcW w:w="771" w:type="dxa"/>
                  <w:vMerge w:val="restart"/>
                  <w:vAlign w:val="center"/>
                </w:tcPr>
                <w:p w14:paraId="181ECB64">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SELL-450-CB</w:t>
                  </w:r>
                </w:p>
              </w:tc>
              <w:tc>
                <w:tcPr>
                  <w:tcW w:w="1086" w:type="dxa"/>
                  <w:vMerge w:val="restart"/>
                  <w:vAlign w:val="center"/>
                </w:tcPr>
                <w:p w14:paraId="1D45268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70/1</w:t>
                  </w:r>
                </w:p>
              </w:tc>
              <w:tc>
                <w:tcPr>
                  <w:tcW w:w="750" w:type="dxa"/>
                  <w:vMerge w:val="continue"/>
                  <w:vAlign w:val="center"/>
                </w:tcPr>
                <w:p w14:paraId="192E242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2420813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728" w:type="dxa"/>
                  <w:vMerge w:val="restart"/>
                  <w:vAlign w:val="center"/>
                </w:tcPr>
                <w:p w14:paraId="7DE12CA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23</w:t>
                  </w:r>
                </w:p>
              </w:tc>
              <w:tc>
                <w:tcPr>
                  <w:tcW w:w="600" w:type="dxa"/>
                  <w:vMerge w:val="restart"/>
                  <w:vAlign w:val="center"/>
                </w:tcPr>
                <w:p w14:paraId="4DDF328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07D9D73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距东厂界77</w:t>
                  </w:r>
                </w:p>
              </w:tc>
              <w:tc>
                <w:tcPr>
                  <w:tcW w:w="857" w:type="dxa"/>
                  <w:vAlign w:val="center"/>
                </w:tcPr>
                <w:p w14:paraId="73B1590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55.8</w:t>
                  </w:r>
                </w:p>
              </w:tc>
              <w:tc>
                <w:tcPr>
                  <w:tcW w:w="707" w:type="dxa"/>
                  <w:vMerge w:val="continue"/>
                  <w:vAlign w:val="center"/>
                </w:tcPr>
                <w:p w14:paraId="7D914AD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3E71AEA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038CAC9D">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15FFEB3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29.8</w:t>
                  </w:r>
                </w:p>
              </w:tc>
              <w:tc>
                <w:tcPr>
                  <w:tcW w:w="579" w:type="dxa"/>
                  <w:vAlign w:val="center"/>
                </w:tcPr>
                <w:p w14:paraId="28FE5AD5">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2F792B0F">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10B61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843" w:type="dxa"/>
                  <w:vMerge w:val="continue"/>
                  <w:vAlign w:val="center"/>
                </w:tcPr>
                <w:p w14:paraId="7409EF3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329AC36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236DF77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5B4DA7A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4E1433E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0F5A14C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42C3E41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7D21185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70EADD3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距西厂界20</w:t>
                  </w:r>
                </w:p>
              </w:tc>
              <w:tc>
                <w:tcPr>
                  <w:tcW w:w="857" w:type="dxa"/>
                  <w:vAlign w:val="center"/>
                </w:tcPr>
                <w:p w14:paraId="29411C4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56.3</w:t>
                  </w:r>
                </w:p>
              </w:tc>
              <w:tc>
                <w:tcPr>
                  <w:tcW w:w="707" w:type="dxa"/>
                  <w:vMerge w:val="continue"/>
                  <w:vAlign w:val="center"/>
                </w:tcPr>
                <w:p w14:paraId="5984705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527D54C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5F463901">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1399543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30.3</w:t>
                  </w:r>
                </w:p>
              </w:tc>
              <w:tc>
                <w:tcPr>
                  <w:tcW w:w="579" w:type="dxa"/>
                  <w:vAlign w:val="center"/>
                </w:tcPr>
                <w:p w14:paraId="1DBC5247">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78376ED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51600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843" w:type="dxa"/>
                  <w:vMerge w:val="continue"/>
                  <w:vAlign w:val="center"/>
                </w:tcPr>
                <w:p w14:paraId="451C15C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19045CE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0086365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17B97BE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797848D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5F02B03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12D1000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59F247B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600F24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距南厂界23</w:t>
                  </w:r>
                </w:p>
              </w:tc>
              <w:tc>
                <w:tcPr>
                  <w:tcW w:w="857" w:type="dxa"/>
                  <w:vAlign w:val="center"/>
                </w:tcPr>
                <w:p w14:paraId="510C489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56.2</w:t>
                  </w:r>
                </w:p>
              </w:tc>
              <w:tc>
                <w:tcPr>
                  <w:tcW w:w="707" w:type="dxa"/>
                  <w:vMerge w:val="continue"/>
                  <w:vAlign w:val="center"/>
                </w:tcPr>
                <w:p w14:paraId="172BF01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3BCF592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4B99FAC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67A5CFA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30.2</w:t>
                  </w:r>
                </w:p>
              </w:tc>
              <w:tc>
                <w:tcPr>
                  <w:tcW w:w="579" w:type="dxa"/>
                  <w:vAlign w:val="center"/>
                </w:tcPr>
                <w:p w14:paraId="1988B56B">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321AA9C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2458E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843" w:type="dxa"/>
                  <w:vMerge w:val="continue"/>
                  <w:vAlign w:val="center"/>
                </w:tcPr>
                <w:p w14:paraId="72EEE78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356C18F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7B9CDD1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0CB1610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18F87FA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673E215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7772BAC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4E0B43D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1E49D9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距北厂界16</w:t>
                  </w:r>
                </w:p>
              </w:tc>
              <w:tc>
                <w:tcPr>
                  <w:tcW w:w="857" w:type="dxa"/>
                  <w:vAlign w:val="center"/>
                </w:tcPr>
                <w:p w14:paraId="023C207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56.6</w:t>
                  </w:r>
                </w:p>
              </w:tc>
              <w:tc>
                <w:tcPr>
                  <w:tcW w:w="707" w:type="dxa"/>
                  <w:vMerge w:val="continue"/>
                  <w:vAlign w:val="center"/>
                </w:tcPr>
                <w:p w14:paraId="7343A80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55428C5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7A65E631">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796F8B5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30.6</w:t>
                  </w:r>
                </w:p>
              </w:tc>
              <w:tc>
                <w:tcPr>
                  <w:tcW w:w="579" w:type="dxa"/>
                  <w:vAlign w:val="center"/>
                </w:tcPr>
                <w:p w14:paraId="63895455">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11D71A73">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313DF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843" w:type="dxa"/>
                  <w:vMerge w:val="continue"/>
                  <w:vAlign w:val="center"/>
                </w:tcPr>
                <w:p w14:paraId="3B81E0E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1114" w:type="dxa"/>
                  <w:vMerge w:val="restart"/>
                  <w:vAlign w:val="center"/>
                </w:tcPr>
                <w:p w14:paraId="5517E6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无铅波峰焊</w:t>
                  </w:r>
                </w:p>
              </w:tc>
              <w:tc>
                <w:tcPr>
                  <w:tcW w:w="771" w:type="dxa"/>
                  <w:vMerge w:val="restart"/>
                  <w:vAlign w:val="center"/>
                </w:tcPr>
                <w:p w14:paraId="10A71110">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SELL-450-CB</w:t>
                  </w:r>
                </w:p>
              </w:tc>
              <w:tc>
                <w:tcPr>
                  <w:tcW w:w="1086" w:type="dxa"/>
                  <w:vMerge w:val="restart"/>
                  <w:vAlign w:val="center"/>
                </w:tcPr>
                <w:p w14:paraId="19D25FC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70/1</w:t>
                  </w:r>
                </w:p>
              </w:tc>
              <w:tc>
                <w:tcPr>
                  <w:tcW w:w="750" w:type="dxa"/>
                  <w:vMerge w:val="continue"/>
                  <w:vAlign w:val="center"/>
                </w:tcPr>
                <w:p w14:paraId="6E7F888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694" w:type="dxa"/>
                  <w:vMerge w:val="restart"/>
                  <w:vAlign w:val="center"/>
                </w:tcPr>
                <w:p w14:paraId="403E7D0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728" w:type="dxa"/>
                  <w:vMerge w:val="restart"/>
                  <w:vAlign w:val="center"/>
                </w:tcPr>
                <w:p w14:paraId="154A4C0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19</w:t>
                  </w:r>
                </w:p>
              </w:tc>
              <w:tc>
                <w:tcPr>
                  <w:tcW w:w="600" w:type="dxa"/>
                  <w:vMerge w:val="restart"/>
                  <w:vAlign w:val="center"/>
                </w:tcPr>
                <w:p w14:paraId="7E8B773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0</w:t>
                  </w:r>
                </w:p>
              </w:tc>
              <w:tc>
                <w:tcPr>
                  <w:tcW w:w="1607" w:type="dxa"/>
                  <w:vAlign w:val="center"/>
                </w:tcPr>
                <w:p w14:paraId="269F7B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距东厂界77</w:t>
                  </w:r>
                </w:p>
              </w:tc>
              <w:tc>
                <w:tcPr>
                  <w:tcW w:w="857" w:type="dxa"/>
                  <w:vAlign w:val="center"/>
                </w:tcPr>
                <w:p w14:paraId="51C54E6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55.8</w:t>
                  </w:r>
                </w:p>
              </w:tc>
              <w:tc>
                <w:tcPr>
                  <w:tcW w:w="707" w:type="dxa"/>
                  <w:vMerge w:val="continue"/>
                  <w:vAlign w:val="center"/>
                </w:tcPr>
                <w:p w14:paraId="42BB08B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p>
              </w:tc>
              <w:tc>
                <w:tcPr>
                  <w:tcW w:w="793" w:type="dxa"/>
                  <w:vMerge w:val="restart"/>
                  <w:vAlign w:val="center"/>
                </w:tcPr>
                <w:p w14:paraId="7FD51E8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20</w:t>
                  </w:r>
                </w:p>
              </w:tc>
              <w:tc>
                <w:tcPr>
                  <w:tcW w:w="579" w:type="dxa"/>
                  <w:vAlign w:val="center"/>
                </w:tcPr>
                <w:p w14:paraId="56D2A66E">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03B0C75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29.8</w:t>
                  </w:r>
                </w:p>
              </w:tc>
              <w:tc>
                <w:tcPr>
                  <w:tcW w:w="579" w:type="dxa"/>
                  <w:vAlign w:val="center"/>
                </w:tcPr>
                <w:p w14:paraId="5DA50B46">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2CBEDF6E">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1DFB4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843" w:type="dxa"/>
                  <w:vMerge w:val="continue"/>
                  <w:vAlign w:val="center"/>
                </w:tcPr>
                <w:p w14:paraId="3B40146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6E83307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6E2446B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227E788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0DC58CD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0C8A604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3703282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65D94BB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1A87AB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距西厂界20</w:t>
                  </w:r>
                </w:p>
              </w:tc>
              <w:tc>
                <w:tcPr>
                  <w:tcW w:w="857" w:type="dxa"/>
                  <w:vAlign w:val="center"/>
                </w:tcPr>
                <w:p w14:paraId="3408D98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56.3</w:t>
                  </w:r>
                </w:p>
              </w:tc>
              <w:tc>
                <w:tcPr>
                  <w:tcW w:w="707" w:type="dxa"/>
                  <w:vMerge w:val="continue"/>
                  <w:vAlign w:val="center"/>
                </w:tcPr>
                <w:p w14:paraId="46AD154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1C016C9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50A09AEE">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42CF368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30.3</w:t>
                  </w:r>
                </w:p>
              </w:tc>
              <w:tc>
                <w:tcPr>
                  <w:tcW w:w="579" w:type="dxa"/>
                  <w:vAlign w:val="center"/>
                </w:tcPr>
                <w:p w14:paraId="3E6BD54D">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3E9FA9AC">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70B43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843" w:type="dxa"/>
                  <w:vMerge w:val="continue"/>
                  <w:vAlign w:val="center"/>
                </w:tcPr>
                <w:p w14:paraId="2FEA220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0A65E7B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58B9B3C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669ED04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09132B0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32B27F4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1306225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03DAEA9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49E2B8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距南厂界19</w:t>
                  </w:r>
                </w:p>
              </w:tc>
              <w:tc>
                <w:tcPr>
                  <w:tcW w:w="857" w:type="dxa"/>
                  <w:vAlign w:val="center"/>
                </w:tcPr>
                <w:p w14:paraId="79AF7D4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56.4</w:t>
                  </w:r>
                </w:p>
              </w:tc>
              <w:tc>
                <w:tcPr>
                  <w:tcW w:w="707" w:type="dxa"/>
                  <w:vMerge w:val="continue"/>
                  <w:vAlign w:val="center"/>
                </w:tcPr>
                <w:p w14:paraId="73C16C6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288DC0C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7D1BC74E">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0BAC194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30.4</w:t>
                  </w:r>
                </w:p>
              </w:tc>
              <w:tc>
                <w:tcPr>
                  <w:tcW w:w="579" w:type="dxa"/>
                  <w:vAlign w:val="center"/>
                </w:tcPr>
                <w:p w14:paraId="3106973C">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464D208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084F2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843" w:type="dxa"/>
                  <w:vMerge w:val="continue"/>
                  <w:vAlign w:val="center"/>
                </w:tcPr>
                <w:p w14:paraId="78BC5EA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63285B8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6F05D43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1B04EE5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5C6AB5A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0231A7E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213B045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363E8DE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392B71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lang w:val="en-US"/>
                    </w:rPr>
                  </w:pPr>
                  <w:r>
                    <w:rPr>
                      <w:rFonts w:hint="default" w:ascii="Times New Roman" w:hAnsi="Times New Roman" w:eastAsia="宋体" w:cs="Times New Roman"/>
                      <w:color w:val="auto"/>
                      <w:sz w:val="21"/>
                      <w:szCs w:val="21"/>
                      <w:highlight w:val="none"/>
                      <w:u w:val="single"/>
                      <w:lang w:val="en-US" w:eastAsia="zh-CN"/>
                    </w:rPr>
                    <w:t>距北厂界20</w:t>
                  </w:r>
                </w:p>
              </w:tc>
              <w:tc>
                <w:tcPr>
                  <w:tcW w:w="857" w:type="dxa"/>
                  <w:vAlign w:val="center"/>
                </w:tcPr>
                <w:p w14:paraId="694FB2F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56.3</w:t>
                  </w:r>
                </w:p>
              </w:tc>
              <w:tc>
                <w:tcPr>
                  <w:tcW w:w="707" w:type="dxa"/>
                  <w:vMerge w:val="continue"/>
                  <w:vAlign w:val="center"/>
                </w:tcPr>
                <w:p w14:paraId="04222DA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0D82E67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4E58D09C">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2922A21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30.3</w:t>
                  </w:r>
                </w:p>
              </w:tc>
              <w:tc>
                <w:tcPr>
                  <w:tcW w:w="579" w:type="dxa"/>
                  <w:vAlign w:val="center"/>
                </w:tcPr>
                <w:p w14:paraId="7AEE8110">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3486769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1</w:t>
                  </w:r>
                </w:p>
              </w:tc>
            </w:tr>
            <w:tr w14:paraId="6511F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843" w:type="dxa"/>
                  <w:vMerge w:val="continue"/>
                  <w:vAlign w:val="center"/>
                </w:tcPr>
                <w:p w14:paraId="2B56F1E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restart"/>
                  <w:vAlign w:val="center"/>
                </w:tcPr>
                <w:p w14:paraId="19FBFA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无铅波峰焊</w:t>
                  </w:r>
                </w:p>
              </w:tc>
              <w:tc>
                <w:tcPr>
                  <w:tcW w:w="771" w:type="dxa"/>
                  <w:vMerge w:val="restart"/>
                  <w:vAlign w:val="center"/>
                </w:tcPr>
                <w:p w14:paraId="3954B75E">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SELL-450-CB</w:t>
                  </w:r>
                </w:p>
              </w:tc>
              <w:tc>
                <w:tcPr>
                  <w:tcW w:w="1086" w:type="dxa"/>
                  <w:vMerge w:val="restart"/>
                  <w:vAlign w:val="center"/>
                </w:tcPr>
                <w:p w14:paraId="39B9641D">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vertAlign w:val="baseline"/>
                      <w:lang w:val="en-US" w:eastAsia="zh-CN"/>
                    </w:rPr>
                    <w:t>70/1</w:t>
                  </w:r>
                </w:p>
              </w:tc>
              <w:tc>
                <w:tcPr>
                  <w:tcW w:w="750" w:type="dxa"/>
                  <w:vMerge w:val="continue"/>
                  <w:vAlign w:val="center"/>
                </w:tcPr>
                <w:p w14:paraId="6536D90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restart"/>
                  <w:vAlign w:val="center"/>
                </w:tcPr>
                <w:p w14:paraId="0DE00F2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20</w:t>
                  </w:r>
                </w:p>
              </w:tc>
              <w:tc>
                <w:tcPr>
                  <w:tcW w:w="728" w:type="dxa"/>
                  <w:vMerge w:val="restart"/>
                  <w:vAlign w:val="center"/>
                </w:tcPr>
                <w:p w14:paraId="458AFB6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15</w:t>
                  </w:r>
                </w:p>
              </w:tc>
              <w:tc>
                <w:tcPr>
                  <w:tcW w:w="600" w:type="dxa"/>
                  <w:vMerge w:val="restart"/>
                  <w:vAlign w:val="center"/>
                </w:tcPr>
                <w:p w14:paraId="642CC59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0</w:t>
                  </w:r>
                </w:p>
              </w:tc>
              <w:tc>
                <w:tcPr>
                  <w:tcW w:w="1607" w:type="dxa"/>
                  <w:vAlign w:val="center"/>
                </w:tcPr>
                <w:p w14:paraId="016D7E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距东厂界77</w:t>
                  </w:r>
                </w:p>
              </w:tc>
              <w:tc>
                <w:tcPr>
                  <w:tcW w:w="857" w:type="dxa"/>
                  <w:vAlign w:val="center"/>
                </w:tcPr>
                <w:p w14:paraId="45A859A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55.8</w:t>
                  </w:r>
                </w:p>
              </w:tc>
              <w:tc>
                <w:tcPr>
                  <w:tcW w:w="707" w:type="dxa"/>
                  <w:vMerge w:val="continue"/>
                  <w:vAlign w:val="center"/>
                </w:tcPr>
                <w:p w14:paraId="172D2CD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restart"/>
                  <w:vAlign w:val="center"/>
                </w:tcPr>
                <w:p w14:paraId="2107A08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20</w:t>
                  </w:r>
                </w:p>
              </w:tc>
              <w:tc>
                <w:tcPr>
                  <w:tcW w:w="579" w:type="dxa"/>
                  <w:vAlign w:val="center"/>
                </w:tcPr>
                <w:p w14:paraId="439923C6">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7F67DC3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29.8</w:t>
                  </w:r>
                </w:p>
              </w:tc>
              <w:tc>
                <w:tcPr>
                  <w:tcW w:w="579" w:type="dxa"/>
                  <w:vAlign w:val="center"/>
                </w:tcPr>
                <w:p w14:paraId="158A4F22">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1FE8303E">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254A2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843" w:type="dxa"/>
                  <w:vMerge w:val="continue"/>
                  <w:vAlign w:val="center"/>
                </w:tcPr>
                <w:p w14:paraId="0ECA1E8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734443D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426E21A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7247A37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78C4AD1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16753E4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6A2CA66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4B2E992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66937C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距西厂界20</w:t>
                  </w:r>
                </w:p>
              </w:tc>
              <w:tc>
                <w:tcPr>
                  <w:tcW w:w="857" w:type="dxa"/>
                  <w:vAlign w:val="center"/>
                </w:tcPr>
                <w:p w14:paraId="45960AE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56.3</w:t>
                  </w:r>
                </w:p>
              </w:tc>
              <w:tc>
                <w:tcPr>
                  <w:tcW w:w="707" w:type="dxa"/>
                  <w:vMerge w:val="continue"/>
                  <w:vAlign w:val="center"/>
                </w:tcPr>
                <w:p w14:paraId="334AC42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54BD629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72B6FB4D">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41C7260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30.3</w:t>
                  </w:r>
                </w:p>
              </w:tc>
              <w:tc>
                <w:tcPr>
                  <w:tcW w:w="579" w:type="dxa"/>
                  <w:vAlign w:val="center"/>
                </w:tcPr>
                <w:p w14:paraId="162CD03C">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1466DCC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0BCB7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843" w:type="dxa"/>
                  <w:vMerge w:val="continue"/>
                  <w:vAlign w:val="center"/>
                </w:tcPr>
                <w:p w14:paraId="7FD9B55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1748D10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272C49E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0C25809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406B63D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2DA4EF8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58F652E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7311467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25E575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距南厂界15</w:t>
                  </w:r>
                </w:p>
              </w:tc>
              <w:tc>
                <w:tcPr>
                  <w:tcW w:w="857" w:type="dxa"/>
                  <w:vAlign w:val="center"/>
                </w:tcPr>
                <w:p w14:paraId="366CE91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56.7</w:t>
                  </w:r>
                </w:p>
              </w:tc>
              <w:tc>
                <w:tcPr>
                  <w:tcW w:w="707" w:type="dxa"/>
                  <w:vMerge w:val="continue"/>
                  <w:vAlign w:val="center"/>
                </w:tcPr>
                <w:p w14:paraId="6188D45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3F3168F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2534BCEA">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3118159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30.7</w:t>
                  </w:r>
                </w:p>
              </w:tc>
              <w:tc>
                <w:tcPr>
                  <w:tcW w:w="579" w:type="dxa"/>
                  <w:vAlign w:val="center"/>
                </w:tcPr>
                <w:p w14:paraId="592EF479">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7CBB841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343E5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843" w:type="dxa"/>
                  <w:vMerge w:val="continue"/>
                  <w:vAlign w:val="center"/>
                </w:tcPr>
                <w:p w14:paraId="02C77A4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2DD12B6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63BBC39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5B36437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0B0B986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09B052C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04DC5BC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4BA66DC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4BD190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距北厂界24</w:t>
                  </w:r>
                </w:p>
              </w:tc>
              <w:tc>
                <w:tcPr>
                  <w:tcW w:w="857" w:type="dxa"/>
                  <w:vAlign w:val="center"/>
                </w:tcPr>
                <w:p w14:paraId="15914D9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56.2</w:t>
                  </w:r>
                </w:p>
              </w:tc>
              <w:tc>
                <w:tcPr>
                  <w:tcW w:w="707" w:type="dxa"/>
                  <w:vMerge w:val="continue"/>
                  <w:vAlign w:val="center"/>
                </w:tcPr>
                <w:p w14:paraId="7B25827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088D0133">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1647FCE7">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68EB88F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30.2</w:t>
                  </w:r>
                </w:p>
              </w:tc>
              <w:tc>
                <w:tcPr>
                  <w:tcW w:w="579" w:type="dxa"/>
                  <w:vAlign w:val="center"/>
                </w:tcPr>
                <w:p w14:paraId="3E606179">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44C5D54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6EE9E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843" w:type="dxa"/>
                  <w:vMerge w:val="continue"/>
                  <w:vAlign w:val="center"/>
                </w:tcPr>
                <w:p w14:paraId="45F11DF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restart"/>
                  <w:vAlign w:val="center"/>
                </w:tcPr>
                <w:p w14:paraId="75804EA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空压机</w:t>
                  </w:r>
                </w:p>
              </w:tc>
              <w:tc>
                <w:tcPr>
                  <w:tcW w:w="771" w:type="dxa"/>
                  <w:vMerge w:val="restart"/>
                  <w:vAlign w:val="center"/>
                </w:tcPr>
                <w:p w14:paraId="07BE078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w:t>
                  </w:r>
                </w:p>
              </w:tc>
              <w:tc>
                <w:tcPr>
                  <w:tcW w:w="1086" w:type="dxa"/>
                  <w:vMerge w:val="restart"/>
                  <w:vAlign w:val="center"/>
                </w:tcPr>
                <w:p w14:paraId="23D758C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90/1</w:t>
                  </w:r>
                </w:p>
              </w:tc>
              <w:tc>
                <w:tcPr>
                  <w:tcW w:w="750" w:type="dxa"/>
                  <w:vMerge w:val="continue"/>
                  <w:vAlign w:val="center"/>
                </w:tcPr>
                <w:p w14:paraId="49294D4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restart"/>
                  <w:vAlign w:val="center"/>
                </w:tcPr>
                <w:p w14:paraId="0F29E64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83</w:t>
                  </w:r>
                </w:p>
              </w:tc>
              <w:tc>
                <w:tcPr>
                  <w:tcW w:w="728" w:type="dxa"/>
                  <w:vMerge w:val="restart"/>
                  <w:vAlign w:val="center"/>
                </w:tcPr>
                <w:p w14:paraId="6B96BB6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33</w:t>
                  </w:r>
                </w:p>
              </w:tc>
              <w:tc>
                <w:tcPr>
                  <w:tcW w:w="600" w:type="dxa"/>
                  <w:vMerge w:val="restart"/>
                  <w:vAlign w:val="center"/>
                </w:tcPr>
                <w:p w14:paraId="0761B5A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0</w:t>
                  </w:r>
                </w:p>
              </w:tc>
              <w:tc>
                <w:tcPr>
                  <w:tcW w:w="1607" w:type="dxa"/>
                  <w:vAlign w:val="center"/>
                </w:tcPr>
                <w:p w14:paraId="076E3D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距东厂界14</w:t>
                  </w:r>
                </w:p>
              </w:tc>
              <w:tc>
                <w:tcPr>
                  <w:tcW w:w="857" w:type="dxa"/>
                  <w:vAlign w:val="center"/>
                </w:tcPr>
                <w:p w14:paraId="5C6828F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76.8</w:t>
                  </w:r>
                </w:p>
              </w:tc>
              <w:tc>
                <w:tcPr>
                  <w:tcW w:w="707" w:type="dxa"/>
                  <w:vMerge w:val="continue"/>
                  <w:vAlign w:val="center"/>
                </w:tcPr>
                <w:p w14:paraId="1F7E0EA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restart"/>
                  <w:vAlign w:val="center"/>
                </w:tcPr>
                <w:p w14:paraId="7ABC4A1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20</w:t>
                  </w:r>
                </w:p>
              </w:tc>
              <w:tc>
                <w:tcPr>
                  <w:tcW w:w="579" w:type="dxa"/>
                  <w:vAlign w:val="center"/>
                </w:tcPr>
                <w:p w14:paraId="062D1CB5">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728" w:type="dxa"/>
                  <w:vAlign w:val="center"/>
                </w:tcPr>
                <w:p w14:paraId="0E1DB4A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50.8</w:t>
                  </w:r>
                </w:p>
              </w:tc>
              <w:tc>
                <w:tcPr>
                  <w:tcW w:w="579" w:type="dxa"/>
                  <w:vAlign w:val="center"/>
                </w:tcPr>
                <w:p w14:paraId="20810653">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东</w:t>
                  </w:r>
                </w:p>
              </w:tc>
              <w:tc>
                <w:tcPr>
                  <w:tcW w:w="566" w:type="dxa"/>
                  <w:vAlign w:val="center"/>
                </w:tcPr>
                <w:p w14:paraId="7EB5F56C">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7E64A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843" w:type="dxa"/>
                  <w:vMerge w:val="continue"/>
                  <w:vAlign w:val="center"/>
                </w:tcPr>
                <w:p w14:paraId="2A02D01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71EE574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1A1BA5E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4FF53A6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04A3ECD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247181D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423096C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1EB32A8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194D92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距西厂界83</w:t>
                  </w:r>
                </w:p>
              </w:tc>
              <w:tc>
                <w:tcPr>
                  <w:tcW w:w="857" w:type="dxa"/>
                  <w:vAlign w:val="center"/>
                </w:tcPr>
                <w:p w14:paraId="24CE78C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75.5</w:t>
                  </w:r>
                </w:p>
              </w:tc>
              <w:tc>
                <w:tcPr>
                  <w:tcW w:w="707" w:type="dxa"/>
                  <w:vMerge w:val="continue"/>
                  <w:vAlign w:val="center"/>
                </w:tcPr>
                <w:p w14:paraId="06CAA8A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7996F4B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66A93354">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728" w:type="dxa"/>
                  <w:vAlign w:val="center"/>
                </w:tcPr>
                <w:p w14:paraId="250BEFC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49.8</w:t>
                  </w:r>
                </w:p>
              </w:tc>
              <w:tc>
                <w:tcPr>
                  <w:tcW w:w="579" w:type="dxa"/>
                  <w:vAlign w:val="center"/>
                </w:tcPr>
                <w:p w14:paraId="727E9137">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西</w:t>
                  </w:r>
                </w:p>
              </w:tc>
              <w:tc>
                <w:tcPr>
                  <w:tcW w:w="566" w:type="dxa"/>
                  <w:vAlign w:val="center"/>
                </w:tcPr>
                <w:p w14:paraId="6E015C0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5D044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843" w:type="dxa"/>
                  <w:vMerge w:val="continue"/>
                  <w:vAlign w:val="center"/>
                </w:tcPr>
                <w:p w14:paraId="5678F428">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09ED346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786C937F">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059A157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5D82234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6D5BD1DC">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151052B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697F14AA">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42FDD7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距南厂界33</w:t>
                  </w:r>
                </w:p>
              </w:tc>
              <w:tc>
                <w:tcPr>
                  <w:tcW w:w="857" w:type="dxa"/>
                  <w:vAlign w:val="center"/>
                </w:tcPr>
                <w:p w14:paraId="02D69E6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76.0</w:t>
                  </w:r>
                </w:p>
              </w:tc>
              <w:tc>
                <w:tcPr>
                  <w:tcW w:w="707" w:type="dxa"/>
                  <w:vMerge w:val="continue"/>
                  <w:vAlign w:val="center"/>
                </w:tcPr>
                <w:p w14:paraId="21F0D75B">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068CDBE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25128BB1">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728" w:type="dxa"/>
                  <w:vAlign w:val="center"/>
                </w:tcPr>
                <w:p w14:paraId="4B4CCFF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50.0</w:t>
                  </w:r>
                </w:p>
              </w:tc>
              <w:tc>
                <w:tcPr>
                  <w:tcW w:w="579" w:type="dxa"/>
                  <w:vAlign w:val="center"/>
                </w:tcPr>
                <w:p w14:paraId="21F91A76">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南</w:t>
                  </w:r>
                </w:p>
              </w:tc>
              <w:tc>
                <w:tcPr>
                  <w:tcW w:w="566" w:type="dxa"/>
                  <w:vAlign w:val="center"/>
                </w:tcPr>
                <w:p w14:paraId="681267D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32E2A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843" w:type="dxa"/>
                  <w:vMerge w:val="continue"/>
                  <w:vAlign w:val="center"/>
                </w:tcPr>
                <w:p w14:paraId="64F41CF0">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114" w:type="dxa"/>
                  <w:vMerge w:val="continue"/>
                  <w:vAlign w:val="center"/>
                </w:tcPr>
                <w:p w14:paraId="24C36167">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71" w:type="dxa"/>
                  <w:vMerge w:val="continue"/>
                  <w:vAlign w:val="center"/>
                </w:tcPr>
                <w:p w14:paraId="45AF363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086" w:type="dxa"/>
                  <w:vMerge w:val="continue"/>
                  <w:vAlign w:val="center"/>
                </w:tcPr>
                <w:p w14:paraId="13D744DD">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50" w:type="dxa"/>
                  <w:vMerge w:val="continue"/>
                  <w:vAlign w:val="center"/>
                </w:tcPr>
                <w:p w14:paraId="3E1FC256">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94" w:type="dxa"/>
                  <w:vMerge w:val="continue"/>
                  <w:vAlign w:val="center"/>
                </w:tcPr>
                <w:p w14:paraId="7E02C112">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28" w:type="dxa"/>
                  <w:vMerge w:val="continue"/>
                  <w:vAlign w:val="center"/>
                </w:tcPr>
                <w:p w14:paraId="22C14101">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600" w:type="dxa"/>
                  <w:vMerge w:val="continue"/>
                  <w:vAlign w:val="center"/>
                </w:tcPr>
                <w:p w14:paraId="66302A3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1607" w:type="dxa"/>
                  <w:vAlign w:val="center"/>
                </w:tcPr>
                <w:p w14:paraId="310459D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距北厂界6</w:t>
                  </w:r>
                </w:p>
              </w:tc>
              <w:tc>
                <w:tcPr>
                  <w:tcW w:w="857" w:type="dxa"/>
                  <w:vAlign w:val="center"/>
                </w:tcPr>
                <w:p w14:paraId="22EA7295">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79.7</w:t>
                  </w:r>
                </w:p>
              </w:tc>
              <w:tc>
                <w:tcPr>
                  <w:tcW w:w="707" w:type="dxa"/>
                  <w:vMerge w:val="continue"/>
                  <w:vAlign w:val="center"/>
                </w:tcPr>
                <w:p w14:paraId="35CB3BB9">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793" w:type="dxa"/>
                  <w:vMerge w:val="continue"/>
                  <w:vAlign w:val="center"/>
                </w:tcPr>
                <w:p w14:paraId="0552E664">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rPr>
                  </w:pPr>
                </w:p>
              </w:tc>
              <w:tc>
                <w:tcPr>
                  <w:tcW w:w="579" w:type="dxa"/>
                  <w:vAlign w:val="center"/>
                </w:tcPr>
                <w:p w14:paraId="00124AD9">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728" w:type="dxa"/>
                  <w:vAlign w:val="center"/>
                </w:tcPr>
                <w:p w14:paraId="01D791AE">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53.7</w:t>
                  </w:r>
                </w:p>
              </w:tc>
              <w:tc>
                <w:tcPr>
                  <w:tcW w:w="579" w:type="dxa"/>
                  <w:vAlign w:val="center"/>
                </w:tcPr>
                <w:p w14:paraId="77A87B26">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北</w:t>
                  </w:r>
                </w:p>
              </w:tc>
              <w:tc>
                <w:tcPr>
                  <w:tcW w:w="566" w:type="dxa"/>
                  <w:vAlign w:val="center"/>
                </w:tcPr>
                <w:p w14:paraId="5743784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1</w:t>
                  </w:r>
                </w:p>
              </w:tc>
            </w:tr>
            <w:tr w14:paraId="4321A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3002" w:type="dxa"/>
                  <w:gridSpan w:val="16"/>
                  <w:vAlign w:val="center"/>
                </w:tcPr>
                <w:p w14:paraId="64D0484D">
                  <w:pPr>
                    <w:keepNext w:val="0"/>
                    <w:keepLines w:val="0"/>
                    <w:pageBreakBefore w:val="0"/>
                    <w:widowControl w:val="0"/>
                    <w:kinsoku/>
                    <w:wordWrap/>
                    <w:overflowPunct/>
                    <w:topLinePunct w:val="0"/>
                    <w:autoSpaceDE/>
                    <w:autoSpaceDN/>
                    <w:bidi w:val="0"/>
                    <w:adjustRightInd/>
                    <w:snapToGrid/>
                    <w:spacing w:line="240" w:lineRule="auto"/>
                    <w:ind w:firstLine="0"/>
                    <w:jc w:val="both"/>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highlight w:val="none"/>
                      <w:u w:val="single"/>
                      <w:lang w:val="en-US" w:eastAsia="zh-CN"/>
                    </w:rPr>
                    <w:t>注：以厂界西和厂界南交角为原点坐标，西厂界沿线为Y轴，向北方向为正方向；南厂界沿线为X轴，向东方向为正方向；垂直地面为Z轴，远离地心方向为正方向。</w:t>
                  </w:r>
                </w:p>
              </w:tc>
            </w:tr>
          </w:tbl>
          <w:p w14:paraId="0456316A">
            <w:pPr>
              <w:pStyle w:val="7"/>
              <w:rPr>
                <w:rFonts w:hint="default" w:ascii="Times New Roman" w:hAnsi="Times New Roman" w:eastAsia="宋体" w:cs="Times New Roman"/>
                <w:color w:val="auto"/>
                <w:lang w:val="en-US" w:eastAsia="zh-CN"/>
              </w:rPr>
            </w:pPr>
          </w:p>
        </w:tc>
      </w:tr>
    </w:tbl>
    <w:p w14:paraId="3AA400E7">
      <w:pPr>
        <w:rPr>
          <w:rFonts w:hint="default" w:ascii="Times New Roman" w:hAnsi="Times New Roman" w:eastAsia="宋体" w:cs="Times New Roman"/>
          <w:color w:val="auto"/>
        </w:rPr>
        <w:sectPr>
          <w:pgSz w:w="16840" w:h="11907" w:orient="landscape"/>
          <w:pgMar w:top="1531" w:right="1701" w:bottom="1531" w:left="2127" w:header="851" w:footer="851" w:gutter="0"/>
          <w:pgNumType w:fmt="decimal"/>
          <w:cols w:space="720" w:num="1"/>
          <w:docGrid w:linePitch="312" w:charSpace="0"/>
        </w:sectPr>
      </w:pPr>
    </w:p>
    <w:tbl>
      <w:tblPr>
        <w:tblStyle w:val="17"/>
        <w:tblW w:w="892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75"/>
      </w:tblGrid>
      <w:tr w14:paraId="151BA6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10" w:hRule="atLeast"/>
          <w:jc w:val="center"/>
        </w:trPr>
        <w:tc>
          <w:tcPr>
            <w:tcW w:w="746" w:type="dxa"/>
            <w:tcMar>
              <w:left w:w="28" w:type="dxa"/>
              <w:right w:w="28" w:type="dxa"/>
            </w:tcMar>
            <w:vAlign w:val="center"/>
          </w:tcPr>
          <w:p w14:paraId="04032511">
            <w:pPr>
              <w:keepNext w:val="0"/>
              <w:keepLines w:val="0"/>
              <w:pageBreakBefore w:val="0"/>
              <w:widowControl w:val="0"/>
              <w:kinsoku/>
              <w:wordWrap/>
              <w:overflowPunct/>
              <w:topLinePunct w:val="0"/>
              <w:autoSpaceDE/>
              <w:autoSpaceDN/>
              <w:bidi w:val="0"/>
              <w:adjustRightInd w:val="0"/>
              <w:snapToGrid w:val="0"/>
              <w:spacing w:line="400" w:lineRule="exact"/>
              <w:ind w:leftChars="0" w:firstLine="420" w:firstLineChars="200"/>
              <w:textAlignment w:val="auto"/>
              <w:rPr>
                <w:rFonts w:hint="default" w:ascii="Times New Roman" w:hAnsi="Times New Roman" w:eastAsia="宋体" w:cs="Times New Roman"/>
                <w:color w:val="auto"/>
              </w:rPr>
            </w:pPr>
          </w:p>
        </w:tc>
        <w:tc>
          <w:tcPr>
            <w:tcW w:w="8175" w:type="dxa"/>
            <w:vAlign w:val="center"/>
          </w:tcPr>
          <w:p w14:paraId="29F5980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color w:val="auto"/>
                <w:sz w:val="24"/>
                <w:highlight w:val="none"/>
                <w:u w:val="none" w:color="auto"/>
                <w:lang w:val="en-US" w:eastAsia="zh-CN"/>
              </w:rPr>
              <w:t>本次评价根据《环境影响技术导则 声环境》（HJ2.4-2021）进行计算，计算公式如下。</w:t>
            </w:r>
          </w:p>
          <w:p w14:paraId="13DE4B1C">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①室内声传播衰减计算</w:t>
            </w:r>
          </w:p>
          <w:p w14:paraId="625C09AC">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声源位于室内，室内声源可采用等效室外声源声功率级法进行计算。设靠近开口处（或窗户）室内、室外某倍频带的声压级分别为Lp1和Lp2。若声源所在室内声场为近似扩散声场，则室外的倍频带声压级可按下式B.1近似求出：</w:t>
            </w:r>
          </w:p>
          <w:p w14:paraId="3DD9B8E7">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jc w:val="center"/>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Lp2=Lp1-(TL+6)     ( B.1)</w:t>
            </w:r>
          </w:p>
          <w:p w14:paraId="52EF5552">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式中：TL ——隔墙（或窗户）倍频带的隔声量，dB。</w:t>
            </w:r>
          </w:p>
          <w:p w14:paraId="7A6BD55D">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也可按下式B.2计算某一室内声源靠近围护结构处产生的倍频带声压级或A声级：</w:t>
            </w:r>
          </w:p>
          <w:p w14:paraId="173BF8F3">
            <w:pPr>
              <w:keepNext w:val="0"/>
              <w:keepLines w:val="0"/>
              <w:pageBreakBefore w:val="0"/>
              <w:widowControl w:val="0"/>
              <w:kinsoku/>
              <w:wordWrap/>
              <w:overflowPunct/>
              <w:topLinePunct w:val="0"/>
              <w:autoSpaceDE/>
              <w:autoSpaceDN/>
              <w:bidi w:val="0"/>
              <w:adjustRightInd w:val="0"/>
              <w:snapToGrid w:val="0"/>
              <w:spacing w:line="240" w:lineRule="auto"/>
              <w:ind w:leftChars="0" w:firstLine="420" w:firstLineChars="200"/>
              <w:jc w:val="center"/>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color w:val="auto"/>
                <w:position w:val="-28"/>
                <w:highlight w:val="none"/>
                <w:u w:val="none" w:color="auto"/>
                <w:lang w:eastAsia="zh-CN"/>
              </w:rPr>
              <w:object>
                <v:shape id="_x0000_i1025" o:spt="75" type="#_x0000_t75" style="height:34pt;width:132.95pt;" o:ole="t" filled="f" stroked="f" coordsize="21600,21600">
                  <v:path/>
                  <v:fill on="f" focussize="0,0"/>
                  <v:stroke on="f"/>
                  <v:imagedata r:id="rId16" embosscolor="#FFFFFF" o:title=""/>
                  <o:lock v:ext="edit" aspectratio="t"/>
                  <w10:wrap type="none"/>
                  <w10:anchorlock/>
                </v:shape>
                <o:OLEObject Type="Embed" ProgID="Equation.KSEE3" ShapeID="_x0000_i1025" DrawAspect="Content" ObjectID="_1468075725" r:id="rId15">
                  <o:LockedField>false</o:LockedField>
                </o:OLEObject>
              </w:object>
            </w:r>
            <w:r>
              <w:rPr>
                <w:rFonts w:hint="default" w:ascii="Times New Roman" w:hAnsi="Times New Roman" w:eastAsia="宋体" w:cs="Times New Roman"/>
                <w:b w:val="0"/>
                <w:bCs w:val="0"/>
                <w:color w:val="auto"/>
                <w:sz w:val="24"/>
                <w:szCs w:val="24"/>
                <w:lang w:val="en-US" w:eastAsia="zh-CN"/>
              </w:rPr>
              <w:t xml:space="preserve">    (B.2)</w:t>
            </w:r>
          </w:p>
          <w:p w14:paraId="05972B87">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式中：Q ——指向性因数，通常对无指向性声源，当声源放在房间中心时，Q=1，当放在一面墙的中心时，Q=2；当放在两面墙夹角处时，Q=4，当放在三面墙夹角处时，Q=8；</w:t>
            </w:r>
          </w:p>
          <w:p w14:paraId="4E0669CB">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R——房间常数，R=Sα/(1-α)，S为房间内表面面积，m2，α为平均吸声系数；</w:t>
            </w:r>
          </w:p>
          <w:p w14:paraId="67CAA392">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r—— 声源到靠近围护结构某点处的距离，m。</w:t>
            </w:r>
          </w:p>
          <w:p w14:paraId="52C377CE">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然后按式（B.3）计算出所有室内声源在围护结构处产生的i倍频带叠加声压级：</w:t>
            </w:r>
          </w:p>
          <w:p w14:paraId="71F9CE6C">
            <w:pPr>
              <w:keepNext w:val="0"/>
              <w:keepLines w:val="0"/>
              <w:pageBreakBefore w:val="0"/>
              <w:widowControl w:val="0"/>
              <w:kinsoku/>
              <w:wordWrap/>
              <w:overflowPunct/>
              <w:topLinePunct w:val="0"/>
              <w:autoSpaceDE/>
              <w:autoSpaceDN/>
              <w:bidi w:val="0"/>
              <w:adjustRightInd w:val="0"/>
              <w:snapToGrid w:val="0"/>
              <w:spacing w:line="240" w:lineRule="auto"/>
              <w:ind w:leftChars="0" w:firstLine="420" w:firstLineChars="200"/>
              <w:jc w:val="center"/>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color w:val="auto"/>
                <w:position w:val="-32"/>
                <w:highlight w:val="none"/>
                <w:u w:val="none" w:color="auto"/>
                <w:lang w:val="en-US" w:eastAsia="zh-CN"/>
              </w:rPr>
              <w:object>
                <v:shape id="_x0000_i1026" o:spt="75" type="#_x0000_t75" style="height:38pt;width:127pt;" o:ole="t" filled="f" stroked="f" coordsize="21600,21600">
                  <v:path/>
                  <v:fill on="f" focussize="0,0"/>
                  <v:stroke on="f"/>
                  <v:imagedata r:id="rId18" embosscolor="#FFFFFF" o:title=""/>
                  <o:lock v:ext="edit" aspectratio="t"/>
                  <w10:wrap type="none"/>
                  <w10:anchorlock/>
                </v:shape>
                <o:OLEObject Type="Embed" ProgID="Equation.KSEE3" ShapeID="_x0000_i1026" DrawAspect="Content" ObjectID="_1468075726" r:id="rId17">
                  <o:LockedField>false</o:LockedField>
                </o:OLEObject>
              </w:object>
            </w:r>
            <w:r>
              <w:rPr>
                <w:rFonts w:hint="default" w:ascii="Times New Roman" w:hAnsi="Times New Roman" w:eastAsia="宋体" w:cs="Times New Roman"/>
                <w:b w:val="0"/>
                <w:bCs w:val="0"/>
                <w:color w:val="auto"/>
                <w:sz w:val="24"/>
                <w:szCs w:val="24"/>
                <w:lang w:val="en-US" w:eastAsia="zh-CN"/>
              </w:rPr>
              <w:t xml:space="preserve">      （B.3）</w:t>
            </w:r>
          </w:p>
          <w:p w14:paraId="3B090FC6">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式中：Lp1i (T )——靠近围护结构处室内N个声源i倍频带的叠加声压级dB；</w:t>
            </w:r>
          </w:p>
          <w:p w14:paraId="52B6B629">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Lp1ij——室内j声源i倍频带的声压级，dB；</w:t>
            </w:r>
          </w:p>
          <w:p w14:paraId="1F659236">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N——室内声源总数。</w:t>
            </w:r>
          </w:p>
          <w:p w14:paraId="26E5A6B9">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在室内近似为扩散声场时，按式（B.4）计算出靠近室外围护结构处的声压级：</w:t>
            </w:r>
          </w:p>
          <w:p w14:paraId="52AEDCA7">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jc w:val="center"/>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Lp2i (T )=Lp1i (T) -(TLi+6)       （B.4）</w:t>
            </w:r>
          </w:p>
          <w:p w14:paraId="56EA35C2">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式中：Lp2i (T)——靠近围护结构处室外N个声源i倍频带的叠加声压级，dB；</w:t>
            </w:r>
          </w:p>
          <w:p w14:paraId="4FE72E63">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Lpli (T)——靠近围护结构处室内N个声源i倍频带的叠加声压级，dB；</w:t>
            </w:r>
          </w:p>
          <w:p w14:paraId="51882AA8">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TLi——围护结构i倍频带的隔声量，dB。</w:t>
            </w:r>
          </w:p>
          <w:p w14:paraId="7F76A85E">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然后按式（B.5）将室外声源的声压级和透过面积换算成等效的室外声源，计算出中心位置位于透声面积（S）处的等效声源的倍频带声功率级。</w:t>
            </w:r>
          </w:p>
          <w:p w14:paraId="766B566D">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jc w:val="center"/>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Lw=Lp2 (T )+10lgs    （B.5）</w:t>
            </w:r>
          </w:p>
          <w:p w14:paraId="19F3DF89">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然后按室外声源预测方法计算预测点处的A声级。</w:t>
            </w:r>
          </w:p>
          <w:p w14:paraId="6FEB4DB4">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②预测结果</w:t>
            </w:r>
          </w:p>
          <w:p w14:paraId="2708E500">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噪声源对各预测点的影响预测结果见表4-9。</w:t>
            </w:r>
          </w:p>
          <w:p w14:paraId="1543DBC6">
            <w:pPr>
              <w:keepNext w:val="0"/>
              <w:keepLines w:val="0"/>
              <w:pageBreakBefore w:val="0"/>
              <w:widowControl w:val="0"/>
              <w:shd w:val="clear" w:color="auto" w:fill="auto"/>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表4-9 噪声预测结果一览表（单位：dB（A））</w:t>
            </w:r>
          </w:p>
          <w:tbl>
            <w:tblPr>
              <w:tblStyle w:val="1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5"/>
              <w:gridCol w:w="1987"/>
              <w:gridCol w:w="1987"/>
              <w:gridCol w:w="1987"/>
            </w:tblGrid>
            <w:tr w14:paraId="0A8FA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Align w:val="center"/>
                </w:tcPr>
                <w:p w14:paraId="149726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位置</w:t>
                  </w:r>
                </w:p>
              </w:tc>
              <w:tc>
                <w:tcPr>
                  <w:tcW w:w="1250" w:type="pct"/>
                  <w:vAlign w:val="center"/>
                </w:tcPr>
                <w:p w14:paraId="5716C9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贡献值</w:t>
                  </w:r>
                </w:p>
              </w:tc>
              <w:tc>
                <w:tcPr>
                  <w:tcW w:w="1250" w:type="pct"/>
                  <w:vAlign w:val="center"/>
                </w:tcPr>
                <w:p w14:paraId="7EC3A9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标准值</w:t>
                  </w:r>
                </w:p>
              </w:tc>
              <w:tc>
                <w:tcPr>
                  <w:tcW w:w="1250" w:type="pct"/>
                  <w:vAlign w:val="center"/>
                </w:tcPr>
                <w:p w14:paraId="79B707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达标状况</w:t>
                  </w:r>
                </w:p>
              </w:tc>
            </w:tr>
            <w:tr w14:paraId="11B37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restart"/>
                  <w:vAlign w:val="center"/>
                </w:tcPr>
                <w:p w14:paraId="59F8F0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东厂界</w:t>
                  </w:r>
                </w:p>
              </w:tc>
              <w:tc>
                <w:tcPr>
                  <w:tcW w:w="1250" w:type="pct"/>
                  <w:vMerge w:val="restart"/>
                  <w:vAlign w:val="center"/>
                </w:tcPr>
                <w:p w14:paraId="035321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51.9</w:t>
                  </w:r>
                </w:p>
              </w:tc>
              <w:tc>
                <w:tcPr>
                  <w:tcW w:w="1250" w:type="pct"/>
                  <w:vAlign w:val="center"/>
                </w:tcPr>
                <w:p w14:paraId="420D28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65</w:t>
                  </w:r>
                </w:p>
              </w:tc>
              <w:tc>
                <w:tcPr>
                  <w:tcW w:w="1250" w:type="pct"/>
                  <w:vMerge w:val="restart"/>
                  <w:vAlign w:val="center"/>
                </w:tcPr>
                <w:p w14:paraId="64B86B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达标</w:t>
                  </w:r>
                </w:p>
              </w:tc>
            </w:tr>
            <w:tr w14:paraId="6F9E7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continue"/>
                  <w:vAlign w:val="center"/>
                </w:tcPr>
                <w:p w14:paraId="30403E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1250" w:type="pct"/>
                  <w:vMerge w:val="continue"/>
                  <w:vAlign w:val="center"/>
                </w:tcPr>
                <w:p w14:paraId="2BBC4E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1250" w:type="pct"/>
                  <w:vAlign w:val="center"/>
                </w:tcPr>
                <w:p w14:paraId="2DC8C5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55</w:t>
                  </w:r>
                </w:p>
              </w:tc>
              <w:tc>
                <w:tcPr>
                  <w:tcW w:w="1250" w:type="pct"/>
                  <w:vMerge w:val="continue"/>
                  <w:vAlign w:val="center"/>
                </w:tcPr>
                <w:p w14:paraId="2591F11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r>
            <w:tr w14:paraId="539C6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restart"/>
                  <w:vAlign w:val="center"/>
                </w:tcPr>
                <w:p w14:paraId="0D22FD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南厂界</w:t>
                  </w:r>
                </w:p>
              </w:tc>
              <w:tc>
                <w:tcPr>
                  <w:tcW w:w="1250" w:type="pct"/>
                  <w:vMerge w:val="restart"/>
                  <w:vAlign w:val="center"/>
                </w:tcPr>
                <w:p w14:paraId="2EE3797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51.3</w:t>
                  </w:r>
                </w:p>
              </w:tc>
              <w:tc>
                <w:tcPr>
                  <w:tcW w:w="1250" w:type="pct"/>
                  <w:vAlign w:val="center"/>
                </w:tcPr>
                <w:p w14:paraId="116985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65</w:t>
                  </w:r>
                </w:p>
              </w:tc>
              <w:tc>
                <w:tcPr>
                  <w:tcW w:w="1250" w:type="pct"/>
                  <w:vMerge w:val="restart"/>
                  <w:vAlign w:val="center"/>
                </w:tcPr>
                <w:p w14:paraId="43D7EB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b w:val="0"/>
                      <w:bCs w:val="0"/>
                      <w:color w:val="auto"/>
                      <w:vertAlign w:val="baseline"/>
                      <w:lang w:val="en-US" w:eastAsia="zh-CN"/>
                    </w:rPr>
                    <w:t>达标</w:t>
                  </w:r>
                </w:p>
              </w:tc>
            </w:tr>
            <w:tr w14:paraId="60F68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continue"/>
                  <w:vAlign w:val="center"/>
                </w:tcPr>
                <w:p w14:paraId="763AC6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1250" w:type="pct"/>
                  <w:vMerge w:val="continue"/>
                  <w:vAlign w:val="center"/>
                </w:tcPr>
                <w:p w14:paraId="6C6A59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1250" w:type="pct"/>
                  <w:vAlign w:val="center"/>
                </w:tcPr>
                <w:p w14:paraId="0E41A2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55</w:t>
                  </w:r>
                </w:p>
              </w:tc>
              <w:tc>
                <w:tcPr>
                  <w:tcW w:w="1250" w:type="pct"/>
                  <w:vMerge w:val="continue"/>
                  <w:vAlign w:val="center"/>
                </w:tcPr>
                <w:p w14:paraId="2A8923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r>
            <w:tr w14:paraId="0EF15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restart"/>
                  <w:vAlign w:val="center"/>
                </w:tcPr>
                <w:p w14:paraId="1BB084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西厂界</w:t>
                  </w:r>
                </w:p>
              </w:tc>
              <w:tc>
                <w:tcPr>
                  <w:tcW w:w="1250" w:type="pct"/>
                  <w:vMerge w:val="restart"/>
                  <w:vAlign w:val="center"/>
                </w:tcPr>
                <w:p w14:paraId="18B313A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51.2</w:t>
                  </w:r>
                </w:p>
              </w:tc>
              <w:tc>
                <w:tcPr>
                  <w:tcW w:w="1250" w:type="pct"/>
                  <w:vAlign w:val="center"/>
                </w:tcPr>
                <w:p w14:paraId="09E3B0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65</w:t>
                  </w:r>
                </w:p>
              </w:tc>
              <w:tc>
                <w:tcPr>
                  <w:tcW w:w="1250" w:type="pct"/>
                  <w:vMerge w:val="restart"/>
                  <w:vAlign w:val="center"/>
                </w:tcPr>
                <w:p w14:paraId="5786C5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b w:val="0"/>
                      <w:bCs w:val="0"/>
                      <w:color w:val="auto"/>
                      <w:vertAlign w:val="baseline"/>
                      <w:lang w:val="en-US" w:eastAsia="zh-CN"/>
                    </w:rPr>
                    <w:t>达标</w:t>
                  </w:r>
                </w:p>
              </w:tc>
            </w:tr>
            <w:tr w14:paraId="2C188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continue"/>
                  <w:vAlign w:val="center"/>
                </w:tcPr>
                <w:p w14:paraId="4029A2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1250" w:type="pct"/>
                  <w:vMerge w:val="continue"/>
                  <w:vAlign w:val="center"/>
                </w:tcPr>
                <w:p w14:paraId="7A2859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1250" w:type="pct"/>
                  <w:vAlign w:val="center"/>
                </w:tcPr>
                <w:p w14:paraId="7481FE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55</w:t>
                  </w:r>
                </w:p>
              </w:tc>
              <w:tc>
                <w:tcPr>
                  <w:tcW w:w="1250" w:type="pct"/>
                  <w:vMerge w:val="continue"/>
                  <w:vAlign w:val="center"/>
                </w:tcPr>
                <w:p w14:paraId="2E86C5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r>
            <w:tr w14:paraId="54672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restart"/>
                  <w:vAlign w:val="center"/>
                </w:tcPr>
                <w:p w14:paraId="73B486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北厂界</w:t>
                  </w:r>
                </w:p>
              </w:tc>
              <w:tc>
                <w:tcPr>
                  <w:tcW w:w="1250" w:type="pct"/>
                  <w:vMerge w:val="restart"/>
                  <w:vAlign w:val="center"/>
                </w:tcPr>
                <w:p w14:paraId="55B64A5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54.8</w:t>
                  </w:r>
                </w:p>
              </w:tc>
              <w:tc>
                <w:tcPr>
                  <w:tcW w:w="1250" w:type="pct"/>
                  <w:vAlign w:val="center"/>
                </w:tcPr>
                <w:p w14:paraId="52A639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65</w:t>
                  </w:r>
                </w:p>
              </w:tc>
              <w:tc>
                <w:tcPr>
                  <w:tcW w:w="1250" w:type="pct"/>
                  <w:vMerge w:val="restart"/>
                  <w:vAlign w:val="center"/>
                </w:tcPr>
                <w:p w14:paraId="4DA4A2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达标</w:t>
                  </w:r>
                </w:p>
              </w:tc>
            </w:tr>
            <w:tr w14:paraId="767DC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continue"/>
                  <w:vAlign w:val="center"/>
                </w:tcPr>
                <w:p w14:paraId="245ABC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1250" w:type="pct"/>
                  <w:vMerge w:val="continue"/>
                  <w:vAlign w:val="center"/>
                </w:tcPr>
                <w:p w14:paraId="5F1758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1250" w:type="pct"/>
                  <w:vAlign w:val="center"/>
                </w:tcPr>
                <w:p w14:paraId="187FCD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55</w:t>
                  </w:r>
                </w:p>
              </w:tc>
              <w:tc>
                <w:tcPr>
                  <w:tcW w:w="1250" w:type="pct"/>
                  <w:vMerge w:val="continue"/>
                  <w:vAlign w:val="center"/>
                </w:tcPr>
                <w:p w14:paraId="5B609B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r>
          </w:tbl>
          <w:p w14:paraId="51A438F6">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预测结果表明，项目设备在通过采取基础减震、厂房隔声等措施后，项目厂界噪声预测值可达到《工业企业厂界环境噪声排放标准》（GB12348-2008）中的3类（昼间≤65dB（A））。因此，本项目的建设对周围声环境以及声环境敏感点影响不明显。本工程的噪声治理措施是可行的。</w:t>
            </w:r>
          </w:p>
          <w:p w14:paraId="5817E56B">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为确保项目营运期噪声不对周边环境造成影响，本次环评要求建设单位：</w:t>
            </w:r>
          </w:p>
          <w:p w14:paraId="51E1E8DA">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A.尽量选用低噪声设备，机械设备均安装减震坐垫，采取隔声罩、消声器等措施；</w:t>
            </w:r>
          </w:p>
          <w:p w14:paraId="718FDE9D">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B.目前平面布置加工区设置于厂区中央，离噪声敏感点较远，车间密闭，加工区的噪声影响限制在场区范围内，降低噪声对外界的影响，确保厂界噪声符合标准要求；</w:t>
            </w:r>
          </w:p>
          <w:p w14:paraId="684B73E0">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C.加强管理，在厂区与居民区路段行驶时禁止鸣喇叭，并限速行驶。本项目原料及产品的运输车辆应避开夜间行驶，以免对沿途居民产生影响；</w:t>
            </w:r>
          </w:p>
          <w:p w14:paraId="630C5D1D">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D.建立设备定期维护，保养的管理制度，以防止设备故障形成的非正常生产噪声，同时确保环保措施发挥最佳有效的功能；加强职工环保意识教育，提倡文明生产，防止人为噪声；强化行车管理制度，设置降噪标准，严禁鸣号，进入厂区低速行驶，最大限度减少流动噪声源。</w:t>
            </w:r>
          </w:p>
          <w:p w14:paraId="2372D950">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（3）监测频次</w:t>
            </w:r>
          </w:p>
          <w:p w14:paraId="1C9E289B">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根据《排污单位自行监测技术指南 总则》（HJ 819-2017），本项目噪声监测要求见表4-9。</w:t>
            </w:r>
          </w:p>
          <w:p w14:paraId="0F94C78E">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表4-10 本项目噪声环境监测方案</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5"/>
              <w:gridCol w:w="1241"/>
              <w:gridCol w:w="1227"/>
              <w:gridCol w:w="1132"/>
              <w:gridCol w:w="3474"/>
            </w:tblGrid>
            <w:tr w14:paraId="1C85E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75" w:type="dxa"/>
                  <w:vAlign w:val="center"/>
                </w:tcPr>
                <w:p w14:paraId="0B082D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类别</w:t>
                  </w:r>
                </w:p>
              </w:tc>
              <w:tc>
                <w:tcPr>
                  <w:tcW w:w="1241" w:type="dxa"/>
                  <w:vAlign w:val="center"/>
                </w:tcPr>
                <w:p w14:paraId="64DB3B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监测点位</w:t>
                  </w:r>
                </w:p>
              </w:tc>
              <w:tc>
                <w:tcPr>
                  <w:tcW w:w="1227" w:type="dxa"/>
                  <w:vAlign w:val="center"/>
                </w:tcPr>
                <w:p w14:paraId="3482DF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监测因子</w:t>
                  </w:r>
                </w:p>
              </w:tc>
              <w:tc>
                <w:tcPr>
                  <w:tcW w:w="1132" w:type="dxa"/>
                  <w:vAlign w:val="center"/>
                </w:tcPr>
                <w:p w14:paraId="584BC7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监测频次</w:t>
                  </w:r>
                </w:p>
              </w:tc>
              <w:tc>
                <w:tcPr>
                  <w:tcW w:w="3474" w:type="dxa"/>
                  <w:vAlign w:val="center"/>
                </w:tcPr>
                <w:p w14:paraId="64F431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执行标准</w:t>
                  </w:r>
                </w:p>
              </w:tc>
            </w:tr>
            <w:tr w14:paraId="5A017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75" w:type="dxa"/>
                  <w:vAlign w:val="center"/>
                </w:tcPr>
                <w:p w14:paraId="3D2BE7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噪声</w:t>
                  </w:r>
                </w:p>
              </w:tc>
              <w:tc>
                <w:tcPr>
                  <w:tcW w:w="1241" w:type="dxa"/>
                  <w:vAlign w:val="center"/>
                </w:tcPr>
                <w:p w14:paraId="2DEC4A2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厂界外1m</w:t>
                  </w:r>
                </w:p>
              </w:tc>
              <w:tc>
                <w:tcPr>
                  <w:tcW w:w="1227" w:type="dxa"/>
                  <w:vAlign w:val="center"/>
                </w:tcPr>
                <w:p w14:paraId="725A5D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等效连续A声级</w:t>
                  </w:r>
                </w:p>
              </w:tc>
              <w:tc>
                <w:tcPr>
                  <w:tcW w:w="1132" w:type="dxa"/>
                  <w:vAlign w:val="center"/>
                </w:tcPr>
                <w:p w14:paraId="7A1A19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1次/季度</w:t>
                  </w:r>
                </w:p>
              </w:tc>
              <w:tc>
                <w:tcPr>
                  <w:tcW w:w="3474" w:type="dxa"/>
                  <w:vAlign w:val="center"/>
                </w:tcPr>
                <w:p w14:paraId="250DD5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《工业企业厂界环境噪声排放标准》（GB12348-2008）中）3类标准</w:t>
                  </w:r>
                </w:p>
              </w:tc>
            </w:tr>
          </w:tbl>
          <w:p w14:paraId="64F69FC6">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eastAsia="宋体" w:cs="Times New Roman"/>
                <w:b/>
                <w:bCs/>
                <w:color w:val="auto"/>
                <w:sz w:val="24"/>
                <w:szCs w:val="32"/>
                <w:lang w:val="en-US" w:eastAsia="zh-CN"/>
              </w:rPr>
              <w:t>固体废物</w:t>
            </w:r>
          </w:p>
          <w:p w14:paraId="311C034F">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（1）固体废物产生情况</w:t>
            </w:r>
          </w:p>
          <w:p w14:paraId="4AD276E7">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项目产生的固体废物主要为废包装材料、检验不良品、废胶、职工生活垃圾等。</w:t>
            </w:r>
          </w:p>
          <w:p w14:paraId="72412ED0">
            <w:pPr>
              <w:keepNext w:val="0"/>
              <w:keepLines w:val="0"/>
              <w:pageBreakBefore w:val="0"/>
              <w:widowControl w:val="0"/>
              <w:numPr>
                <w:ilvl w:val="0"/>
                <w:numId w:val="11"/>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一般固废</w:t>
            </w:r>
          </w:p>
          <w:p w14:paraId="3EDA5B25">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u w:val="single"/>
                <w:lang w:val="en-US" w:eastAsia="zh-CN"/>
              </w:rPr>
            </w:pPr>
            <w:r>
              <w:rPr>
                <w:rFonts w:hint="default" w:ascii="Times New Roman" w:hAnsi="Times New Roman" w:eastAsia="宋体" w:cs="Times New Roman"/>
                <w:color w:val="auto"/>
                <w:sz w:val="24"/>
                <w:szCs w:val="32"/>
                <w:lang w:val="en-US" w:eastAsia="zh-CN"/>
              </w:rPr>
              <w:t>原辅材料拆包装、产品包装产生废包装材料，预计产生量5t/a</w:t>
            </w:r>
            <w:r>
              <w:rPr>
                <w:rFonts w:hint="eastAsia" w:cs="Times New Roman"/>
                <w:color w:val="auto"/>
                <w:sz w:val="24"/>
                <w:szCs w:val="32"/>
                <w:lang w:val="en-US" w:eastAsia="zh-CN"/>
              </w:rPr>
              <w:t>，</w:t>
            </w:r>
            <w:r>
              <w:rPr>
                <w:rFonts w:hint="eastAsia" w:cs="Times New Roman"/>
                <w:color w:val="auto"/>
                <w:sz w:val="24"/>
                <w:szCs w:val="32"/>
                <w:u w:val="single"/>
                <w:lang w:val="en-US" w:eastAsia="zh-CN"/>
              </w:rPr>
              <w:t>处理方式为收集后外售</w:t>
            </w:r>
            <w:r>
              <w:rPr>
                <w:rFonts w:hint="default" w:ascii="Times New Roman" w:hAnsi="Times New Roman" w:eastAsia="宋体" w:cs="Times New Roman"/>
                <w:color w:val="auto"/>
                <w:sz w:val="24"/>
                <w:szCs w:val="32"/>
                <w:u w:val="single"/>
                <w:lang w:val="en-US" w:eastAsia="zh-CN"/>
              </w:rPr>
              <w:t>；</w:t>
            </w:r>
          </w:p>
          <w:p w14:paraId="50CA4D66">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锡焊渣：在焊接时，焊料处于熔融状态，其表面的氧化及其他金属元素作用会产生一些残渣，属于一般固废。本项目焊丝和锡膏年使用量14.929t，锡渣产生量以1%计，则锡渣年产量约0.15t。拟收集后交由原厂商回收利用。</w:t>
            </w:r>
          </w:p>
          <w:p w14:paraId="1FDB0E7A">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2）检验不良品</w:t>
            </w:r>
          </w:p>
          <w:p w14:paraId="1D31CF83">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lang w:val="en-US" w:eastAsia="zh-CN"/>
              </w:rPr>
              <w:t>检验过程中会产生不符合要求的产品，</w:t>
            </w:r>
            <w:r>
              <w:rPr>
                <w:rFonts w:hint="default" w:ascii="Times New Roman" w:hAnsi="Times New Roman" w:eastAsia="宋体" w:cs="Times New Roman"/>
                <w:color w:val="auto"/>
                <w:sz w:val="24"/>
                <w:szCs w:val="32"/>
                <w:highlight w:val="none"/>
                <w:lang w:val="en-US" w:eastAsia="zh-CN"/>
              </w:rPr>
              <w:t>产生量约为1.08t/a，其属于一般工业固体废物，不良品送厂家回收利用。</w:t>
            </w:r>
          </w:p>
          <w:p w14:paraId="38F7C936">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3）危险固废</w:t>
            </w:r>
          </w:p>
          <w:p w14:paraId="0B5F77DB">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highlight w:val="none"/>
                <w:lang w:val="en-US" w:eastAsia="zh-CN"/>
              </w:rPr>
              <w:t>废胶、废胶桶：项目废胶和废胶桶产生量约1.7t/a，根据《危险废物管理名录》（2025版），废胶、废胶桶属于危险废物，危废类别为HW49，危</w:t>
            </w:r>
            <w:r>
              <w:rPr>
                <w:rFonts w:hint="default" w:ascii="Times New Roman" w:hAnsi="Times New Roman" w:eastAsia="宋体" w:cs="Times New Roman"/>
                <w:color w:val="auto"/>
                <w:sz w:val="24"/>
                <w:szCs w:val="32"/>
                <w:lang w:val="en-US" w:eastAsia="zh-CN"/>
              </w:rPr>
              <w:t>废代码为900-041-49，由建设单位收集暂存于厂内危废暂存间内，委托有资质单位进行处理；</w:t>
            </w:r>
          </w:p>
          <w:p w14:paraId="7C0F6FA2">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废酒精：项目废酒精产生量约1.016t/a，根据《危险废物管理名录》（2025版），废酒精属于危险废物，危废类别为HW06，危废代码为900-401-06，由建设单位收集暂存于厂内危废暂存间内，委托有资质单位进行处理；</w:t>
            </w:r>
          </w:p>
          <w:p w14:paraId="0A97F545">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highlight w:val="red"/>
                <w:lang w:val="en-US" w:eastAsia="zh-CN"/>
              </w:rPr>
            </w:pPr>
            <w:r>
              <w:rPr>
                <w:rFonts w:hint="default" w:ascii="Times New Roman" w:hAnsi="Times New Roman" w:eastAsia="宋体" w:cs="Times New Roman"/>
                <w:color w:val="auto"/>
                <w:sz w:val="24"/>
                <w:szCs w:val="32"/>
                <w:highlight w:val="none"/>
                <w:lang w:val="en-US" w:eastAsia="zh-CN"/>
              </w:rPr>
              <w:t>废脱漆剂：项目废脱漆剂产生量约0.008t/a，根据《危险废物管理名录》（2025版），废脱漆剂属于危险废物，危废类别为HW06，危</w:t>
            </w:r>
            <w:r>
              <w:rPr>
                <w:rFonts w:hint="default" w:ascii="Times New Roman" w:hAnsi="Times New Roman" w:eastAsia="宋体" w:cs="Times New Roman"/>
                <w:color w:val="auto"/>
                <w:sz w:val="24"/>
                <w:szCs w:val="32"/>
                <w:lang w:val="en-US" w:eastAsia="zh-CN"/>
              </w:rPr>
              <w:t>废代码为900-401-06，由建设单位收集暂存于厂内危废暂存间内，委托有资质单位进行处理；</w:t>
            </w:r>
          </w:p>
          <w:p w14:paraId="7ABF4960">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highlight w:val="red"/>
                <w:lang w:val="en-US" w:eastAsia="zh-CN"/>
              </w:rPr>
            </w:pPr>
            <w:r>
              <w:rPr>
                <w:rFonts w:hint="default" w:ascii="Times New Roman" w:hAnsi="Times New Roman" w:eastAsia="宋体" w:cs="Times New Roman"/>
                <w:color w:val="auto"/>
                <w:sz w:val="24"/>
                <w:szCs w:val="32"/>
                <w:highlight w:val="none"/>
                <w:lang w:val="en-US" w:eastAsia="zh-CN"/>
              </w:rPr>
              <w:t>废清洗剂：项目废清洗剂产生量约0.32t/a，根据《危险废物管理名录》（2025版），废清洗剂属于危险废物，危废类别为HW35，危</w:t>
            </w:r>
            <w:r>
              <w:rPr>
                <w:rFonts w:hint="default" w:ascii="Times New Roman" w:hAnsi="Times New Roman" w:eastAsia="宋体" w:cs="Times New Roman"/>
                <w:color w:val="auto"/>
                <w:sz w:val="24"/>
                <w:szCs w:val="32"/>
                <w:lang w:val="en-US" w:eastAsia="zh-CN"/>
              </w:rPr>
              <w:t>废代码为</w:t>
            </w:r>
            <w:r>
              <w:rPr>
                <w:rFonts w:hint="default" w:ascii="Times New Roman" w:hAnsi="Times New Roman" w:eastAsia="宋体" w:cs="Times New Roman"/>
                <w:color w:val="auto"/>
                <w:sz w:val="24"/>
                <w:szCs w:val="32"/>
                <w:u w:val="single"/>
                <w:lang w:val="en-US" w:eastAsia="zh-CN"/>
              </w:rPr>
              <w:t>900-399-35</w:t>
            </w:r>
            <w:r>
              <w:rPr>
                <w:rFonts w:hint="default" w:ascii="Times New Roman" w:hAnsi="Times New Roman" w:eastAsia="宋体" w:cs="Times New Roman"/>
                <w:color w:val="auto"/>
                <w:sz w:val="24"/>
                <w:szCs w:val="32"/>
                <w:lang w:val="en-US" w:eastAsia="zh-CN"/>
              </w:rPr>
              <w:t>，由建设单位收集暂存于厂内危废暂存间内，委托有资质单位进行处理；</w:t>
            </w:r>
          </w:p>
          <w:p w14:paraId="21D6D5D8">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highlight w:val="none"/>
                <w:lang w:val="en-US" w:eastAsia="zh-CN"/>
              </w:rPr>
              <w:t>废活性炭：项目废活性炭产生量约0.8t/a，根据《危险废物管理名录》（2025版），废活性炭属于危险废物，危废类别为HW49，危</w:t>
            </w:r>
            <w:r>
              <w:rPr>
                <w:rFonts w:hint="default" w:ascii="Times New Roman" w:hAnsi="Times New Roman" w:eastAsia="宋体" w:cs="Times New Roman"/>
                <w:color w:val="auto"/>
                <w:sz w:val="24"/>
                <w:szCs w:val="32"/>
                <w:lang w:val="en-US" w:eastAsia="zh-CN"/>
              </w:rPr>
              <w:t>废代码为900-039-49，由建设单位收集暂存于厂内危废暂存间内，委托有资质单位进行处理。</w:t>
            </w:r>
          </w:p>
          <w:p w14:paraId="2D61CE00">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4）生活垃圾</w:t>
            </w:r>
          </w:p>
          <w:p w14:paraId="036626D0">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生活垃圾产生系数按 0.5kg/d·人，项目劳动定员504人，生活垃圾产生量为78.624t/a，采用垃圾桶统一收集后由环卫部门收集处置。</w:t>
            </w:r>
          </w:p>
          <w:p w14:paraId="1E10D231">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（2）项目固体废物处置方案</w:t>
            </w:r>
          </w:p>
          <w:p w14:paraId="5BC6EEAB">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一般工业固体废物收集后外售；危险废物由建设单位收集暂存于厂内危废暂存间内，委托有资质单位进行处理；生活垃圾收集后定期交由环卫部门清运处理。</w:t>
            </w:r>
          </w:p>
          <w:p w14:paraId="15CAD47A">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本项目一般固废、危险废物产生及处置情况见下表。</w:t>
            </w:r>
          </w:p>
          <w:p w14:paraId="1E3CAA39">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表4-11 固体废物产生及处置一览表</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9"/>
              <w:gridCol w:w="913"/>
              <w:gridCol w:w="2130"/>
              <w:gridCol w:w="944"/>
              <w:gridCol w:w="1196"/>
              <w:gridCol w:w="855"/>
              <w:gridCol w:w="932"/>
            </w:tblGrid>
            <w:tr w14:paraId="6F01B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9" w:type="dxa"/>
                  <w:vAlign w:val="center"/>
                </w:tcPr>
                <w:p w14:paraId="0F485C2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u w:val="single"/>
                      <w:vertAlign w:val="baseline"/>
                      <w:lang w:val="en-US" w:eastAsia="zh-CN"/>
                    </w:rPr>
                  </w:pPr>
                  <w:r>
                    <w:rPr>
                      <w:rFonts w:hint="default" w:ascii="Times New Roman" w:hAnsi="Times New Roman" w:eastAsia="宋体" w:cs="Times New Roman"/>
                      <w:b w:val="0"/>
                      <w:bCs w:val="0"/>
                      <w:color w:val="auto"/>
                      <w:highlight w:val="none"/>
                      <w:u w:val="single"/>
                      <w:vertAlign w:val="baseline"/>
                      <w:lang w:val="en-US" w:eastAsia="zh-CN"/>
                    </w:rPr>
                    <w:t>固体废物名称</w:t>
                  </w:r>
                </w:p>
              </w:tc>
              <w:tc>
                <w:tcPr>
                  <w:tcW w:w="913" w:type="dxa"/>
                  <w:vAlign w:val="center"/>
                </w:tcPr>
                <w:p w14:paraId="6D1B697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u w:val="single"/>
                      <w:vertAlign w:val="baseline"/>
                      <w:lang w:val="en-US" w:eastAsia="zh-CN"/>
                    </w:rPr>
                  </w:pPr>
                  <w:r>
                    <w:rPr>
                      <w:rFonts w:hint="default" w:ascii="Times New Roman" w:hAnsi="Times New Roman" w:eastAsia="宋体" w:cs="Times New Roman"/>
                      <w:b w:val="0"/>
                      <w:bCs w:val="0"/>
                      <w:color w:val="auto"/>
                      <w:highlight w:val="none"/>
                      <w:u w:val="single"/>
                      <w:vertAlign w:val="baseline"/>
                      <w:lang w:val="en-US" w:eastAsia="zh-CN"/>
                    </w:rPr>
                    <w:t>属性</w:t>
                  </w:r>
                </w:p>
              </w:tc>
              <w:tc>
                <w:tcPr>
                  <w:tcW w:w="2130" w:type="dxa"/>
                  <w:vAlign w:val="center"/>
                </w:tcPr>
                <w:p w14:paraId="72B890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u w:val="single"/>
                      <w:vertAlign w:val="baseline"/>
                      <w:lang w:val="en-US" w:eastAsia="zh-CN"/>
                    </w:rPr>
                  </w:pPr>
                  <w:r>
                    <w:rPr>
                      <w:rFonts w:hint="default" w:ascii="Times New Roman" w:hAnsi="Times New Roman" w:eastAsia="宋体" w:cs="Times New Roman"/>
                      <w:b w:val="0"/>
                      <w:bCs w:val="0"/>
                      <w:color w:val="auto"/>
                      <w:highlight w:val="none"/>
                      <w:u w:val="single"/>
                      <w:vertAlign w:val="baseline"/>
                      <w:lang w:val="en-US" w:eastAsia="zh-CN"/>
                    </w:rPr>
                    <w:t>危险特性鉴别方法</w:t>
                  </w:r>
                </w:p>
              </w:tc>
              <w:tc>
                <w:tcPr>
                  <w:tcW w:w="944" w:type="dxa"/>
                  <w:vAlign w:val="center"/>
                </w:tcPr>
                <w:p w14:paraId="5EE2AB8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u w:val="single"/>
                      <w:vertAlign w:val="baseline"/>
                      <w:lang w:val="en-US" w:eastAsia="zh-CN"/>
                    </w:rPr>
                  </w:pPr>
                  <w:r>
                    <w:rPr>
                      <w:rFonts w:hint="default" w:ascii="Times New Roman" w:hAnsi="Times New Roman" w:eastAsia="宋体" w:cs="Times New Roman"/>
                      <w:b w:val="0"/>
                      <w:bCs w:val="0"/>
                      <w:color w:val="auto"/>
                      <w:highlight w:val="none"/>
                      <w:u w:val="single"/>
                      <w:vertAlign w:val="baseline"/>
                      <w:lang w:val="en-US" w:eastAsia="zh-CN"/>
                    </w:rPr>
                    <w:t>废物类别</w:t>
                  </w:r>
                </w:p>
              </w:tc>
              <w:tc>
                <w:tcPr>
                  <w:tcW w:w="1196" w:type="dxa"/>
                  <w:vAlign w:val="center"/>
                </w:tcPr>
                <w:p w14:paraId="585097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u w:val="single"/>
                      <w:vertAlign w:val="baseline"/>
                      <w:lang w:val="en-US" w:eastAsia="zh-CN"/>
                    </w:rPr>
                  </w:pPr>
                  <w:r>
                    <w:rPr>
                      <w:rFonts w:hint="default" w:ascii="Times New Roman" w:hAnsi="Times New Roman" w:eastAsia="宋体" w:cs="Times New Roman"/>
                      <w:b w:val="0"/>
                      <w:bCs w:val="0"/>
                      <w:color w:val="auto"/>
                      <w:highlight w:val="none"/>
                      <w:u w:val="single"/>
                      <w:vertAlign w:val="baseline"/>
                      <w:lang w:val="en-US" w:eastAsia="zh-CN"/>
                    </w:rPr>
                    <w:t>废物代码</w:t>
                  </w:r>
                </w:p>
              </w:tc>
              <w:tc>
                <w:tcPr>
                  <w:tcW w:w="855" w:type="dxa"/>
                  <w:vAlign w:val="center"/>
                </w:tcPr>
                <w:p w14:paraId="0E2957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u w:val="single"/>
                      <w:vertAlign w:val="baseline"/>
                      <w:lang w:val="en-US" w:eastAsia="zh-CN"/>
                    </w:rPr>
                  </w:pPr>
                  <w:r>
                    <w:rPr>
                      <w:rFonts w:hint="default" w:ascii="Times New Roman" w:hAnsi="Times New Roman" w:eastAsia="宋体" w:cs="Times New Roman"/>
                      <w:b w:val="0"/>
                      <w:bCs w:val="0"/>
                      <w:color w:val="auto"/>
                      <w:highlight w:val="none"/>
                      <w:u w:val="single"/>
                      <w:vertAlign w:val="baseline"/>
                      <w:lang w:val="en-US" w:eastAsia="zh-CN"/>
                    </w:rPr>
                    <w:t>产生量t/a</w:t>
                  </w:r>
                </w:p>
              </w:tc>
              <w:tc>
                <w:tcPr>
                  <w:tcW w:w="932" w:type="dxa"/>
                  <w:vAlign w:val="center"/>
                </w:tcPr>
                <w:p w14:paraId="101986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u w:val="single"/>
                      <w:vertAlign w:val="baseline"/>
                      <w:lang w:val="en-US" w:eastAsia="zh-CN"/>
                    </w:rPr>
                  </w:pPr>
                  <w:r>
                    <w:rPr>
                      <w:rFonts w:hint="default" w:ascii="Times New Roman" w:hAnsi="Times New Roman" w:eastAsia="宋体" w:cs="Times New Roman"/>
                      <w:b w:val="0"/>
                      <w:bCs w:val="0"/>
                      <w:color w:val="auto"/>
                      <w:highlight w:val="none"/>
                      <w:u w:val="single"/>
                      <w:vertAlign w:val="baseline"/>
                      <w:lang w:val="en-US" w:eastAsia="zh-CN"/>
                    </w:rPr>
                    <w:t>利用处置方式</w:t>
                  </w:r>
                </w:p>
              </w:tc>
            </w:tr>
            <w:tr w14:paraId="41602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9" w:type="dxa"/>
                  <w:vAlign w:val="center"/>
                </w:tcPr>
                <w:p w14:paraId="38E970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u w:val="single"/>
                      <w:vertAlign w:val="baseline"/>
                      <w:lang w:val="en-US" w:eastAsia="zh-CN"/>
                    </w:rPr>
                  </w:pPr>
                  <w:r>
                    <w:rPr>
                      <w:rFonts w:hint="default" w:ascii="Times New Roman" w:hAnsi="Times New Roman" w:eastAsia="宋体" w:cs="Times New Roman"/>
                      <w:b w:val="0"/>
                      <w:bCs w:val="0"/>
                      <w:color w:val="auto"/>
                      <w:highlight w:val="none"/>
                      <w:u w:val="single"/>
                      <w:vertAlign w:val="baseline"/>
                      <w:lang w:val="en-US" w:eastAsia="zh-CN"/>
                    </w:rPr>
                    <w:t>废包装材料</w:t>
                  </w:r>
                </w:p>
              </w:tc>
              <w:tc>
                <w:tcPr>
                  <w:tcW w:w="913" w:type="dxa"/>
                  <w:vAlign w:val="center"/>
                </w:tcPr>
                <w:p w14:paraId="56EE6B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u w:val="single"/>
                      <w:vertAlign w:val="baseline"/>
                      <w:lang w:val="en-US" w:eastAsia="zh-CN"/>
                    </w:rPr>
                  </w:pPr>
                  <w:r>
                    <w:rPr>
                      <w:rFonts w:hint="default" w:ascii="Times New Roman" w:hAnsi="Times New Roman" w:eastAsia="宋体" w:cs="Times New Roman"/>
                      <w:b w:val="0"/>
                      <w:bCs w:val="0"/>
                      <w:color w:val="auto"/>
                      <w:highlight w:val="none"/>
                      <w:u w:val="single"/>
                      <w:vertAlign w:val="baseline"/>
                      <w:lang w:val="en-US" w:eastAsia="zh-CN"/>
                    </w:rPr>
                    <w:t>一般工业固废</w:t>
                  </w:r>
                </w:p>
              </w:tc>
              <w:tc>
                <w:tcPr>
                  <w:tcW w:w="2130" w:type="dxa"/>
                  <w:vAlign w:val="center"/>
                </w:tcPr>
                <w:p w14:paraId="506B9B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u w:val="single"/>
                      <w:vertAlign w:val="baseline"/>
                      <w:lang w:val="en-US" w:eastAsia="zh-CN"/>
                    </w:rPr>
                  </w:pPr>
                  <w:r>
                    <w:rPr>
                      <w:rFonts w:hint="default" w:ascii="Times New Roman" w:hAnsi="Times New Roman" w:eastAsia="宋体" w:cs="Times New Roman"/>
                      <w:b w:val="0"/>
                      <w:bCs w:val="0"/>
                      <w:color w:val="auto"/>
                      <w:highlight w:val="none"/>
                      <w:u w:val="single"/>
                      <w:vertAlign w:val="baseline"/>
                      <w:lang w:val="en-US" w:eastAsia="zh-CN"/>
                    </w:rPr>
                    <w:t>《一般固体废物分类与代码》（GB/T39198-2020）</w:t>
                  </w:r>
                </w:p>
              </w:tc>
              <w:tc>
                <w:tcPr>
                  <w:tcW w:w="944" w:type="dxa"/>
                  <w:vAlign w:val="center"/>
                </w:tcPr>
                <w:p w14:paraId="697D711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u w:val="single"/>
                      <w:vertAlign w:val="baseline"/>
                      <w:lang w:val="en-US" w:eastAsia="zh-CN"/>
                    </w:rPr>
                  </w:pPr>
                  <w:r>
                    <w:rPr>
                      <w:rFonts w:hint="default" w:ascii="Times New Roman" w:hAnsi="Times New Roman" w:eastAsia="宋体" w:cs="Times New Roman"/>
                      <w:b w:val="0"/>
                      <w:bCs w:val="0"/>
                      <w:color w:val="auto"/>
                      <w:highlight w:val="none"/>
                      <w:u w:val="single"/>
                      <w:vertAlign w:val="baseline"/>
                      <w:lang w:val="en-US" w:eastAsia="zh-CN"/>
                    </w:rPr>
                    <w:t>66</w:t>
                  </w:r>
                </w:p>
              </w:tc>
              <w:tc>
                <w:tcPr>
                  <w:tcW w:w="1196" w:type="dxa"/>
                  <w:vAlign w:val="center"/>
                </w:tcPr>
                <w:p w14:paraId="489DE1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u w:val="single"/>
                      <w:vertAlign w:val="baseline"/>
                      <w:lang w:val="en-US" w:eastAsia="zh-CN"/>
                    </w:rPr>
                  </w:pPr>
                  <w:r>
                    <w:rPr>
                      <w:rFonts w:hint="default" w:ascii="Times New Roman" w:hAnsi="Times New Roman" w:eastAsia="宋体" w:cs="Times New Roman"/>
                      <w:b w:val="0"/>
                      <w:bCs w:val="0"/>
                      <w:color w:val="auto"/>
                      <w:highlight w:val="none"/>
                      <w:u w:val="single"/>
                      <w:vertAlign w:val="baseline"/>
                      <w:lang w:val="en-US" w:eastAsia="zh-CN"/>
                    </w:rPr>
                    <w:t>336-999-66</w:t>
                  </w:r>
                </w:p>
              </w:tc>
              <w:tc>
                <w:tcPr>
                  <w:tcW w:w="855" w:type="dxa"/>
                  <w:vAlign w:val="center"/>
                </w:tcPr>
                <w:p w14:paraId="68316D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u w:val="single"/>
                      <w:vertAlign w:val="baseline"/>
                      <w:lang w:val="en-US" w:eastAsia="zh-CN"/>
                    </w:rPr>
                  </w:pPr>
                  <w:r>
                    <w:rPr>
                      <w:rFonts w:hint="default" w:ascii="Times New Roman" w:hAnsi="Times New Roman" w:eastAsia="宋体" w:cs="Times New Roman"/>
                      <w:b w:val="0"/>
                      <w:bCs w:val="0"/>
                      <w:color w:val="auto"/>
                      <w:highlight w:val="none"/>
                      <w:u w:val="single"/>
                      <w:vertAlign w:val="baseline"/>
                      <w:lang w:val="en-US" w:eastAsia="zh-CN"/>
                    </w:rPr>
                    <w:t>5</w:t>
                  </w:r>
                </w:p>
              </w:tc>
              <w:tc>
                <w:tcPr>
                  <w:tcW w:w="932" w:type="dxa"/>
                  <w:vAlign w:val="center"/>
                </w:tcPr>
                <w:p w14:paraId="40DD05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u w:val="single"/>
                      <w:vertAlign w:val="baseline"/>
                      <w:lang w:val="en-US" w:eastAsia="zh-CN"/>
                    </w:rPr>
                  </w:pPr>
                  <w:r>
                    <w:rPr>
                      <w:rFonts w:hint="default" w:ascii="Times New Roman" w:hAnsi="Times New Roman" w:eastAsia="宋体" w:cs="Times New Roman"/>
                      <w:b w:val="0"/>
                      <w:bCs w:val="0"/>
                      <w:color w:val="auto"/>
                      <w:highlight w:val="none"/>
                      <w:u w:val="single"/>
                      <w:vertAlign w:val="baseline"/>
                      <w:lang w:val="en-US" w:eastAsia="zh-CN"/>
                    </w:rPr>
                    <w:t>收集后外售</w:t>
                  </w:r>
                </w:p>
              </w:tc>
            </w:tr>
            <w:tr w14:paraId="526AB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9" w:type="dxa"/>
                  <w:vAlign w:val="center"/>
                </w:tcPr>
                <w:p w14:paraId="6A97285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检验不良品</w:t>
                  </w:r>
                </w:p>
              </w:tc>
              <w:tc>
                <w:tcPr>
                  <w:tcW w:w="913" w:type="dxa"/>
                  <w:vAlign w:val="center"/>
                </w:tcPr>
                <w:p w14:paraId="0CF7CB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一般工业固废</w:t>
                  </w:r>
                </w:p>
              </w:tc>
              <w:tc>
                <w:tcPr>
                  <w:tcW w:w="2130" w:type="dxa"/>
                  <w:vAlign w:val="center"/>
                </w:tcPr>
                <w:p w14:paraId="33416C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《一般固体废物分类与代码》（GB/T39198-2020）</w:t>
                  </w:r>
                </w:p>
              </w:tc>
              <w:tc>
                <w:tcPr>
                  <w:tcW w:w="944" w:type="dxa"/>
                  <w:vAlign w:val="center"/>
                </w:tcPr>
                <w:p w14:paraId="776AFA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yellow"/>
                      <w:u w:val="single"/>
                      <w:vertAlign w:val="baseline"/>
                      <w:lang w:val="en-US" w:eastAsia="zh-CN"/>
                    </w:rPr>
                  </w:pPr>
                  <w:r>
                    <w:rPr>
                      <w:rFonts w:hint="default" w:ascii="Times New Roman" w:hAnsi="Times New Roman" w:eastAsia="宋体" w:cs="Times New Roman"/>
                      <w:b w:val="0"/>
                      <w:bCs w:val="0"/>
                      <w:color w:val="auto"/>
                      <w:highlight w:val="none"/>
                      <w:u w:val="single"/>
                      <w:vertAlign w:val="baseline"/>
                      <w:lang w:val="en-US" w:eastAsia="zh-CN"/>
                    </w:rPr>
                    <w:t>14</w:t>
                  </w:r>
                </w:p>
              </w:tc>
              <w:tc>
                <w:tcPr>
                  <w:tcW w:w="1196" w:type="dxa"/>
                  <w:vAlign w:val="center"/>
                </w:tcPr>
                <w:p w14:paraId="1586A9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380-001-14</w:t>
                  </w:r>
                </w:p>
              </w:tc>
              <w:tc>
                <w:tcPr>
                  <w:tcW w:w="855" w:type="dxa"/>
                  <w:vAlign w:val="center"/>
                </w:tcPr>
                <w:p w14:paraId="24B1BB0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1.08</w:t>
                  </w:r>
                </w:p>
              </w:tc>
              <w:tc>
                <w:tcPr>
                  <w:tcW w:w="932" w:type="dxa"/>
                  <w:vMerge w:val="restart"/>
                  <w:vAlign w:val="center"/>
                </w:tcPr>
                <w:p w14:paraId="4E7B9E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送厂家回收利用</w:t>
                  </w:r>
                </w:p>
              </w:tc>
            </w:tr>
            <w:tr w14:paraId="46513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9" w:type="dxa"/>
                  <w:vAlign w:val="center"/>
                </w:tcPr>
                <w:p w14:paraId="35EED3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锡焊渣</w:t>
                  </w:r>
                </w:p>
              </w:tc>
              <w:tc>
                <w:tcPr>
                  <w:tcW w:w="913" w:type="dxa"/>
                  <w:vAlign w:val="center"/>
                </w:tcPr>
                <w:p w14:paraId="5A6753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一般工业固废</w:t>
                  </w:r>
                </w:p>
              </w:tc>
              <w:tc>
                <w:tcPr>
                  <w:tcW w:w="2130" w:type="dxa"/>
                  <w:vAlign w:val="center"/>
                </w:tcPr>
                <w:p w14:paraId="7AF7F8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highlight w:val="none"/>
                      <w:u w:val="single"/>
                      <w:vertAlign w:val="baseline"/>
                      <w:lang w:val="en-US" w:eastAsia="zh-CN"/>
                    </w:rPr>
                    <w:t>《一般固体废物分类与代码》（GB/T39198-2020）</w:t>
                  </w:r>
                </w:p>
              </w:tc>
              <w:tc>
                <w:tcPr>
                  <w:tcW w:w="944" w:type="dxa"/>
                  <w:vAlign w:val="center"/>
                </w:tcPr>
                <w:p w14:paraId="67F074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u w:val="single"/>
                      <w:vertAlign w:val="baseline"/>
                      <w:lang w:val="en-US" w:eastAsia="zh-CN"/>
                    </w:rPr>
                  </w:pPr>
                  <w:r>
                    <w:rPr>
                      <w:rFonts w:hint="default" w:ascii="Times New Roman" w:hAnsi="Times New Roman" w:eastAsia="宋体" w:cs="Times New Roman"/>
                      <w:b w:val="0"/>
                      <w:bCs w:val="0"/>
                      <w:color w:val="auto"/>
                      <w:highlight w:val="none"/>
                      <w:u w:val="single"/>
                      <w:vertAlign w:val="baseline"/>
                      <w:lang w:val="en-US" w:eastAsia="zh-CN"/>
                    </w:rPr>
                    <w:t>99</w:t>
                  </w:r>
                </w:p>
              </w:tc>
              <w:tc>
                <w:tcPr>
                  <w:tcW w:w="1196" w:type="dxa"/>
                  <w:vAlign w:val="center"/>
                </w:tcPr>
                <w:p w14:paraId="22088C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900-999-99</w:t>
                  </w:r>
                </w:p>
              </w:tc>
              <w:tc>
                <w:tcPr>
                  <w:tcW w:w="855" w:type="dxa"/>
                  <w:vAlign w:val="center"/>
                </w:tcPr>
                <w:p w14:paraId="58DF44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0.15</w:t>
                  </w:r>
                </w:p>
              </w:tc>
              <w:tc>
                <w:tcPr>
                  <w:tcW w:w="932" w:type="dxa"/>
                  <w:vMerge w:val="continue"/>
                  <w:vAlign w:val="center"/>
                </w:tcPr>
                <w:p w14:paraId="64C8A9D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p>
              </w:tc>
            </w:tr>
            <w:tr w14:paraId="1D724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trPr>
              <w:tc>
                <w:tcPr>
                  <w:tcW w:w="979" w:type="dxa"/>
                  <w:vAlign w:val="center"/>
                </w:tcPr>
                <w:p w14:paraId="0BEE5F5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废胶、废桶</w:t>
                  </w:r>
                </w:p>
              </w:tc>
              <w:tc>
                <w:tcPr>
                  <w:tcW w:w="913" w:type="dxa"/>
                  <w:vAlign w:val="center"/>
                </w:tcPr>
                <w:p w14:paraId="2EAF21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危险废物</w:t>
                  </w:r>
                </w:p>
              </w:tc>
              <w:tc>
                <w:tcPr>
                  <w:tcW w:w="2130" w:type="dxa"/>
                  <w:vAlign w:val="center"/>
                </w:tcPr>
                <w:p w14:paraId="755A2DD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《国家危险废物名录》（2025版）</w:t>
                  </w:r>
                </w:p>
              </w:tc>
              <w:tc>
                <w:tcPr>
                  <w:tcW w:w="944" w:type="dxa"/>
                  <w:vAlign w:val="center"/>
                </w:tcPr>
                <w:p w14:paraId="649307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HW49</w:t>
                  </w:r>
                </w:p>
              </w:tc>
              <w:tc>
                <w:tcPr>
                  <w:tcW w:w="1196" w:type="dxa"/>
                  <w:vAlign w:val="center"/>
                </w:tcPr>
                <w:p w14:paraId="1E2ECF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900-041-49</w:t>
                  </w:r>
                </w:p>
              </w:tc>
              <w:tc>
                <w:tcPr>
                  <w:tcW w:w="855" w:type="dxa"/>
                  <w:vAlign w:val="center"/>
                </w:tcPr>
                <w:p w14:paraId="19C2D1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1.7</w:t>
                  </w:r>
                </w:p>
              </w:tc>
              <w:tc>
                <w:tcPr>
                  <w:tcW w:w="932" w:type="dxa"/>
                  <w:vMerge w:val="restart"/>
                  <w:vAlign w:val="center"/>
                </w:tcPr>
                <w:p w14:paraId="1DEB05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危险废物暂存间暂存，由有资质单位收集处置</w:t>
                  </w:r>
                </w:p>
              </w:tc>
            </w:tr>
            <w:tr w14:paraId="4EE4B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trPr>
              <w:tc>
                <w:tcPr>
                  <w:tcW w:w="979" w:type="dxa"/>
                  <w:vAlign w:val="center"/>
                </w:tcPr>
                <w:p w14:paraId="109F5D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废酒精</w:t>
                  </w:r>
                </w:p>
              </w:tc>
              <w:tc>
                <w:tcPr>
                  <w:tcW w:w="913" w:type="dxa"/>
                  <w:vAlign w:val="center"/>
                </w:tcPr>
                <w:p w14:paraId="6A9B33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危险废物</w:t>
                  </w:r>
                </w:p>
              </w:tc>
              <w:tc>
                <w:tcPr>
                  <w:tcW w:w="2130" w:type="dxa"/>
                  <w:vAlign w:val="center"/>
                </w:tcPr>
                <w:p w14:paraId="3007B9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《国家危险废物名录》（2025版）</w:t>
                  </w:r>
                </w:p>
              </w:tc>
              <w:tc>
                <w:tcPr>
                  <w:tcW w:w="944" w:type="dxa"/>
                  <w:vAlign w:val="center"/>
                </w:tcPr>
                <w:p w14:paraId="64B230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HW06</w:t>
                  </w:r>
                </w:p>
              </w:tc>
              <w:tc>
                <w:tcPr>
                  <w:tcW w:w="1196" w:type="dxa"/>
                  <w:vAlign w:val="center"/>
                </w:tcPr>
                <w:p w14:paraId="763C4F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900-402-06</w:t>
                  </w:r>
                </w:p>
              </w:tc>
              <w:tc>
                <w:tcPr>
                  <w:tcW w:w="855" w:type="dxa"/>
                  <w:vAlign w:val="center"/>
                </w:tcPr>
                <w:p w14:paraId="69D637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1.016</w:t>
                  </w:r>
                </w:p>
              </w:tc>
              <w:tc>
                <w:tcPr>
                  <w:tcW w:w="932" w:type="dxa"/>
                  <w:vMerge w:val="continue"/>
                  <w:vAlign w:val="center"/>
                </w:tcPr>
                <w:p w14:paraId="2F125A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p>
              </w:tc>
            </w:tr>
            <w:tr w14:paraId="06DB9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trPr>
              <w:tc>
                <w:tcPr>
                  <w:tcW w:w="979" w:type="dxa"/>
                  <w:vAlign w:val="center"/>
                </w:tcPr>
                <w:p w14:paraId="558A5C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废脱漆剂</w:t>
                  </w:r>
                </w:p>
              </w:tc>
              <w:tc>
                <w:tcPr>
                  <w:tcW w:w="913" w:type="dxa"/>
                  <w:vAlign w:val="center"/>
                </w:tcPr>
                <w:p w14:paraId="6D9FCD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危险废物</w:t>
                  </w:r>
                </w:p>
              </w:tc>
              <w:tc>
                <w:tcPr>
                  <w:tcW w:w="2130" w:type="dxa"/>
                  <w:vAlign w:val="center"/>
                </w:tcPr>
                <w:p w14:paraId="73492F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《国家危险废物名录》（2025版）</w:t>
                  </w:r>
                </w:p>
              </w:tc>
              <w:tc>
                <w:tcPr>
                  <w:tcW w:w="944" w:type="dxa"/>
                  <w:vAlign w:val="center"/>
                </w:tcPr>
                <w:p w14:paraId="6EF090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HW06</w:t>
                  </w:r>
                </w:p>
              </w:tc>
              <w:tc>
                <w:tcPr>
                  <w:tcW w:w="1196" w:type="dxa"/>
                  <w:vAlign w:val="center"/>
                </w:tcPr>
                <w:p w14:paraId="7F9EC1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900-401-06</w:t>
                  </w:r>
                </w:p>
              </w:tc>
              <w:tc>
                <w:tcPr>
                  <w:tcW w:w="855" w:type="dxa"/>
                  <w:vAlign w:val="center"/>
                </w:tcPr>
                <w:p w14:paraId="79A071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0.008</w:t>
                  </w:r>
                </w:p>
              </w:tc>
              <w:tc>
                <w:tcPr>
                  <w:tcW w:w="932" w:type="dxa"/>
                  <w:vMerge w:val="continue"/>
                  <w:vAlign w:val="center"/>
                </w:tcPr>
                <w:p w14:paraId="045F86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p>
              </w:tc>
            </w:tr>
            <w:tr w14:paraId="201FE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trPr>
              <w:tc>
                <w:tcPr>
                  <w:tcW w:w="979" w:type="dxa"/>
                  <w:vAlign w:val="center"/>
                </w:tcPr>
                <w:p w14:paraId="01EC55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废清洗剂</w:t>
                  </w:r>
                </w:p>
              </w:tc>
              <w:tc>
                <w:tcPr>
                  <w:tcW w:w="913" w:type="dxa"/>
                  <w:vAlign w:val="center"/>
                </w:tcPr>
                <w:p w14:paraId="1020D1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危险废物</w:t>
                  </w:r>
                </w:p>
              </w:tc>
              <w:tc>
                <w:tcPr>
                  <w:tcW w:w="2130" w:type="dxa"/>
                  <w:vAlign w:val="center"/>
                </w:tcPr>
                <w:p w14:paraId="64A147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《国家危险废物名录》（2025版）</w:t>
                  </w:r>
                </w:p>
              </w:tc>
              <w:tc>
                <w:tcPr>
                  <w:tcW w:w="944" w:type="dxa"/>
                  <w:vAlign w:val="center"/>
                </w:tcPr>
                <w:p w14:paraId="26FDB7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HW35</w:t>
                  </w:r>
                </w:p>
              </w:tc>
              <w:tc>
                <w:tcPr>
                  <w:tcW w:w="1196" w:type="dxa"/>
                  <w:vAlign w:val="center"/>
                </w:tcPr>
                <w:p w14:paraId="4A68B7A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900-399-35</w:t>
                  </w:r>
                </w:p>
              </w:tc>
              <w:tc>
                <w:tcPr>
                  <w:tcW w:w="855" w:type="dxa"/>
                  <w:vAlign w:val="center"/>
                </w:tcPr>
                <w:p w14:paraId="7D3FA6D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0.32</w:t>
                  </w:r>
                </w:p>
              </w:tc>
              <w:tc>
                <w:tcPr>
                  <w:tcW w:w="932" w:type="dxa"/>
                  <w:vMerge w:val="continue"/>
                  <w:vAlign w:val="center"/>
                </w:tcPr>
                <w:p w14:paraId="35DEBF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p>
              </w:tc>
            </w:tr>
            <w:tr w14:paraId="39578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trPr>
              <w:tc>
                <w:tcPr>
                  <w:tcW w:w="979" w:type="dxa"/>
                  <w:vAlign w:val="center"/>
                </w:tcPr>
                <w:p w14:paraId="7457BD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废活性炭</w:t>
                  </w:r>
                </w:p>
              </w:tc>
              <w:tc>
                <w:tcPr>
                  <w:tcW w:w="913" w:type="dxa"/>
                  <w:vAlign w:val="center"/>
                </w:tcPr>
                <w:p w14:paraId="3D463F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危险废物</w:t>
                  </w:r>
                </w:p>
              </w:tc>
              <w:tc>
                <w:tcPr>
                  <w:tcW w:w="2130" w:type="dxa"/>
                  <w:vAlign w:val="center"/>
                </w:tcPr>
                <w:p w14:paraId="7A8044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《国家危险废物名</w:t>
                  </w:r>
                </w:p>
                <w:p w14:paraId="0B63264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录》（2025版）</w:t>
                  </w:r>
                </w:p>
              </w:tc>
              <w:tc>
                <w:tcPr>
                  <w:tcW w:w="944" w:type="dxa"/>
                  <w:vAlign w:val="center"/>
                </w:tcPr>
                <w:p w14:paraId="1A8C70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HW49</w:t>
                  </w:r>
                </w:p>
              </w:tc>
              <w:tc>
                <w:tcPr>
                  <w:tcW w:w="1196" w:type="dxa"/>
                  <w:vAlign w:val="center"/>
                </w:tcPr>
                <w:p w14:paraId="001B80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900-039-49</w:t>
                  </w:r>
                </w:p>
              </w:tc>
              <w:tc>
                <w:tcPr>
                  <w:tcW w:w="855" w:type="dxa"/>
                  <w:vAlign w:val="center"/>
                </w:tcPr>
                <w:p w14:paraId="0D0814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0.8</w:t>
                  </w:r>
                </w:p>
              </w:tc>
              <w:tc>
                <w:tcPr>
                  <w:tcW w:w="932" w:type="dxa"/>
                  <w:vMerge w:val="continue"/>
                  <w:vAlign w:val="center"/>
                </w:tcPr>
                <w:p w14:paraId="1418CD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p>
              </w:tc>
            </w:tr>
            <w:tr w14:paraId="1514F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9" w:type="dxa"/>
                  <w:vAlign w:val="center"/>
                </w:tcPr>
                <w:p w14:paraId="33B0E5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生活垃圾</w:t>
                  </w:r>
                </w:p>
              </w:tc>
              <w:tc>
                <w:tcPr>
                  <w:tcW w:w="913" w:type="dxa"/>
                  <w:vAlign w:val="center"/>
                </w:tcPr>
                <w:p w14:paraId="50D88E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w:t>
                  </w:r>
                </w:p>
              </w:tc>
              <w:tc>
                <w:tcPr>
                  <w:tcW w:w="2130" w:type="dxa"/>
                  <w:vAlign w:val="center"/>
                </w:tcPr>
                <w:p w14:paraId="3F9181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w:t>
                  </w:r>
                </w:p>
              </w:tc>
              <w:tc>
                <w:tcPr>
                  <w:tcW w:w="944" w:type="dxa"/>
                  <w:vAlign w:val="center"/>
                </w:tcPr>
                <w:p w14:paraId="1CF71C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w:t>
                  </w:r>
                </w:p>
              </w:tc>
              <w:tc>
                <w:tcPr>
                  <w:tcW w:w="1196" w:type="dxa"/>
                  <w:vAlign w:val="center"/>
                </w:tcPr>
                <w:p w14:paraId="695204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w:t>
                  </w:r>
                </w:p>
              </w:tc>
              <w:tc>
                <w:tcPr>
                  <w:tcW w:w="855" w:type="dxa"/>
                  <w:vAlign w:val="center"/>
                </w:tcPr>
                <w:p w14:paraId="1C0AC5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78.624</w:t>
                  </w:r>
                </w:p>
              </w:tc>
              <w:tc>
                <w:tcPr>
                  <w:tcW w:w="932" w:type="dxa"/>
                  <w:vAlign w:val="center"/>
                </w:tcPr>
                <w:p w14:paraId="484FF7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u w:val="single"/>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交由环卫部门处理</w:t>
                  </w:r>
                </w:p>
              </w:tc>
            </w:tr>
          </w:tbl>
          <w:p w14:paraId="0E49937B">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bCs/>
                <w:color w:val="auto"/>
                <w:lang w:val="en-US" w:eastAsia="zh-CN"/>
              </w:rPr>
              <w:t>表4-12 危险废物汇总表</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
              <w:gridCol w:w="656"/>
              <w:gridCol w:w="776"/>
              <w:gridCol w:w="975"/>
              <w:gridCol w:w="771"/>
              <w:gridCol w:w="664"/>
              <w:gridCol w:w="408"/>
              <w:gridCol w:w="835"/>
              <w:gridCol w:w="750"/>
              <w:gridCol w:w="532"/>
              <w:gridCol w:w="518"/>
              <w:gridCol w:w="617"/>
            </w:tblGrid>
            <w:tr w14:paraId="30E2A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47" w:type="dxa"/>
                  <w:vAlign w:val="center"/>
                </w:tcPr>
                <w:p w14:paraId="4B3898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序号</w:t>
                  </w:r>
                </w:p>
              </w:tc>
              <w:tc>
                <w:tcPr>
                  <w:tcW w:w="656" w:type="dxa"/>
                  <w:vAlign w:val="center"/>
                </w:tcPr>
                <w:p w14:paraId="18B684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危险废物名称</w:t>
                  </w:r>
                </w:p>
              </w:tc>
              <w:tc>
                <w:tcPr>
                  <w:tcW w:w="776" w:type="dxa"/>
                  <w:vAlign w:val="center"/>
                </w:tcPr>
                <w:p w14:paraId="574925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危险废物类别</w:t>
                  </w:r>
                </w:p>
              </w:tc>
              <w:tc>
                <w:tcPr>
                  <w:tcW w:w="975" w:type="dxa"/>
                  <w:vAlign w:val="center"/>
                </w:tcPr>
                <w:p w14:paraId="5795AD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危险废物代码</w:t>
                  </w:r>
                </w:p>
              </w:tc>
              <w:tc>
                <w:tcPr>
                  <w:tcW w:w="771" w:type="dxa"/>
                  <w:vAlign w:val="center"/>
                </w:tcPr>
                <w:p w14:paraId="0CE7E5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产生量t/a</w:t>
                  </w:r>
                </w:p>
              </w:tc>
              <w:tc>
                <w:tcPr>
                  <w:tcW w:w="664" w:type="dxa"/>
                  <w:vAlign w:val="center"/>
                </w:tcPr>
                <w:p w14:paraId="6A6D65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产生工序及装置</w:t>
                  </w:r>
                </w:p>
              </w:tc>
              <w:tc>
                <w:tcPr>
                  <w:tcW w:w="408" w:type="dxa"/>
                  <w:vAlign w:val="center"/>
                </w:tcPr>
                <w:p w14:paraId="2F82B7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形态</w:t>
                  </w:r>
                </w:p>
              </w:tc>
              <w:tc>
                <w:tcPr>
                  <w:tcW w:w="835" w:type="dxa"/>
                  <w:vAlign w:val="center"/>
                </w:tcPr>
                <w:p w14:paraId="1CD75E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主要成分</w:t>
                  </w:r>
                </w:p>
              </w:tc>
              <w:tc>
                <w:tcPr>
                  <w:tcW w:w="750" w:type="dxa"/>
                  <w:vAlign w:val="center"/>
                </w:tcPr>
                <w:p w14:paraId="1C5778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有害成分</w:t>
                  </w:r>
                </w:p>
              </w:tc>
              <w:tc>
                <w:tcPr>
                  <w:tcW w:w="532" w:type="dxa"/>
                  <w:vAlign w:val="center"/>
                </w:tcPr>
                <w:p w14:paraId="5AD5238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产废周期</w:t>
                  </w:r>
                </w:p>
              </w:tc>
              <w:tc>
                <w:tcPr>
                  <w:tcW w:w="518" w:type="dxa"/>
                  <w:vAlign w:val="center"/>
                </w:tcPr>
                <w:p w14:paraId="002CE3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危险特性</w:t>
                  </w:r>
                </w:p>
              </w:tc>
              <w:tc>
                <w:tcPr>
                  <w:tcW w:w="617" w:type="dxa"/>
                  <w:vAlign w:val="center"/>
                </w:tcPr>
                <w:p w14:paraId="1D8304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污染防治措施</w:t>
                  </w:r>
                </w:p>
              </w:tc>
            </w:tr>
            <w:tr w14:paraId="0468C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447" w:type="dxa"/>
                  <w:vAlign w:val="center"/>
                </w:tcPr>
                <w:p w14:paraId="1BA04B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w:t>
                  </w:r>
                </w:p>
              </w:tc>
              <w:tc>
                <w:tcPr>
                  <w:tcW w:w="656" w:type="dxa"/>
                  <w:vAlign w:val="center"/>
                </w:tcPr>
                <w:p w14:paraId="6D3192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废胶、废桶</w:t>
                  </w:r>
                </w:p>
              </w:tc>
              <w:tc>
                <w:tcPr>
                  <w:tcW w:w="776" w:type="dxa"/>
                  <w:vAlign w:val="center"/>
                </w:tcPr>
                <w:p w14:paraId="3C77E1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HW49</w:t>
                  </w:r>
                </w:p>
              </w:tc>
              <w:tc>
                <w:tcPr>
                  <w:tcW w:w="975" w:type="dxa"/>
                  <w:vAlign w:val="center"/>
                </w:tcPr>
                <w:p w14:paraId="67F7EB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900-041-49</w:t>
                  </w:r>
                </w:p>
              </w:tc>
              <w:tc>
                <w:tcPr>
                  <w:tcW w:w="771" w:type="dxa"/>
                  <w:vAlign w:val="center"/>
                </w:tcPr>
                <w:p w14:paraId="44C77B0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1.7</w:t>
                  </w:r>
                </w:p>
              </w:tc>
              <w:tc>
                <w:tcPr>
                  <w:tcW w:w="664" w:type="dxa"/>
                  <w:vAlign w:val="center"/>
                </w:tcPr>
                <w:p w14:paraId="3A976C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原料</w:t>
                  </w:r>
                </w:p>
              </w:tc>
              <w:tc>
                <w:tcPr>
                  <w:tcW w:w="408" w:type="dxa"/>
                  <w:vAlign w:val="center"/>
                </w:tcPr>
                <w:p w14:paraId="59B8C4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固</w:t>
                  </w:r>
                </w:p>
              </w:tc>
              <w:tc>
                <w:tcPr>
                  <w:tcW w:w="835" w:type="dxa"/>
                  <w:vAlign w:val="center"/>
                </w:tcPr>
                <w:p w14:paraId="1D9C3F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VOCs</w:t>
                  </w:r>
                </w:p>
              </w:tc>
              <w:tc>
                <w:tcPr>
                  <w:tcW w:w="750" w:type="dxa"/>
                  <w:vAlign w:val="center"/>
                </w:tcPr>
                <w:p w14:paraId="389BEC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VOCs</w:t>
                  </w:r>
                </w:p>
              </w:tc>
              <w:tc>
                <w:tcPr>
                  <w:tcW w:w="532" w:type="dxa"/>
                  <w:vAlign w:val="center"/>
                </w:tcPr>
                <w:p w14:paraId="7E6E50D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1个月</w:t>
                  </w:r>
                </w:p>
              </w:tc>
              <w:tc>
                <w:tcPr>
                  <w:tcW w:w="518" w:type="dxa"/>
                  <w:vAlign w:val="center"/>
                </w:tcPr>
                <w:p w14:paraId="5FB821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T/In</w:t>
                  </w:r>
                </w:p>
              </w:tc>
              <w:tc>
                <w:tcPr>
                  <w:tcW w:w="617" w:type="dxa"/>
                  <w:vMerge w:val="restart"/>
                  <w:vAlign w:val="center"/>
                </w:tcPr>
                <w:p w14:paraId="48806E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color w:val="auto"/>
                    </w:rPr>
                    <w:t>暂存于危废暂存间定期交由有资质单位处理</w:t>
                  </w:r>
                </w:p>
              </w:tc>
            </w:tr>
            <w:tr w14:paraId="2A783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447" w:type="dxa"/>
                  <w:vAlign w:val="center"/>
                </w:tcPr>
                <w:p w14:paraId="610ECB7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2</w:t>
                  </w:r>
                </w:p>
              </w:tc>
              <w:tc>
                <w:tcPr>
                  <w:tcW w:w="656" w:type="dxa"/>
                  <w:vAlign w:val="center"/>
                </w:tcPr>
                <w:p w14:paraId="4167ED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废酒精</w:t>
                  </w:r>
                </w:p>
              </w:tc>
              <w:tc>
                <w:tcPr>
                  <w:tcW w:w="776" w:type="dxa"/>
                  <w:vAlign w:val="center"/>
                </w:tcPr>
                <w:p w14:paraId="7714580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HW06</w:t>
                  </w:r>
                </w:p>
              </w:tc>
              <w:tc>
                <w:tcPr>
                  <w:tcW w:w="975" w:type="dxa"/>
                  <w:vAlign w:val="center"/>
                </w:tcPr>
                <w:p w14:paraId="477D5D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900-402-06</w:t>
                  </w:r>
                </w:p>
              </w:tc>
              <w:tc>
                <w:tcPr>
                  <w:tcW w:w="771" w:type="dxa"/>
                  <w:vAlign w:val="center"/>
                </w:tcPr>
                <w:p w14:paraId="17A456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1.016</w:t>
                  </w:r>
                </w:p>
              </w:tc>
              <w:tc>
                <w:tcPr>
                  <w:tcW w:w="664" w:type="dxa"/>
                  <w:vAlign w:val="center"/>
                </w:tcPr>
                <w:p w14:paraId="07C1F75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清洗</w:t>
                  </w:r>
                </w:p>
              </w:tc>
              <w:tc>
                <w:tcPr>
                  <w:tcW w:w="408" w:type="dxa"/>
                  <w:vAlign w:val="center"/>
                </w:tcPr>
                <w:p w14:paraId="314F18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液</w:t>
                  </w:r>
                </w:p>
              </w:tc>
              <w:tc>
                <w:tcPr>
                  <w:tcW w:w="835" w:type="dxa"/>
                  <w:vAlign w:val="center"/>
                </w:tcPr>
                <w:p w14:paraId="3BFFDC7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乙醇</w:t>
                  </w:r>
                </w:p>
              </w:tc>
              <w:tc>
                <w:tcPr>
                  <w:tcW w:w="750" w:type="dxa"/>
                  <w:vAlign w:val="center"/>
                </w:tcPr>
                <w:p w14:paraId="356160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乙醇</w:t>
                  </w:r>
                </w:p>
              </w:tc>
              <w:tc>
                <w:tcPr>
                  <w:tcW w:w="532" w:type="dxa"/>
                  <w:vAlign w:val="center"/>
                </w:tcPr>
                <w:p w14:paraId="63155F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1个月</w:t>
                  </w:r>
                </w:p>
              </w:tc>
              <w:tc>
                <w:tcPr>
                  <w:tcW w:w="518" w:type="dxa"/>
                  <w:vAlign w:val="center"/>
                </w:tcPr>
                <w:p w14:paraId="153823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T/I/R</w:t>
                  </w:r>
                </w:p>
              </w:tc>
              <w:tc>
                <w:tcPr>
                  <w:tcW w:w="617" w:type="dxa"/>
                  <w:vMerge w:val="continue"/>
                  <w:vAlign w:val="center"/>
                </w:tcPr>
                <w:p w14:paraId="1EC2CE4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r>
            <w:tr w14:paraId="6B9A3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447" w:type="dxa"/>
                  <w:vAlign w:val="center"/>
                </w:tcPr>
                <w:p w14:paraId="705B0B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3</w:t>
                  </w:r>
                </w:p>
              </w:tc>
              <w:tc>
                <w:tcPr>
                  <w:tcW w:w="656" w:type="dxa"/>
                  <w:vAlign w:val="center"/>
                </w:tcPr>
                <w:p w14:paraId="5E8433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废脱漆剂</w:t>
                  </w:r>
                </w:p>
              </w:tc>
              <w:tc>
                <w:tcPr>
                  <w:tcW w:w="776" w:type="dxa"/>
                  <w:vAlign w:val="center"/>
                </w:tcPr>
                <w:p w14:paraId="20729B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HW06</w:t>
                  </w:r>
                </w:p>
              </w:tc>
              <w:tc>
                <w:tcPr>
                  <w:tcW w:w="975" w:type="dxa"/>
                  <w:vAlign w:val="center"/>
                </w:tcPr>
                <w:p w14:paraId="764792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900-401-06</w:t>
                  </w:r>
                </w:p>
              </w:tc>
              <w:tc>
                <w:tcPr>
                  <w:tcW w:w="771" w:type="dxa"/>
                  <w:vAlign w:val="center"/>
                </w:tcPr>
                <w:p w14:paraId="3463BA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0.008</w:t>
                  </w:r>
                </w:p>
              </w:tc>
              <w:tc>
                <w:tcPr>
                  <w:tcW w:w="664" w:type="dxa"/>
                  <w:vAlign w:val="center"/>
                </w:tcPr>
                <w:p w14:paraId="4A2256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清洗</w:t>
                  </w:r>
                </w:p>
              </w:tc>
              <w:tc>
                <w:tcPr>
                  <w:tcW w:w="408" w:type="dxa"/>
                  <w:vAlign w:val="center"/>
                </w:tcPr>
                <w:p w14:paraId="07B536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液</w:t>
                  </w:r>
                </w:p>
              </w:tc>
              <w:tc>
                <w:tcPr>
                  <w:tcW w:w="835" w:type="dxa"/>
                  <w:vAlign w:val="center"/>
                </w:tcPr>
                <w:p w14:paraId="325B09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二氯甲烷</w:t>
                  </w:r>
                </w:p>
              </w:tc>
              <w:tc>
                <w:tcPr>
                  <w:tcW w:w="750" w:type="dxa"/>
                  <w:vAlign w:val="center"/>
                </w:tcPr>
                <w:p w14:paraId="3CE764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二氯甲烷</w:t>
                  </w:r>
                </w:p>
              </w:tc>
              <w:tc>
                <w:tcPr>
                  <w:tcW w:w="532" w:type="dxa"/>
                  <w:vAlign w:val="center"/>
                </w:tcPr>
                <w:p w14:paraId="189EDB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1个月</w:t>
                  </w:r>
                </w:p>
              </w:tc>
              <w:tc>
                <w:tcPr>
                  <w:tcW w:w="518" w:type="dxa"/>
                  <w:vAlign w:val="center"/>
                </w:tcPr>
                <w:p w14:paraId="2562FE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T/I</w:t>
                  </w:r>
                </w:p>
              </w:tc>
              <w:tc>
                <w:tcPr>
                  <w:tcW w:w="617" w:type="dxa"/>
                  <w:vMerge w:val="continue"/>
                  <w:vAlign w:val="center"/>
                </w:tcPr>
                <w:p w14:paraId="63203D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rPr>
                  </w:pPr>
                </w:p>
              </w:tc>
            </w:tr>
            <w:tr w14:paraId="494E0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447" w:type="dxa"/>
                  <w:vAlign w:val="center"/>
                </w:tcPr>
                <w:p w14:paraId="71D64B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4</w:t>
                  </w:r>
                </w:p>
              </w:tc>
              <w:tc>
                <w:tcPr>
                  <w:tcW w:w="656" w:type="dxa"/>
                  <w:vAlign w:val="center"/>
                </w:tcPr>
                <w:p w14:paraId="78DEA9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废清洗剂</w:t>
                  </w:r>
                </w:p>
              </w:tc>
              <w:tc>
                <w:tcPr>
                  <w:tcW w:w="776" w:type="dxa"/>
                  <w:vAlign w:val="center"/>
                </w:tcPr>
                <w:p w14:paraId="49C825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HW35</w:t>
                  </w:r>
                </w:p>
              </w:tc>
              <w:tc>
                <w:tcPr>
                  <w:tcW w:w="975" w:type="dxa"/>
                  <w:vAlign w:val="center"/>
                </w:tcPr>
                <w:p w14:paraId="19F578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u w:val="single"/>
                      <w:vertAlign w:val="baseline"/>
                      <w:lang w:val="en-US" w:eastAsia="zh-CN"/>
                    </w:rPr>
                    <w:t>900-399-35</w:t>
                  </w:r>
                </w:p>
              </w:tc>
              <w:tc>
                <w:tcPr>
                  <w:tcW w:w="771" w:type="dxa"/>
                  <w:vAlign w:val="center"/>
                </w:tcPr>
                <w:p w14:paraId="6123C0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0.32</w:t>
                  </w:r>
                </w:p>
              </w:tc>
              <w:tc>
                <w:tcPr>
                  <w:tcW w:w="664" w:type="dxa"/>
                  <w:vAlign w:val="center"/>
                </w:tcPr>
                <w:p w14:paraId="5C6571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清洗</w:t>
                  </w:r>
                </w:p>
              </w:tc>
              <w:tc>
                <w:tcPr>
                  <w:tcW w:w="408" w:type="dxa"/>
                  <w:vAlign w:val="center"/>
                </w:tcPr>
                <w:p w14:paraId="25621F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液</w:t>
                  </w:r>
                </w:p>
              </w:tc>
              <w:tc>
                <w:tcPr>
                  <w:tcW w:w="835" w:type="dxa"/>
                  <w:vAlign w:val="center"/>
                </w:tcPr>
                <w:p w14:paraId="6E8AB9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氢氧化钠</w:t>
                  </w:r>
                </w:p>
              </w:tc>
              <w:tc>
                <w:tcPr>
                  <w:tcW w:w="750" w:type="dxa"/>
                  <w:vAlign w:val="center"/>
                </w:tcPr>
                <w:p w14:paraId="7C9741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氢氧化钠</w:t>
                  </w:r>
                </w:p>
              </w:tc>
              <w:tc>
                <w:tcPr>
                  <w:tcW w:w="532" w:type="dxa"/>
                  <w:vAlign w:val="center"/>
                </w:tcPr>
                <w:p w14:paraId="11E152A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1个月</w:t>
                  </w:r>
                </w:p>
              </w:tc>
              <w:tc>
                <w:tcPr>
                  <w:tcW w:w="518" w:type="dxa"/>
                  <w:vAlign w:val="center"/>
                </w:tcPr>
                <w:p w14:paraId="7238E3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C/T</w:t>
                  </w:r>
                </w:p>
              </w:tc>
              <w:tc>
                <w:tcPr>
                  <w:tcW w:w="617" w:type="dxa"/>
                  <w:vMerge w:val="continue"/>
                  <w:vAlign w:val="center"/>
                </w:tcPr>
                <w:p w14:paraId="7180B9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r>
            <w:tr w14:paraId="1B601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447" w:type="dxa"/>
                  <w:vAlign w:val="center"/>
                </w:tcPr>
                <w:p w14:paraId="06FC71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5</w:t>
                  </w:r>
                </w:p>
              </w:tc>
              <w:tc>
                <w:tcPr>
                  <w:tcW w:w="656" w:type="dxa"/>
                  <w:vAlign w:val="center"/>
                </w:tcPr>
                <w:p w14:paraId="5D2FBB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废活性炭</w:t>
                  </w:r>
                </w:p>
              </w:tc>
              <w:tc>
                <w:tcPr>
                  <w:tcW w:w="776" w:type="dxa"/>
                  <w:vAlign w:val="center"/>
                </w:tcPr>
                <w:p w14:paraId="386A2B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HW49</w:t>
                  </w:r>
                </w:p>
              </w:tc>
              <w:tc>
                <w:tcPr>
                  <w:tcW w:w="975" w:type="dxa"/>
                  <w:vAlign w:val="center"/>
                </w:tcPr>
                <w:p w14:paraId="2F2AE5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900-039-49</w:t>
                  </w:r>
                </w:p>
              </w:tc>
              <w:tc>
                <w:tcPr>
                  <w:tcW w:w="771" w:type="dxa"/>
                  <w:vAlign w:val="center"/>
                </w:tcPr>
                <w:p w14:paraId="55FB6C3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0.8</w:t>
                  </w:r>
                </w:p>
              </w:tc>
              <w:tc>
                <w:tcPr>
                  <w:tcW w:w="664" w:type="dxa"/>
                  <w:vAlign w:val="center"/>
                </w:tcPr>
                <w:p w14:paraId="321CBB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排污</w:t>
                  </w:r>
                </w:p>
              </w:tc>
              <w:tc>
                <w:tcPr>
                  <w:tcW w:w="408" w:type="dxa"/>
                  <w:vAlign w:val="center"/>
                </w:tcPr>
                <w:p w14:paraId="656919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固</w:t>
                  </w:r>
                </w:p>
              </w:tc>
              <w:tc>
                <w:tcPr>
                  <w:tcW w:w="835" w:type="dxa"/>
                  <w:vAlign w:val="center"/>
                </w:tcPr>
                <w:p w14:paraId="3FF609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活性炭</w:t>
                  </w:r>
                </w:p>
              </w:tc>
              <w:tc>
                <w:tcPr>
                  <w:tcW w:w="750" w:type="dxa"/>
                  <w:vAlign w:val="center"/>
                </w:tcPr>
                <w:p w14:paraId="7AE7C1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二氧化锡</w:t>
                  </w:r>
                </w:p>
              </w:tc>
              <w:tc>
                <w:tcPr>
                  <w:tcW w:w="532" w:type="dxa"/>
                  <w:vAlign w:val="center"/>
                </w:tcPr>
                <w:p w14:paraId="3A4127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6个月</w:t>
                  </w:r>
                </w:p>
              </w:tc>
              <w:tc>
                <w:tcPr>
                  <w:tcW w:w="518" w:type="dxa"/>
                  <w:vAlign w:val="center"/>
                </w:tcPr>
                <w:p w14:paraId="731F43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4"/>
                      <w:vertAlign w:val="baseline"/>
                      <w:lang w:val="en-US" w:eastAsia="zh-CN" w:bidi="ar-SA"/>
                    </w:rPr>
                  </w:pPr>
                  <w:r>
                    <w:rPr>
                      <w:rFonts w:hint="default" w:ascii="Times New Roman" w:hAnsi="Times New Roman" w:eastAsia="宋体" w:cs="Times New Roman"/>
                      <w:b w:val="0"/>
                      <w:bCs w:val="0"/>
                      <w:color w:val="auto"/>
                      <w:vertAlign w:val="baseline"/>
                      <w:lang w:val="en-US" w:eastAsia="zh-CN"/>
                    </w:rPr>
                    <w:t>T</w:t>
                  </w:r>
                </w:p>
              </w:tc>
              <w:tc>
                <w:tcPr>
                  <w:tcW w:w="617" w:type="dxa"/>
                  <w:vMerge w:val="continue"/>
                  <w:vAlign w:val="center"/>
                </w:tcPr>
                <w:p w14:paraId="1F50F2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r>
          </w:tbl>
          <w:p w14:paraId="628F3DD5">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表4-13 建设项目危险废物贮存场所基本情况表</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736"/>
              <w:gridCol w:w="770"/>
              <w:gridCol w:w="793"/>
              <w:gridCol w:w="1196"/>
              <w:gridCol w:w="736"/>
              <w:gridCol w:w="774"/>
              <w:gridCol w:w="736"/>
              <w:gridCol w:w="736"/>
              <w:gridCol w:w="737"/>
            </w:tblGrid>
            <w:tr w14:paraId="35AAF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5" w:type="dxa"/>
                  <w:vAlign w:val="center"/>
                </w:tcPr>
                <w:p w14:paraId="1CF77C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序号</w:t>
                  </w:r>
                </w:p>
              </w:tc>
              <w:tc>
                <w:tcPr>
                  <w:tcW w:w="736" w:type="dxa"/>
                  <w:vAlign w:val="center"/>
                </w:tcPr>
                <w:p w14:paraId="735455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贮存场所名称</w:t>
                  </w:r>
                </w:p>
              </w:tc>
              <w:tc>
                <w:tcPr>
                  <w:tcW w:w="770" w:type="dxa"/>
                  <w:vAlign w:val="center"/>
                </w:tcPr>
                <w:p w14:paraId="13DB83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危险废物名称</w:t>
                  </w:r>
                </w:p>
              </w:tc>
              <w:tc>
                <w:tcPr>
                  <w:tcW w:w="793" w:type="dxa"/>
                  <w:vAlign w:val="center"/>
                </w:tcPr>
                <w:p w14:paraId="2A4E90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危险废物类别</w:t>
                  </w:r>
                </w:p>
              </w:tc>
              <w:tc>
                <w:tcPr>
                  <w:tcW w:w="1196" w:type="dxa"/>
                  <w:vAlign w:val="center"/>
                </w:tcPr>
                <w:p w14:paraId="707C0EA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危险废物代码</w:t>
                  </w:r>
                </w:p>
              </w:tc>
              <w:tc>
                <w:tcPr>
                  <w:tcW w:w="736" w:type="dxa"/>
                  <w:vAlign w:val="center"/>
                </w:tcPr>
                <w:p w14:paraId="2D4F73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位置</w:t>
                  </w:r>
                </w:p>
              </w:tc>
              <w:tc>
                <w:tcPr>
                  <w:tcW w:w="774" w:type="dxa"/>
                  <w:vAlign w:val="center"/>
                </w:tcPr>
                <w:p w14:paraId="05F49E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占地面积</w:t>
                  </w:r>
                </w:p>
              </w:tc>
              <w:tc>
                <w:tcPr>
                  <w:tcW w:w="736" w:type="dxa"/>
                  <w:vAlign w:val="center"/>
                </w:tcPr>
                <w:p w14:paraId="3FB590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贮存方式</w:t>
                  </w:r>
                </w:p>
              </w:tc>
              <w:tc>
                <w:tcPr>
                  <w:tcW w:w="736" w:type="dxa"/>
                  <w:vAlign w:val="center"/>
                </w:tcPr>
                <w:p w14:paraId="772160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贮存</w:t>
                  </w:r>
                </w:p>
                <w:p w14:paraId="7814EE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能力</w:t>
                  </w:r>
                </w:p>
              </w:tc>
              <w:tc>
                <w:tcPr>
                  <w:tcW w:w="737" w:type="dxa"/>
                  <w:vAlign w:val="center"/>
                </w:tcPr>
                <w:p w14:paraId="3A5A70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贮存周期</w:t>
                  </w:r>
                </w:p>
              </w:tc>
            </w:tr>
            <w:tr w14:paraId="543B1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5" w:type="dxa"/>
                  <w:vAlign w:val="center"/>
                </w:tcPr>
                <w:p w14:paraId="5EB66F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w:t>
                  </w:r>
                </w:p>
              </w:tc>
              <w:tc>
                <w:tcPr>
                  <w:tcW w:w="736" w:type="dxa"/>
                  <w:vMerge w:val="restart"/>
                  <w:vAlign w:val="center"/>
                </w:tcPr>
                <w:p w14:paraId="603F16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危废暂存间</w:t>
                  </w:r>
                </w:p>
              </w:tc>
              <w:tc>
                <w:tcPr>
                  <w:tcW w:w="770" w:type="dxa"/>
                  <w:vAlign w:val="center"/>
                </w:tcPr>
                <w:p w14:paraId="7DF1E4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废胶、废桶</w:t>
                  </w:r>
                </w:p>
              </w:tc>
              <w:tc>
                <w:tcPr>
                  <w:tcW w:w="793" w:type="dxa"/>
                  <w:vAlign w:val="center"/>
                </w:tcPr>
                <w:p w14:paraId="6C8919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HW49</w:t>
                  </w:r>
                </w:p>
              </w:tc>
              <w:tc>
                <w:tcPr>
                  <w:tcW w:w="1196" w:type="dxa"/>
                  <w:vAlign w:val="center"/>
                </w:tcPr>
                <w:p w14:paraId="1528CF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900-041-49</w:t>
                  </w:r>
                </w:p>
              </w:tc>
              <w:tc>
                <w:tcPr>
                  <w:tcW w:w="736" w:type="dxa"/>
                  <w:vMerge w:val="restart"/>
                  <w:vAlign w:val="center"/>
                </w:tcPr>
                <w:p w14:paraId="1D0A7A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危废暂存间</w:t>
                  </w:r>
                </w:p>
              </w:tc>
              <w:tc>
                <w:tcPr>
                  <w:tcW w:w="774" w:type="dxa"/>
                  <w:vMerge w:val="restart"/>
                  <w:vAlign w:val="center"/>
                </w:tcPr>
                <w:p w14:paraId="45211A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21m</w:t>
                  </w:r>
                  <w:r>
                    <w:rPr>
                      <w:rFonts w:hint="default" w:ascii="Times New Roman" w:hAnsi="Times New Roman" w:eastAsia="宋体" w:cs="Times New Roman"/>
                      <w:b w:val="0"/>
                      <w:bCs w:val="0"/>
                      <w:color w:val="auto"/>
                      <w:vertAlign w:val="superscript"/>
                      <w:lang w:val="en-US" w:eastAsia="zh-CN"/>
                    </w:rPr>
                    <w:t>2</w:t>
                  </w:r>
                </w:p>
              </w:tc>
              <w:tc>
                <w:tcPr>
                  <w:tcW w:w="736" w:type="dxa"/>
                  <w:vMerge w:val="restart"/>
                  <w:vAlign w:val="center"/>
                </w:tcPr>
                <w:p w14:paraId="6836792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桶装</w:t>
                  </w:r>
                </w:p>
              </w:tc>
              <w:tc>
                <w:tcPr>
                  <w:tcW w:w="736" w:type="dxa"/>
                  <w:vAlign w:val="center"/>
                </w:tcPr>
                <w:p w14:paraId="7932FA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1.7t/a</w:t>
                  </w:r>
                </w:p>
              </w:tc>
              <w:tc>
                <w:tcPr>
                  <w:tcW w:w="737" w:type="dxa"/>
                  <w:vMerge w:val="restart"/>
                  <w:vAlign w:val="center"/>
                </w:tcPr>
                <w:p w14:paraId="74459E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1个月</w:t>
                  </w:r>
                </w:p>
              </w:tc>
            </w:tr>
            <w:tr w14:paraId="72089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5" w:type="dxa"/>
                  <w:vAlign w:val="center"/>
                </w:tcPr>
                <w:p w14:paraId="1C7E7A2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2</w:t>
                  </w:r>
                </w:p>
              </w:tc>
              <w:tc>
                <w:tcPr>
                  <w:tcW w:w="736" w:type="dxa"/>
                  <w:vMerge w:val="continue"/>
                  <w:vAlign w:val="center"/>
                </w:tcPr>
                <w:p w14:paraId="7F14B2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770" w:type="dxa"/>
                  <w:vAlign w:val="center"/>
                </w:tcPr>
                <w:p w14:paraId="6DC21A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废酒精</w:t>
                  </w:r>
                </w:p>
              </w:tc>
              <w:tc>
                <w:tcPr>
                  <w:tcW w:w="793" w:type="dxa"/>
                  <w:vAlign w:val="center"/>
                </w:tcPr>
                <w:p w14:paraId="284721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HW06</w:t>
                  </w:r>
                </w:p>
              </w:tc>
              <w:tc>
                <w:tcPr>
                  <w:tcW w:w="1196" w:type="dxa"/>
                  <w:vAlign w:val="center"/>
                </w:tcPr>
                <w:p w14:paraId="7668E1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900-402-06</w:t>
                  </w:r>
                </w:p>
              </w:tc>
              <w:tc>
                <w:tcPr>
                  <w:tcW w:w="736" w:type="dxa"/>
                  <w:vMerge w:val="continue"/>
                  <w:vAlign w:val="center"/>
                </w:tcPr>
                <w:p w14:paraId="740D68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774" w:type="dxa"/>
                  <w:vMerge w:val="continue"/>
                  <w:vAlign w:val="center"/>
                </w:tcPr>
                <w:p w14:paraId="4897F5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736" w:type="dxa"/>
                  <w:vMerge w:val="continue"/>
                  <w:vAlign w:val="center"/>
                </w:tcPr>
                <w:p w14:paraId="19F325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736" w:type="dxa"/>
                  <w:vAlign w:val="center"/>
                </w:tcPr>
                <w:p w14:paraId="1E0627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1.016t/a</w:t>
                  </w:r>
                </w:p>
              </w:tc>
              <w:tc>
                <w:tcPr>
                  <w:tcW w:w="737" w:type="dxa"/>
                  <w:vMerge w:val="continue"/>
                  <w:vAlign w:val="center"/>
                </w:tcPr>
                <w:p w14:paraId="03104D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r>
            <w:tr w14:paraId="0B1A0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5" w:type="dxa"/>
                  <w:vAlign w:val="center"/>
                </w:tcPr>
                <w:p w14:paraId="1E881A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3</w:t>
                  </w:r>
                </w:p>
              </w:tc>
              <w:tc>
                <w:tcPr>
                  <w:tcW w:w="736" w:type="dxa"/>
                  <w:vMerge w:val="continue"/>
                  <w:vAlign w:val="center"/>
                </w:tcPr>
                <w:p w14:paraId="7D6E122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770" w:type="dxa"/>
                  <w:vAlign w:val="center"/>
                </w:tcPr>
                <w:p w14:paraId="3DB6FC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废脱漆剂</w:t>
                  </w:r>
                </w:p>
              </w:tc>
              <w:tc>
                <w:tcPr>
                  <w:tcW w:w="793" w:type="dxa"/>
                  <w:vAlign w:val="center"/>
                </w:tcPr>
                <w:p w14:paraId="2DEA42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HW06</w:t>
                  </w:r>
                </w:p>
              </w:tc>
              <w:tc>
                <w:tcPr>
                  <w:tcW w:w="1196" w:type="dxa"/>
                  <w:vAlign w:val="center"/>
                </w:tcPr>
                <w:p w14:paraId="4FE8C42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900-401-06</w:t>
                  </w:r>
                </w:p>
              </w:tc>
              <w:tc>
                <w:tcPr>
                  <w:tcW w:w="736" w:type="dxa"/>
                  <w:vMerge w:val="continue"/>
                  <w:vAlign w:val="center"/>
                </w:tcPr>
                <w:p w14:paraId="4E230E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774" w:type="dxa"/>
                  <w:vMerge w:val="continue"/>
                  <w:vAlign w:val="center"/>
                </w:tcPr>
                <w:p w14:paraId="23077A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736" w:type="dxa"/>
                  <w:vMerge w:val="continue"/>
                  <w:vAlign w:val="center"/>
                </w:tcPr>
                <w:p w14:paraId="79AB8B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736" w:type="dxa"/>
                  <w:vAlign w:val="center"/>
                </w:tcPr>
                <w:p w14:paraId="29AB90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0.008t/a</w:t>
                  </w:r>
                </w:p>
              </w:tc>
              <w:tc>
                <w:tcPr>
                  <w:tcW w:w="737" w:type="dxa"/>
                  <w:vMerge w:val="continue"/>
                  <w:vAlign w:val="center"/>
                </w:tcPr>
                <w:p w14:paraId="49E222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r>
            <w:tr w14:paraId="371EF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5" w:type="dxa"/>
                  <w:vAlign w:val="center"/>
                </w:tcPr>
                <w:p w14:paraId="0A6F3AD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4</w:t>
                  </w:r>
                </w:p>
              </w:tc>
              <w:tc>
                <w:tcPr>
                  <w:tcW w:w="736" w:type="dxa"/>
                  <w:vMerge w:val="continue"/>
                  <w:vAlign w:val="center"/>
                </w:tcPr>
                <w:p w14:paraId="5A368E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770" w:type="dxa"/>
                  <w:vAlign w:val="center"/>
                </w:tcPr>
                <w:p w14:paraId="44A78D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废清洗剂</w:t>
                  </w:r>
                </w:p>
              </w:tc>
              <w:tc>
                <w:tcPr>
                  <w:tcW w:w="793" w:type="dxa"/>
                  <w:vAlign w:val="center"/>
                </w:tcPr>
                <w:p w14:paraId="055388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HW35</w:t>
                  </w:r>
                </w:p>
              </w:tc>
              <w:tc>
                <w:tcPr>
                  <w:tcW w:w="1196" w:type="dxa"/>
                  <w:vAlign w:val="center"/>
                </w:tcPr>
                <w:p w14:paraId="445C4F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u w:val="single"/>
                      <w:vertAlign w:val="baseline"/>
                      <w:lang w:val="en-US" w:eastAsia="zh-CN"/>
                    </w:rPr>
                    <w:t>900-399-35</w:t>
                  </w:r>
                </w:p>
              </w:tc>
              <w:tc>
                <w:tcPr>
                  <w:tcW w:w="736" w:type="dxa"/>
                  <w:vMerge w:val="continue"/>
                  <w:vAlign w:val="center"/>
                </w:tcPr>
                <w:p w14:paraId="3EE2AC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774" w:type="dxa"/>
                  <w:vMerge w:val="continue"/>
                  <w:vAlign w:val="center"/>
                </w:tcPr>
                <w:p w14:paraId="795127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736" w:type="dxa"/>
                  <w:vMerge w:val="continue"/>
                  <w:vAlign w:val="center"/>
                </w:tcPr>
                <w:p w14:paraId="0BE0A4D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736" w:type="dxa"/>
                  <w:vAlign w:val="center"/>
                </w:tcPr>
                <w:p w14:paraId="6331B9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0.32t/a</w:t>
                  </w:r>
                </w:p>
              </w:tc>
              <w:tc>
                <w:tcPr>
                  <w:tcW w:w="737" w:type="dxa"/>
                  <w:vMerge w:val="continue"/>
                  <w:vAlign w:val="center"/>
                </w:tcPr>
                <w:p w14:paraId="6C4DB95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r>
            <w:tr w14:paraId="4CD40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5" w:type="dxa"/>
                  <w:vAlign w:val="center"/>
                </w:tcPr>
                <w:p w14:paraId="1C0CBB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5</w:t>
                  </w:r>
                </w:p>
              </w:tc>
              <w:tc>
                <w:tcPr>
                  <w:tcW w:w="736" w:type="dxa"/>
                  <w:vMerge w:val="continue"/>
                  <w:vAlign w:val="center"/>
                </w:tcPr>
                <w:p w14:paraId="0C62CF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770" w:type="dxa"/>
                  <w:vAlign w:val="center"/>
                </w:tcPr>
                <w:p w14:paraId="1D175B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废活性炭</w:t>
                  </w:r>
                </w:p>
              </w:tc>
              <w:tc>
                <w:tcPr>
                  <w:tcW w:w="793" w:type="dxa"/>
                  <w:vAlign w:val="center"/>
                </w:tcPr>
                <w:p w14:paraId="0F351E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HW49</w:t>
                  </w:r>
                </w:p>
              </w:tc>
              <w:tc>
                <w:tcPr>
                  <w:tcW w:w="1196" w:type="dxa"/>
                  <w:vAlign w:val="center"/>
                </w:tcPr>
                <w:p w14:paraId="2950EE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900-039-49</w:t>
                  </w:r>
                </w:p>
              </w:tc>
              <w:tc>
                <w:tcPr>
                  <w:tcW w:w="736" w:type="dxa"/>
                  <w:vMerge w:val="continue"/>
                  <w:vAlign w:val="center"/>
                </w:tcPr>
                <w:p w14:paraId="3C526A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774" w:type="dxa"/>
                  <w:vMerge w:val="continue"/>
                  <w:vAlign w:val="center"/>
                </w:tcPr>
                <w:p w14:paraId="2CCD10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736" w:type="dxa"/>
                  <w:vAlign w:val="center"/>
                </w:tcPr>
                <w:p w14:paraId="46151C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封箱</w:t>
                  </w:r>
                </w:p>
              </w:tc>
              <w:tc>
                <w:tcPr>
                  <w:tcW w:w="736" w:type="dxa"/>
                  <w:vAlign w:val="center"/>
                </w:tcPr>
                <w:p w14:paraId="002DA3E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0.8t/a</w:t>
                  </w:r>
                </w:p>
              </w:tc>
              <w:tc>
                <w:tcPr>
                  <w:tcW w:w="737" w:type="dxa"/>
                  <w:vMerge w:val="continue"/>
                  <w:vAlign w:val="center"/>
                </w:tcPr>
                <w:p w14:paraId="678C38D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r>
          </w:tbl>
          <w:p w14:paraId="42DC2898">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（3）固废暂存场所（设施）环境影响分析</w:t>
            </w:r>
          </w:p>
          <w:p w14:paraId="5006DEC4">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1）一般工业固体废物贮存场所（设施）影响分析</w:t>
            </w:r>
          </w:p>
          <w:p w14:paraId="4A487E8F">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建设项目新建一个的56.75</w:t>
            </w:r>
            <w:r>
              <w:rPr>
                <w:rFonts w:hint="default" w:ascii="Times New Roman" w:hAnsi="Times New Roman" w:eastAsia="宋体" w:cs="Times New Roman"/>
                <w:b w:val="0"/>
                <w:bCs w:val="0"/>
                <w:color w:val="auto"/>
                <w:sz w:val="24"/>
                <w:szCs w:val="32"/>
                <w:highlight w:val="none"/>
                <w:lang w:val="en-US" w:eastAsia="zh-CN"/>
              </w:rPr>
              <w:t>m</w:t>
            </w:r>
            <w:r>
              <w:rPr>
                <w:rFonts w:hint="default" w:ascii="Times New Roman" w:hAnsi="Times New Roman" w:eastAsia="宋体" w:cs="Times New Roman"/>
                <w:b w:val="0"/>
                <w:bCs w:val="0"/>
                <w:color w:val="auto"/>
                <w:sz w:val="24"/>
                <w:szCs w:val="32"/>
                <w:highlight w:val="none"/>
                <w:vertAlign w:val="superscript"/>
                <w:lang w:val="en-US" w:eastAsia="zh-CN"/>
              </w:rPr>
              <w:t>2</w:t>
            </w:r>
            <w:r>
              <w:rPr>
                <w:rFonts w:hint="default" w:ascii="Times New Roman" w:hAnsi="Times New Roman" w:eastAsia="宋体" w:cs="Times New Roman"/>
                <w:b w:val="0"/>
                <w:bCs w:val="0"/>
                <w:color w:val="auto"/>
                <w:sz w:val="24"/>
                <w:szCs w:val="32"/>
                <w:highlight w:val="none"/>
                <w:lang w:val="en-US" w:eastAsia="zh-CN"/>
              </w:rPr>
              <w:t>一般工业固废堆场</w:t>
            </w:r>
            <w:r>
              <w:rPr>
                <w:rFonts w:hint="default" w:ascii="Times New Roman" w:hAnsi="Times New Roman" w:eastAsia="宋体" w:cs="Times New Roman"/>
                <w:b w:val="0"/>
                <w:bCs w:val="0"/>
                <w:color w:val="auto"/>
                <w:sz w:val="24"/>
                <w:szCs w:val="32"/>
                <w:lang w:val="en-US" w:eastAsia="zh-CN"/>
              </w:rPr>
              <w:t>，一般固废堆场拟按照《一般工业固体废物贮存和填埋污染控制标准》（GB 18599-2020）要求建设，对一般固废堆放区地面进行了硬化，并做好防腐、防渗和防漏处理，制定了“一般固废仓库管理制度”、“一般工业固废处置管理规定”，由专人维护。建设项目生产过程中废边角料属于一般工业固废，暂存于一般固废堆场，外售综合利用。因此，项目一般工业固废的收集、贮存对环境的影响较小。</w:t>
            </w:r>
          </w:p>
          <w:p w14:paraId="6090D0F4">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2）危险废物贮存场所（设施）环境影响分析</w:t>
            </w:r>
          </w:p>
          <w:p w14:paraId="388AC0EA">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32"/>
                <w:lang w:val="en-US" w:eastAsia="zh-CN"/>
              </w:rPr>
              <w:t>建设项目在1#厂房外北侧拟建21</w:t>
            </w:r>
            <w:r>
              <w:rPr>
                <w:rFonts w:hint="default" w:ascii="Times New Roman" w:hAnsi="Times New Roman" w:eastAsia="宋体" w:cs="Times New Roman"/>
                <w:b w:val="0"/>
                <w:bCs w:val="0"/>
                <w:color w:val="auto"/>
                <w:sz w:val="24"/>
                <w:szCs w:val="32"/>
                <w:highlight w:val="none"/>
                <w:lang w:val="en-US" w:eastAsia="zh-CN"/>
              </w:rPr>
              <w:t>m</w:t>
            </w:r>
            <w:r>
              <w:rPr>
                <w:rFonts w:hint="default" w:ascii="Times New Roman" w:hAnsi="Times New Roman" w:eastAsia="宋体" w:cs="Times New Roman"/>
                <w:b w:val="0"/>
                <w:bCs w:val="0"/>
                <w:color w:val="auto"/>
                <w:sz w:val="24"/>
                <w:szCs w:val="32"/>
                <w:highlight w:val="none"/>
                <w:vertAlign w:val="superscript"/>
                <w:lang w:val="en-US" w:eastAsia="zh-CN"/>
              </w:rPr>
              <w:t>2</w:t>
            </w:r>
            <w:r>
              <w:rPr>
                <w:rFonts w:hint="default" w:ascii="Times New Roman" w:hAnsi="Times New Roman" w:eastAsia="宋体" w:cs="Times New Roman"/>
                <w:b w:val="0"/>
                <w:bCs w:val="0"/>
                <w:color w:val="auto"/>
                <w:sz w:val="24"/>
                <w:szCs w:val="32"/>
                <w:highlight w:val="none"/>
                <w:lang w:val="en-US" w:eastAsia="zh-CN"/>
              </w:rPr>
              <w:t>的危险废物贮存场所</w:t>
            </w:r>
            <w:r>
              <w:rPr>
                <w:rFonts w:hint="default" w:ascii="Times New Roman" w:hAnsi="Times New Roman" w:eastAsia="宋体" w:cs="Times New Roman"/>
                <w:b w:val="0"/>
                <w:bCs w:val="0"/>
                <w:color w:val="auto"/>
                <w:sz w:val="24"/>
                <w:szCs w:val="32"/>
                <w:lang w:val="en-US" w:eastAsia="zh-CN"/>
              </w:rPr>
              <w:t>，贮存场所拟按照</w:t>
            </w:r>
            <w:r>
              <w:rPr>
                <w:rFonts w:hint="default" w:ascii="Times New Roman" w:hAnsi="Times New Roman" w:eastAsia="宋体" w:cs="Times New Roman"/>
                <w:b w:val="0"/>
                <w:bCs w:val="0"/>
                <w:color w:val="auto"/>
                <w:sz w:val="24"/>
                <w:szCs w:val="32"/>
                <w:u w:val="single"/>
                <w:lang w:val="en-US" w:eastAsia="zh-CN"/>
              </w:rPr>
              <w:t>《危险废物贮存污染控制标准》(GB 18597-2023)</w:t>
            </w:r>
            <w:r>
              <w:rPr>
                <w:rFonts w:hint="default" w:ascii="Times New Roman" w:hAnsi="Times New Roman" w:eastAsia="宋体" w:cs="Times New Roman"/>
                <w:b w:val="0"/>
                <w:bCs w:val="0"/>
                <w:color w:val="auto"/>
                <w:sz w:val="24"/>
                <w:szCs w:val="32"/>
                <w:lang w:val="en-US" w:eastAsia="zh-CN"/>
              </w:rPr>
              <w:t>的相关要求建设，建设项目危废拟分类存放、贮存，不相容的危险废物除分类存放，还应设置</w:t>
            </w:r>
            <w:r>
              <w:rPr>
                <w:rFonts w:hint="default" w:ascii="Times New Roman" w:hAnsi="Times New Roman" w:eastAsia="宋体" w:cs="Times New Roman"/>
                <w:b w:val="0"/>
                <w:bCs w:val="0"/>
                <w:color w:val="auto"/>
                <w:sz w:val="24"/>
                <w:szCs w:val="24"/>
                <w:lang w:val="en-US" w:eastAsia="zh-CN"/>
              </w:rPr>
              <w:t>隔离间隔断。</w:t>
            </w:r>
          </w:p>
          <w:p w14:paraId="511333F7">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危险废物的贮存满足</w:t>
            </w:r>
            <w:r>
              <w:rPr>
                <w:rFonts w:hint="default" w:ascii="Times New Roman" w:hAnsi="Times New Roman" w:eastAsia="宋体" w:cs="Times New Roman"/>
                <w:b w:val="0"/>
                <w:bCs w:val="0"/>
                <w:color w:val="auto"/>
                <w:sz w:val="24"/>
                <w:szCs w:val="24"/>
                <w:u w:val="single"/>
                <w:lang w:val="en-US" w:eastAsia="zh-CN"/>
              </w:rPr>
              <w:t>《危险废物贮存污染控制标准》(GB 18597-2023)</w:t>
            </w:r>
            <w:r>
              <w:rPr>
                <w:rFonts w:hint="default" w:ascii="Times New Roman" w:hAnsi="Times New Roman" w:eastAsia="宋体" w:cs="Times New Roman"/>
                <w:b w:val="0"/>
                <w:bCs w:val="0"/>
                <w:color w:val="auto"/>
                <w:sz w:val="24"/>
                <w:szCs w:val="24"/>
                <w:lang w:val="en-US" w:eastAsia="zh-CN"/>
              </w:rPr>
              <w:t>的相关要求。</w:t>
            </w:r>
          </w:p>
          <w:p w14:paraId="60B76764">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（4）固体废物环境管理要求</w:t>
            </w:r>
          </w:p>
          <w:p w14:paraId="78AE8005">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1）一般固体废物</w:t>
            </w:r>
          </w:p>
          <w:p w14:paraId="6F018E61">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一般固体废物的厂内贮存措施需要严格执行《一般工业固体废物贮存和填埋污染控制标准》（GB18599-2020）中的有关标准，本项目设置一般固体废物的临时贮存区，需要做到以下几点：</w:t>
            </w:r>
          </w:p>
          <w:p w14:paraId="17790E18">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①所选场址应符合当地城乡建设总体规划要求；</w:t>
            </w:r>
          </w:p>
          <w:p w14:paraId="1CE80B6B">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②禁止选在自然保护区、风景名胜区和其他需要特别保护的区域；</w:t>
            </w:r>
          </w:p>
          <w:p w14:paraId="7D345211">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③贮存区的建设类型，必须与将要堆放的一般工业固体废物的类别相一致；</w:t>
            </w:r>
          </w:p>
          <w:p w14:paraId="1E1166F3">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④一般工业固体废物贮存区，禁止危险废物和生活垃圾混入；</w:t>
            </w:r>
          </w:p>
          <w:p w14:paraId="34952619">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⑤贮存区使用单位，应建立检查维护制度；</w:t>
            </w:r>
          </w:p>
          <w:p w14:paraId="7D1664C8">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⑥贮存区的使用单位，应建立档案制度。应将入场的一般工业固体废物的种类和数量以及下列资料，详细记录在案，长期保存，供随时查阅；</w:t>
            </w:r>
          </w:p>
          <w:p w14:paraId="10EACF6B">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⑦贮存区的地面与裙脚用坚固、防渗的材料建造，设置耐渗漏的地面，且表面无裂隙。</w:t>
            </w:r>
          </w:p>
          <w:p w14:paraId="348D1F18">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2）危险废物</w:t>
            </w:r>
          </w:p>
          <w:p w14:paraId="7E699336">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危险废物的厂内贮存措施需要严格执行《危险废物贮存污染控制标准》（GB18597-2023）及2013年修改清单中的有关标准，本项目设置危险废物储存场所，需要做到以下几点：</w:t>
            </w:r>
          </w:p>
          <w:p w14:paraId="747212E7">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①项目危险废物储存场所对各类危险废物的堆存要求较严，危险废物储存场所应根据不同性质的危废进行分区堆放储存；桶装危险废物可集中堆放在某区块，但必须用标签标明该桶所装危险废物名称，且不相容废物不得混合装同一桶内；废包装桶单独堆放，也需用指示牌标明。各分区之间须有明确的界限，并做好防渗、消防等防范措施，储存区必须严格按照《危险废物贮存污染控制标准》（GB 18597-2023）建设和维护使用；</w:t>
            </w:r>
          </w:p>
          <w:p w14:paraId="57FE09D6">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②在常温、常压下易燃、易爆及排出有毒气体的危险废物必须进行预处理，使之稳定后贮存；</w:t>
            </w:r>
          </w:p>
          <w:p w14:paraId="0A7D990C">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③应使用符合标准的容器装危险废物；</w:t>
            </w:r>
          </w:p>
          <w:p w14:paraId="62AC68C8">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u w:val="single"/>
                <w:lang w:val="en-US" w:eastAsia="zh-CN"/>
              </w:rPr>
            </w:pPr>
            <w:r>
              <w:rPr>
                <w:rFonts w:hint="default" w:ascii="Times New Roman" w:hAnsi="Times New Roman" w:eastAsia="宋体" w:cs="Times New Roman"/>
                <w:b w:val="0"/>
                <w:bCs w:val="0"/>
                <w:color w:val="auto"/>
                <w:sz w:val="24"/>
                <w:szCs w:val="24"/>
                <w:u w:val="single"/>
                <w:lang w:val="en-US" w:eastAsia="zh-CN"/>
              </w:rPr>
              <w:t>④不同类别危废用不同容器盛装，并设置隔离带，张贴清晰标签，严禁不相容危废混放；</w:t>
            </w:r>
          </w:p>
          <w:p w14:paraId="0E9CDEF2">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u w:val="single"/>
                <w:lang w:val="en-US" w:eastAsia="zh-CN"/>
              </w:rPr>
            </w:pPr>
            <w:r>
              <w:rPr>
                <w:rFonts w:hint="default" w:ascii="Times New Roman" w:hAnsi="Times New Roman" w:eastAsia="宋体" w:cs="Times New Roman"/>
                <w:b w:val="0"/>
                <w:bCs w:val="0"/>
                <w:color w:val="auto"/>
                <w:sz w:val="24"/>
                <w:szCs w:val="24"/>
                <w:u w:val="single"/>
                <w:lang w:val="en-US" w:eastAsia="zh-CN"/>
              </w:rPr>
              <w:t>⑤地面与墙面用 HDPE 膜等防渗材料铺设，地面硬化并设坡度，设泄漏液收集池或围堰。建筑材料选不燃或难燃材质，装防火门、窗，配消防器材，电气设备防爆；合理设计通风量，及时排出有毒有害气体；</w:t>
            </w:r>
          </w:p>
          <w:p w14:paraId="5A6E1985">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⑥危险废物贮存前应进行检查，并注册登记，做好记录，记录上需注明危险废物的名称、来源、数量、入库日期、存放位置、出库日期及去向；</w:t>
            </w:r>
          </w:p>
          <w:p w14:paraId="7FA45B79">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⑦建立档案管理制度，长期保存供随时查阅；</w:t>
            </w:r>
          </w:p>
          <w:p w14:paraId="74E2A295">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u w:val="single"/>
                <w:lang w:val="en-US" w:eastAsia="zh-CN"/>
              </w:rPr>
            </w:pPr>
            <w:r>
              <w:rPr>
                <w:rFonts w:hint="default" w:ascii="Times New Roman" w:hAnsi="Times New Roman" w:eastAsia="宋体" w:cs="Times New Roman"/>
                <w:b w:val="0"/>
                <w:bCs w:val="0"/>
                <w:color w:val="auto"/>
                <w:sz w:val="24"/>
                <w:szCs w:val="32"/>
                <w:u w:val="single"/>
                <w:lang w:val="en-US" w:eastAsia="zh-CN"/>
              </w:rPr>
              <w:t>⑧管理人员需经专业培训，掌握危废管理知识与技能；</w:t>
            </w:r>
          </w:p>
          <w:p w14:paraId="1887B353">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⑨必须定期对贮存危险废物的容器及设施进行检查，发现破损应及时采取措施清理更换，并做好记录；</w:t>
            </w:r>
          </w:p>
          <w:p w14:paraId="260882D6">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⑩建设单位必须严格遵守有关危险废物有关储存的规定，建立一套完整的仓库管理体制，危险固废应按《危险废物转移联单管理办法》做好申报转移记录。</w:t>
            </w:r>
          </w:p>
          <w:p w14:paraId="4745629A">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3）生活垃圾</w:t>
            </w:r>
          </w:p>
          <w:p w14:paraId="332FEDE8">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项目厂区内设有分类垃圾桶，本项目利用垃圾桶分类暂存生活垃圾，并委托环卫部门每日清运。</w:t>
            </w:r>
          </w:p>
          <w:p w14:paraId="567AAEF2">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项目固废严格按有关规范要求，分类收集、贮存、处理处置。因此，采取上述处理措施后，无外排固体废物，对周围环境影响较小，符合环境保护局有关固体废物应实现零排放的规定。</w:t>
            </w:r>
          </w:p>
          <w:p w14:paraId="26B4B469">
            <w:pPr>
              <w:keepNext w:val="0"/>
              <w:keepLines w:val="0"/>
              <w:pageBreakBefore w:val="0"/>
              <w:widowControl w:val="0"/>
              <w:numPr>
                <w:ilvl w:val="0"/>
                <w:numId w:val="10"/>
              </w:numPr>
              <w:kinsoku/>
              <w:wordWrap/>
              <w:overflowPunct/>
              <w:topLinePunct w:val="0"/>
              <w:autoSpaceDE/>
              <w:autoSpaceDN/>
              <w:bidi w:val="0"/>
              <w:adjustRightInd/>
              <w:snapToGrid/>
              <w:spacing w:before="157" w:beforeLines="50" w:line="360" w:lineRule="auto"/>
              <w:ind w:firstLine="482" w:firstLineChars="200"/>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eastAsia="宋体" w:cs="Times New Roman"/>
                <w:b/>
                <w:bCs/>
                <w:color w:val="auto"/>
                <w:sz w:val="24"/>
                <w:szCs w:val="32"/>
                <w:lang w:val="en-US" w:eastAsia="zh-CN"/>
              </w:rPr>
              <w:t>地下水、土壤</w:t>
            </w:r>
          </w:p>
          <w:p w14:paraId="27AAC98B">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本项目全部建设内容、物料储存转运均位于厂房内，厂房地面采取了硬化防渗措施，从而切断了污染物进入地下水、土壤环境的途径。项目运行过程污染物污染地下水的可能性极小，本次地下水及土壤环境评价以分区防渗防治措施为主。</w:t>
            </w:r>
          </w:p>
          <w:p w14:paraId="47DCCD48">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highlight w:val="none"/>
                <w:lang w:val="en-US" w:eastAsia="zh-CN"/>
              </w:rPr>
            </w:pPr>
            <w:r>
              <w:rPr>
                <w:rFonts w:hint="default" w:ascii="Times New Roman" w:hAnsi="Times New Roman" w:eastAsia="宋体" w:cs="Times New Roman"/>
                <w:b w:val="0"/>
                <w:bCs w:val="0"/>
                <w:color w:val="auto"/>
                <w:sz w:val="24"/>
                <w:szCs w:val="32"/>
                <w:lang w:val="en-US" w:eastAsia="zh-CN"/>
              </w:rPr>
              <w:t>本项目按重点污染防渗区、一般防渗区、简单防渗区分区域进行防渗处理。重点防渗区包括</w:t>
            </w:r>
            <w:r>
              <w:rPr>
                <w:rFonts w:hint="default" w:ascii="Times New Roman" w:hAnsi="Times New Roman" w:eastAsia="宋体" w:cs="Times New Roman"/>
                <w:b w:val="0"/>
                <w:bCs w:val="0"/>
                <w:color w:val="auto"/>
                <w:sz w:val="24"/>
                <w:szCs w:val="32"/>
                <w:highlight w:val="none"/>
                <w:lang w:val="en-US" w:eastAsia="zh-CN"/>
              </w:rPr>
              <w:t>危废暂存间</w:t>
            </w:r>
            <w:r>
              <w:rPr>
                <w:rFonts w:hint="default" w:ascii="Times New Roman" w:hAnsi="Times New Roman" w:eastAsia="宋体" w:cs="Times New Roman"/>
                <w:b w:val="0"/>
                <w:bCs w:val="0"/>
                <w:color w:val="auto"/>
                <w:sz w:val="24"/>
                <w:szCs w:val="32"/>
                <w:lang w:val="en-US" w:eastAsia="zh-CN"/>
              </w:rPr>
              <w:t>、物料仓库区防爆柜区域；</w:t>
            </w:r>
            <w:r>
              <w:rPr>
                <w:rFonts w:hint="default" w:ascii="Times New Roman" w:hAnsi="Times New Roman" w:eastAsia="宋体" w:cs="Times New Roman"/>
                <w:b w:val="0"/>
                <w:bCs w:val="0"/>
                <w:color w:val="auto"/>
                <w:sz w:val="24"/>
                <w:szCs w:val="32"/>
                <w:highlight w:val="none"/>
                <w:lang w:val="en-US" w:eastAsia="zh-CN"/>
              </w:rPr>
              <w:t>一般防渗区包括生产区、其他库房、物流通道等区域；简单防渗区包括办公区等。参照《环境影响评价技术导则 地下水环境》（HJ610-2016）及《石油化工防渗工程技术规范》（GB/T50934-2013）相关要求，结合厂区实际，采取如下防渗措施：</w:t>
            </w:r>
          </w:p>
          <w:p w14:paraId="12D9556C">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highlight w:val="none"/>
                <w:lang w:val="en-US" w:eastAsia="zh-CN"/>
              </w:rPr>
              <w:t>危废暂存间、物料仓库区防爆柜区域</w:t>
            </w:r>
            <w:r>
              <w:rPr>
                <w:rFonts w:hint="default" w:ascii="Times New Roman" w:hAnsi="Times New Roman" w:eastAsia="宋体" w:cs="Times New Roman"/>
                <w:b w:val="0"/>
                <w:bCs w:val="0"/>
                <w:color w:val="auto"/>
                <w:sz w:val="24"/>
                <w:szCs w:val="32"/>
                <w:lang w:val="en-US" w:eastAsia="zh-CN"/>
              </w:rPr>
              <w:t>等重点防渗区的防渗性能应与6.0m厚粘土层（渗透系数≤1.0×10</w:t>
            </w:r>
            <w:r>
              <w:rPr>
                <w:rFonts w:hint="default" w:ascii="Times New Roman" w:hAnsi="Times New Roman" w:eastAsia="宋体" w:cs="Times New Roman"/>
                <w:b w:val="0"/>
                <w:bCs w:val="0"/>
                <w:color w:val="auto"/>
                <w:sz w:val="24"/>
                <w:szCs w:val="32"/>
                <w:vertAlign w:val="superscript"/>
                <w:lang w:val="en-US" w:eastAsia="zh-CN"/>
              </w:rPr>
              <w:t>-10</w:t>
            </w:r>
            <w:r>
              <w:rPr>
                <w:rFonts w:hint="default" w:ascii="Times New Roman" w:hAnsi="Times New Roman" w:eastAsia="宋体" w:cs="Times New Roman"/>
                <w:b w:val="0"/>
                <w:bCs w:val="0"/>
                <w:color w:val="auto"/>
                <w:sz w:val="24"/>
                <w:szCs w:val="32"/>
                <w:lang w:val="en-US" w:eastAsia="zh-CN"/>
              </w:rPr>
              <w:t>cm/s）等效。</w:t>
            </w:r>
          </w:p>
          <w:p w14:paraId="295CA9A4">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生产区、其他库房、物流通道等一般防渗区的防渗性能应与1.5m厚粘土层（渗透系数≤1.0×10</w:t>
            </w:r>
            <w:r>
              <w:rPr>
                <w:rFonts w:hint="default" w:ascii="Times New Roman" w:hAnsi="Times New Roman" w:eastAsia="宋体" w:cs="Times New Roman"/>
                <w:b w:val="0"/>
                <w:bCs w:val="0"/>
                <w:color w:val="auto"/>
                <w:sz w:val="24"/>
                <w:szCs w:val="32"/>
                <w:vertAlign w:val="superscript"/>
                <w:lang w:val="en-US" w:eastAsia="zh-CN"/>
              </w:rPr>
              <w:t>-7</w:t>
            </w:r>
            <w:r>
              <w:rPr>
                <w:rFonts w:hint="default" w:ascii="Times New Roman" w:hAnsi="Times New Roman" w:eastAsia="宋体" w:cs="Times New Roman"/>
                <w:b w:val="0"/>
                <w:bCs w:val="0"/>
                <w:color w:val="auto"/>
                <w:sz w:val="24"/>
                <w:szCs w:val="32"/>
                <w:lang w:val="en-US" w:eastAsia="zh-CN"/>
              </w:rPr>
              <w:t>cm/s）等效。</w:t>
            </w:r>
          </w:p>
          <w:p w14:paraId="48E2C249">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办公区等简单防渗区应全部进行硬化处理。</w:t>
            </w:r>
          </w:p>
          <w:p w14:paraId="2DA3817C">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此外，加强厂区防渗、防腐设施的检查、维修力度，确保防渗措施有效。</w:t>
            </w:r>
          </w:p>
          <w:p w14:paraId="2BE97911">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本项目污染防渗分区一览表见表4-14。</w:t>
            </w:r>
          </w:p>
          <w:p w14:paraId="20F501A7">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表4-14 项目污染防渗分区一览表</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5"/>
              <w:gridCol w:w="2340"/>
              <w:gridCol w:w="4104"/>
            </w:tblGrid>
            <w:tr w14:paraId="0FFF6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05" w:type="dxa"/>
                  <w:vAlign w:val="center"/>
                </w:tcPr>
                <w:p w14:paraId="6D1D32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防渗分区</w:t>
                  </w:r>
                </w:p>
              </w:tc>
              <w:tc>
                <w:tcPr>
                  <w:tcW w:w="2340" w:type="dxa"/>
                  <w:vAlign w:val="center"/>
                </w:tcPr>
                <w:p w14:paraId="6AECB6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工程内容</w:t>
                  </w:r>
                </w:p>
              </w:tc>
              <w:tc>
                <w:tcPr>
                  <w:tcW w:w="4104" w:type="dxa"/>
                  <w:vAlign w:val="center"/>
                </w:tcPr>
                <w:p w14:paraId="2E460B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防渗措施</w:t>
                  </w:r>
                </w:p>
              </w:tc>
            </w:tr>
            <w:tr w14:paraId="29044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505" w:type="dxa"/>
                  <w:vAlign w:val="center"/>
                </w:tcPr>
                <w:p w14:paraId="2D9E66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重点防渗区</w:t>
                  </w:r>
                </w:p>
              </w:tc>
              <w:tc>
                <w:tcPr>
                  <w:tcW w:w="2340" w:type="dxa"/>
                  <w:vAlign w:val="center"/>
                </w:tcPr>
                <w:p w14:paraId="66CC2B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危废暂存间、</w:t>
                  </w:r>
                  <w:r>
                    <w:rPr>
                      <w:rFonts w:hint="default" w:ascii="Times New Roman" w:hAnsi="Times New Roman" w:eastAsia="宋体" w:cs="Times New Roman"/>
                      <w:b w:val="0"/>
                      <w:bCs w:val="0"/>
                      <w:color w:val="auto"/>
                      <w:highlight w:val="none"/>
                      <w:lang w:val="en-US" w:eastAsia="zh-CN"/>
                    </w:rPr>
                    <w:t>物料仓库区防爆柜区域</w:t>
                  </w:r>
                </w:p>
              </w:tc>
              <w:tc>
                <w:tcPr>
                  <w:tcW w:w="4104" w:type="dxa"/>
                  <w:vAlign w:val="center"/>
                </w:tcPr>
                <w:p w14:paraId="0C6677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重点防渗区的防渗性能应与6.0m厚粘土层（渗透系数≤1.0×10</w:t>
                  </w:r>
                  <w:r>
                    <w:rPr>
                      <w:rFonts w:hint="default" w:ascii="Times New Roman" w:hAnsi="Times New Roman" w:eastAsia="宋体" w:cs="Times New Roman"/>
                      <w:b w:val="0"/>
                      <w:bCs w:val="0"/>
                      <w:color w:val="auto"/>
                      <w:vertAlign w:val="superscript"/>
                      <w:lang w:val="en-US" w:eastAsia="zh-CN"/>
                    </w:rPr>
                    <w:t>-10</w:t>
                  </w:r>
                  <w:r>
                    <w:rPr>
                      <w:rFonts w:hint="default" w:ascii="Times New Roman" w:hAnsi="Times New Roman" w:eastAsia="宋体" w:cs="Times New Roman"/>
                      <w:b w:val="0"/>
                      <w:bCs w:val="0"/>
                      <w:color w:val="auto"/>
                      <w:vertAlign w:val="baseline"/>
                      <w:lang w:val="en-US" w:eastAsia="zh-CN"/>
                    </w:rPr>
                    <w:t>cm/s）等效</w:t>
                  </w:r>
                </w:p>
              </w:tc>
            </w:tr>
            <w:tr w14:paraId="74061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505" w:type="dxa"/>
                  <w:vAlign w:val="center"/>
                </w:tcPr>
                <w:p w14:paraId="61C4A87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一般防渗区</w:t>
                  </w:r>
                </w:p>
              </w:tc>
              <w:tc>
                <w:tcPr>
                  <w:tcW w:w="2340" w:type="dxa"/>
                  <w:vAlign w:val="center"/>
                </w:tcPr>
                <w:p w14:paraId="307168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生产区、其他库房、物流通道等</w:t>
                  </w:r>
                </w:p>
              </w:tc>
              <w:tc>
                <w:tcPr>
                  <w:tcW w:w="4104" w:type="dxa"/>
                  <w:vAlign w:val="center"/>
                </w:tcPr>
                <w:p w14:paraId="116AF4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一般防渗区的防渗性能应与1.5m厚粘土层（渗透系数≤1.0×10</w:t>
                  </w:r>
                  <w:r>
                    <w:rPr>
                      <w:rFonts w:hint="default" w:ascii="Times New Roman" w:hAnsi="Times New Roman" w:eastAsia="宋体" w:cs="Times New Roman"/>
                      <w:b w:val="0"/>
                      <w:bCs w:val="0"/>
                      <w:color w:val="auto"/>
                      <w:vertAlign w:val="superscript"/>
                      <w:lang w:val="en-US" w:eastAsia="zh-CN"/>
                    </w:rPr>
                    <w:t>-7</w:t>
                  </w:r>
                  <w:r>
                    <w:rPr>
                      <w:rFonts w:hint="default" w:ascii="Times New Roman" w:hAnsi="Times New Roman" w:eastAsia="宋体" w:cs="Times New Roman"/>
                      <w:b w:val="0"/>
                      <w:bCs w:val="0"/>
                      <w:color w:val="auto"/>
                      <w:vertAlign w:val="baseline"/>
                      <w:lang w:val="en-US" w:eastAsia="zh-CN"/>
                    </w:rPr>
                    <w:t>cm/s）等效</w:t>
                  </w:r>
                </w:p>
              </w:tc>
            </w:tr>
            <w:tr w14:paraId="037A2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505" w:type="dxa"/>
                  <w:vAlign w:val="center"/>
                </w:tcPr>
                <w:p w14:paraId="58F119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简单防渗区</w:t>
                  </w:r>
                </w:p>
              </w:tc>
              <w:tc>
                <w:tcPr>
                  <w:tcW w:w="2340" w:type="dxa"/>
                  <w:vAlign w:val="center"/>
                </w:tcPr>
                <w:p w14:paraId="0F360D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办公区等</w:t>
                  </w:r>
                </w:p>
              </w:tc>
              <w:tc>
                <w:tcPr>
                  <w:tcW w:w="4104" w:type="dxa"/>
                  <w:vAlign w:val="center"/>
                </w:tcPr>
                <w:p w14:paraId="29BA4B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一般混凝土硬化</w:t>
                  </w:r>
                </w:p>
              </w:tc>
            </w:tr>
          </w:tbl>
          <w:p w14:paraId="624C1361">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采取以上措施后，项目不会对地下水、土壤造成明显不利的影响。</w:t>
            </w:r>
          </w:p>
          <w:p w14:paraId="4E5BEFBF">
            <w:pPr>
              <w:keepNext w:val="0"/>
              <w:keepLines w:val="0"/>
              <w:pageBreakBefore w:val="0"/>
              <w:widowControl w:val="0"/>
              <w:numPr>
                <w:ilvl w:val="0"/>
                <w:numId w:val="10"/>
              </w:numPr>
              <w:kinsoku/>
              <w:wordWrap/>
              <w:overflowPunct/>
              <w:topLinePunct w:val="0"/>
              <w:autoSpaceDE/>
              <w:autoSpaceDN/>
              <w:bidi w:val="0"/>
              <w:adjustRightInd/>
              <w:snapToGrid/>
              <w:spacing w:before="157" w:beforeLines="50" w:line="360" w:lineRule="auto"/>
              <w:ind w:firstLine="482" w:firstLineChars="200"/>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eastAsia="宋体" w:cs="Times New Roman"/>
                <w:b/>
                <w:bCs/>
                <w:color w:val="auto"/>
                <w:sz w:val="24"/>
                <w:szCs w:val="32"/>
                <w:lang w:val="en-US" w:eastAsia="zh-CN"/>
              </w:rPr>
              <w:t>生态</w:t>
            </w:r>
          </w:p>
          <w:p w14:paraId="2F030FBA">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本项目位于衡阳市高新区衡山科学城半导体产业园，利用一栋现有厂房进行建设，项目所在地没有珍稀物种，也没有自然保护区等环境敏感区，不会影响生物多样性。相对整个评价区域来说，项目建设基本不会对区域生态环境产生影响。</w:t>
            </w:r>
          </w:p>
          <w:p w14:paraId="1B17CEF0">
            <w:pPr>
              <w:keepNext w:val="0"/>
              <w:keepLines w:val="0"/>
              <w:pageBreakBefore w:val="0"/>
              <w:widowControl w:val="0"/>
              <w:numPr>
                <w:ilvl w:val="0"/>
                <w:numId w:val="10"/>
              </w:numPr>
              <w:kinsoku/>
              <w:wordWrap/>
              <w:overflowPunct/>
              <w:topLinePunct w:val="0"/>
              <w:autoSpaceDE/>
              <w:autoSpaceDN/>
              <w:bidi w:val="0"/>
              <w:adjustRightInd/>
              <w:snapToGrid/>
              <w:spacing w:before="157" w:beforeLines="50" w:line="360" w:lineRule="auto"/>
              <w:ind w:firstLine="482" w:firstLineChars="200"/>
              <w:textAlignment w:val="auto"/>
              <w:rPr>
                <w:rFonts w:hint="default" w:ascii="Times New Roman" w:hAnsi="Times New Roman" w:eastAsia="宋体" w:cs="Times New Roman"/>
                <w:b/>
                <w:bCs/>
                <w:color w:val="auto"/>
                <w:sz w:val="24"/>
                <w:szCs w:val="32"/>
                <w:u w:val="single"/>
                <w:lang w:val="en-US" w:eastAsia="zh-CN"/>
              </w:rPr>
            </w:pPr>
            <w:r>
              <w:rPr>
                <w:rFonts w:hint="default" w:ascii="Times New Roman" w:hAnsi="Times New Roman" w:eastAsia="宋体" w:cs="Times New Roman"/>
                <w:b/>
                <w:bCs/>
                <w:color w:val="auto"/>
                <w:sz w:val="24"/>
                <w:szCs w:val="32"/>
                <w:u w:val="single"/>
                <w:lang w:val="en-US" w:eastAsia="zh-CN"/>
              </w:rPr>
              <w:t>环境风险分析</w:t>
            </w:r>
          </w:p>
          <w:p w14:paraId="2721B534">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根据原国家环保部《关于进一步加强环境影响评价管理防范环境风险的通知》（国家环保部环发〔2012〕77号）及生态环境部发布的《建设项目环境风险评价技术导则》（HJ169-2018）要求，对于涉及有毒有害和易燃易爆物质的生产、使用、储存（包括使用管线输运）的建设项目进行风险评价。</w:t>
            </w:r>
          </w:p>
          <w:p w14:paraId="771F2D34">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（1）环境风险物质</w:t>
            </w:r>
          </w:p>
          <w:p w14:paraId="7D1CF36D">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根据《建设项目环境风险评价技术导则》（HJ/T169-2018）附录B中的风险物质，本项目运营过程中涉及到的风险物质</w:t>
            </w:r>
            <w:r>
              <w:rPr>
                <w:rFonts w:hint="default" w:ascii="Times New Roman" w:hAnsi="Times New Roman" w:eastAsia="宋体" w:cs="Times New Roman"/>
                <w:b w:val="0"/>
                <w:bCs w:val="0"/>
                <w:color w:val="auto"/>
                <w:sz w:val="24"/>
                <w:szCs w:val="32"/>
                <w:highlight w:val="none"/>
                <w:lang w:val="en-US" w:eastAsia="zh-CN"/>
              </w:rPr>
              <w:t>主要有酒精、三防UV胶、清洗剂、脱漆剂等</w:t>
            </w:r>
            <w:r>
              <w:rPr>
                <w:rFonts w:hint="default" w:ascii="Times New Roman" w:hAnsi="Times New Roman" w:eastAsia="宋体" w:cs="Times New Roman"/>
                <w:b w:val="0"/>
                <w:bCs w:val="0"/>
                <w:color w:val="auto"/>
                <w:sz w:val="24"/>
                <w:szCs w:val="32"/>
                <w:lang w:val="en-US" w:eastAsia="zh-CN"/>
              </w:rPr>
              <w:t>。根据《建设项目竣工环境保护验收技术指南 污染影响类》（试行），有毒有害和易燃易爆危险物质存储量未超过临界量，不需开展环境风险专项评价，本项目环境风险评价重点为：明确有毒有害和易燃易爆等危险物质和风险源的分布情况及可能影响途径，并提出相应环境风险防范措施。</w:t>
            </w:r>
          </w:p>
          <w:p w14:paraId="50D4A633">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u w:val="single"/>
                <w:lang w:val="en-US" w:eastAsia="zh-CN"/>
              </w:rPr>
            </w:pPr>
            <w:r>
              <w:rPr>
                <w:rFonts w:hint="default" w:ascii="Times New Roman" w:hAnsi="Times New Roman" w:eastAsia="宋体" w:cs="Times New Roman"/>
                <w:b w:val="0"/>
                <w:bCs w:val="0"/>
                <w:color w:val="auto"/>
                <w:sz w:val="24"/>
                <w:szCs w:val="32"/>
                <w:u w:val="single"/>
                <w:lang w:val="en-US" w:eastAsia="zh-CN"/>
              </w:rPr>
              <w:t>（2）风险物质识别和潜势初判</w:t>
            </w:r>
          </w:p>
          <w:p w14:paraId="161B72E5">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u w:val="single"/>
                <w:lang w:val="en-US" w:eastAsia="zh-CN"/>
              </w:rPr>
            </w:pPr>
            <w:r>
              <w:rPr>
                <w:rFonts w:hint="default" w:ascii="Times New Roman" w:hAnsi="Times New Roman" w:eastAsia="宋体" w:cs="Times New Roman"/>
                <w:b w:val="0"/>
                <w:bCs w:val="0"/>
                <w:color w:val="auto"/>
                <w:sz w:val="24"/>
                <w:szCs w:val="32"/>
                <w:u w:val="single"/>
                <w:lang w:val="en-US" w:eastAsia="zh-CN"/>
              </w:rPr>
              <w:t>通过对项目在生产过程中使用的物质、各工艺系统的危险性进行识别，分析周边环境的敏感性，对项目的风险潜势进行初判，确定评价等级。</w:t>
            </w:r>
          </w:p>
          <w:p w14:paraId="5113E46F">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u w:val="single"/>
                <w:lang w:val="en-US" w:eastAsia="zh-CN"/>
              </w:rPr>
            </w:pPr>
            <w:r>
              <w:rPr>
                <w:rFonts w:hint="default" w:ascii="Times New Roman" w:hAnsi="Times New Roman" w:eastAsia="宋体" w:cs="Times New Roman"/>
                <w:b w:val="0"/>
                <w:bCs w:val="0"/>
                <w:color w:val="auto"/>
                <w:sz w:val="24"/>
                <w:szCs w:val="32"/>
                <w:u w:val="single"/>
                <w:lang w:val="en-US" w:eastAsia="zh-CN"/>
              </w:rPr>
              <w:t>①风险源识别</w:t>
            </w:r>
          </w:p>
          <w:p w14:paraId="1AF637D0">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u w:val="single"/>
                <w:lang w:val="en-US" w:eastAsia="zh-CN"/>
              </w:rPr>
            </w:pPr>
            <w:r>
              <w:rPr>
                <w:rFonts w:hint="default" w:ascii="Times New Roman" w:hAnsi="Times New Roman" w:eastAsia="宋体" w:cs="Times New Roman"/>
                <w:b w:val="0"/>
                <w:bCs w:val="0"/>
                <w:color w:val="auto"/>
                <w:sz w:val="24"/>
                <w:szCs w:val="32"/>
                <w:u w:val="single"/>
                <w:lang w:val="en-US" w:eastAsia="zh-CN"/>
              </w:rPr>
              <w:t>根据对项目的原辅材料、中间产物和产品等进行分析，本项目生产过程中涉及的危险化学品有三防UV胶、酒精、水基清洗剂、稀释剂、脱漆剂和三防漆。</w:t>
            </w:r>
          </w:p>
          <w:p w14:paraId="1270BD68">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u w:val="single"/>
                <w:lang w:val="en-US" w:eastAsia="zh-CN"/>
              </w:rPr>
            </w:pPr>
            <w:r>
              <w:rPr>
                <w:rFonts w:hint="default" w:ascii="Times New Roman" w:hAnsi="Times New Roman" w:eastAsia="宋体" w:cs="Times New Roman"/>
                <w:b w:val="0"/>
                <w:bCs w:val="0"/>
                <w:color w:val="auto"/>
                <w:sz w:val="24"/>
                <w:szCs w:val="32"/>
                <w:u w:val="single"/>
                <w:lang w:val="en-US" w:eastAsia="zh-CN"/>
              </w:rPr>
              <w:t>②风险潜势初判</w:t>
            </w:r>
          </w:p>
          <w:p w14:paraId="75F8E88A">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highlight w:val="none"/>
                <w:u w:val="single"/>
                <w:lang w:val="en-US" w:eastAsia="zh-CN"/>
              </w:rPr>
            </w:pPr>
            <w:r>
              <w:rPr>
                <w:rFonts w:hint="default" w:ascii="Times New Roman" w:hAnsi="Times New Roman" w:eastAsia="宋体" w:cs="Times New Roman"/>
                <w:b w:val="0"/>
                <w:bCs w:val="0"/>
                <w:color w:val="auto"/>
                <w:sz w:val="24"/>
                <w:szCs w:val="32"/>
                <w:highlight w:val="none"/>
                <w:u w:val="single"/>
                <w:lang w:val="en-US" w:eastAsia="zh-CN"/>
              </w:rPr>
              <w:t>根据《建设项目环境风险评价技术导则》（HJ/T 169-2018）附录B.2 表“其他危险物质临界量推荐”，结合各种物质的理化性质及毒理毒性，对项目涉及的危险物质的临界量，定量分析危险物质数量与临界量的比值（Q）和所属行业及生产工艺特点（M），按附录 C 对危险物质及工艺系统危险性（P）等级进行判断。</w:t>
            </w:r>
          </w:p>
          <w:p w14:paraId="10EF76CE">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u w:val="single"/>
                <w:lang w:val="en-US" w:eastAsia="zh-CN"/>
              </w:rPr>
            </w:pPr>
            <w:r>
              <w:rPr>
                <w:rFonts w:hint="default" w:ascii="Times New Roman" w:hAnsi="Times New Roman" w:eastAsia="宋体" w:cs="Times New Roman"/>
                <w:b w:val="0"/>
                <w:bCs w:val="0"/>
                <w:color w:val="auto"/>
                <w:sz w:val="24"/>
                <w:szCs w:val="32"/>
                <w:u w:val="single"/>
                <w:lang w:val="en-US" w:eastAsia="zh-CN"/>
              </w:rPr>
              <w:t>当存在多种危险物质时，按下列公式计算物质总量与其临界量 Q：可识别出厂内的环境风险物质。</w:t>
            </w:r>
          </w:p>
          <w:p w14:paraId="461A00E5">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val="0"/>
                <w:bCs w:val="0"/>
                <w:color w:val="auto"/>
                <w:sz w:val="24"/>
                <w:szCs w:val="32"/>
                <w:u w:val="single"/>
                <w:lang w:val="en-US" w:eastAsia="zh-CN"/>
              </w:rPr>
            </w:pPr>
            <m:oMathPara>
              <m:oMath>
                <m:r>
                  <m:rPr>
                    <m:sty m:val="p"/>
                  </m:rPr>
                  <w:rPr>
                    <w:rFonts w:hint="default" w:ascii="Cambria Math" w:hAnsi="Cambria Math" w:eastAsia="宋体" w:cs="Times New Roman"/>
                    <w:color w:val="auto"/>
                    <w:kern w:val="2"/>
                    <w:sz w:val="24"/>
                    <w:szCs w:val="32"/>
                    <w:u w:val="single"/>
                    <w:lang w:val="en-US" w:eastAsia="zh-CN" w:bidi="ar-SA"/>
                  </w:rPr>
                  <m:t>Q=</m:t>
                </m:r>
                <m:f>
                  <m:fPr>
                    <m:ctrlPr>
                      <w:rPr>
                        <w:rFonts w:hint="default" w:ascii="Cambria Math" w:hAnsi="Cambria Math" w:eastAsia="宋体" w:cs="Times New Roman"/>
                        <w:b w:val="0"/>
                        <w:bCs w:val="0"/>
                        <w:color w:val="auto"/>
                        <w:kern w:val="2"/>
                        <w:sz w:val="24"/>
                        <w:szCs w:val="32"/>
                        <w:u w:val="single"/>
                        <w:lang w:val="en-US" w:eastAsia="zh-CN" w:bidi="ar-SA"/>
                      </w:rPr>
                    </m:ctrlPr>
                  </m:fPr>
                  <m:num>
                    <m:sSub>
                      <m:sSubPr>
                        <m:ctrlPr>
                          <w:rPr>
                            <w:rFonts w:hint="default" w:ascii="Cambria Math" w:hAnsi="Cambria Math" w:eastAsia="宋体" w:cs="Times New Roman"/>
                            <w:b w:val="0"/>
                            <w:bCs w:val="0"/>
                            <w:color w:val="auto"/>
                            <w:kern w:val="2"/>
                            <w:sz w:val="24"/>
                            <w:szCs w:val="32"/>
                            <w:u w:val="single"/>
                            <w:lang w:val="en-US" w:eastAsia="zh-CN" w:bidi="ar-SA"/>
                          </w:rPr>
                        </m:ctrlPr>
                      </m:sSubPr>
                      <m:e>
                        <m:r>
                          <m:rPr>
                            <m:sty m:val="p"/>
                          </m:rPr>
                          <w:rPr>
                            <w:rFonts w:hint="default" w:ascii="Cambria Math" w:hAnsi="Cambria Math" w:eastAsia="宋体" w:cs="Times New Roman"/>
                            <w:color w:val="auto"/>
                            <w:kern w:val="2"/>
                            <w:sz w:val="24"/>
                            <w:szCs w:val="32"/>
                            <w:u w:val="single"/>
                            <w:lang w:val="en-US" w:eastAsia="zh-CN" w:bidi="ar-SA"/>
                          </w:rPr>
                          <m:t>q</m:t>
                        </m:r>
                        <m:ctrlPr>
                          <w:rPr>
                            <w:rFonts w:hint="default" w:ascii="Cambria Math" w:hAnsi="Cambria Math" w:eastAsia="宋体" w:cs="Times New Roman"/>
                            <w:b w:val="0"/>
                            <w:bCs w:val="0"/>
                            <w:color w:val="auto"/>
                            <w:kern w:val="2"/>
                            <w:sz w:val="24"/>
                            <w:szCs w:val="32"/>
                            <w:u w:val="single"/>
                            <w:lang w:val="en-US" w:eastAsia="zh-CN" w:bidi="ar-SA"/>
                          </w:rPr>
                        </m:ctrlPr>
                      </m:e>
                      <m:sub>
                        <m:r>
                          <m:rPr>
                            <m:sty m:val="p"/>
                          </m:rPr>
                          <w:rPr>
                            <w:rFonts w:hint="default" w:ascii="Cambria Math" w:hAnsi="Cambria Math" w:eastAsia="宋体" w:cs="Times New Roman"/>
                            <w:color w:val="auto"/>
                            <w:kern w:val="2"/>
                            <w:sz w:val="24"/>
                            <w:szCs w:val="32"/>
                            <w:u w:val="single"/>
                            <w:lang w:val="en-US" w:eastAsia="zh-CN" w:bidi="ar-SA"/>
                          </w:rPr>
                          <m:t>1</m:t>
                        </m:r>
                        <m:ctrlPr>
                          <w:rPr>
                            <w:rFonts w:hint="default" w:ascii="Cambria Math" w:hAnsi="Cambria Math" w:eastAsia="宋体" w:cs="Times New Roman"/>
                            <w:b w:val="0"/>
                            <w:bCs w:val="0"/>
                            <w:color w:val="auto"/>
                            <w:kern w:val="2"/>
                            <w:sz w:val="24"/>
                            <w:szCs w:val="32"/>
                            <w:u w:val="single"/>
                            <w:lang w:val="en-US" w:eastAsia="zh-CN" w:bidi="ar-SA"/>
                          </w:rPr>
                        </m:ctrlPr>
                      </m:sub>
                    </m:sSub>
                    <m:ctrlPr>
                      <w:rPr>
                        <w:rFonts w:hint="default" w:ascii="Cambria Math" w:hAnsi="Cambria Math" w:eastAsia="宋体" w:cs="Times New Roman"/>
                        <w:b w:val="0"/>
                        <w:bCs w:val="0"/>
                        <w:color w:val="auto"/>
                        <w:kern w:val="2"/>
                        <w:sz w:val="24"/>
                        <w:szCs w:val="32"/>
                        <w:u w:val="single"/>
                        <w:lang w:val="en-US" w:eastAsia="zh-CN" w:bidi="ar-SA"/>
                      </w:rPr>
                    </m:ctrlPr>
                  </m:num>
                  <m:den>
                    <m:sSub>
                      <m:sSubPr>
                        <m:ctrlPr>
                          <w:rPr>
                            <w:rFonts w:hint="default" w:ascii="Cambria Math" w:hAnsi="Cambria Math" w:eastAsia="宋体" w:cs="Times New Roman"/>
                            <w:b w:val="0"/>
                            <w:bCs w:val="0"/>
                            <w:color w:val="auto"/>
                            <w:kern w:val="2"/>
                            <w:sz w:val="24"/>
                            <w:szCs w:val="32"/>
                            <w:u w:val="single"/>
                            <w:lang w:val="en-US" w:eastAsia="zh-CN" w:bidi="ar-SA"/>
                          </w:rPr>
                        </m:ctrlPr>
                      </m:sSubPr>
                      <m:e>
                        <m:r>
                          <m:rPr>
                            <m:sty m:val="p"/>
                          </m:rPr>
                          <w:rPr>
                            <w:rFonts w:hint="default" w:ascii="Cambria Math" w:hAnsi="Cambria Math" w:eastAsia="宋体" w:cs="Times New Roman"/>
                            <w:color w:val="auto"/>
                            <w:kern w:val="2"/>
                            <w:sz w:val="24"/>
                            <w:szCs w:val="32"/>
                            <w:u w:val="single"/>
                            <w:lang w:val="en-US" w:eastAsia="zh-CN" w:bidi="ar-SA"/>
                          </w:rPr>
                          <m:t>Q</m:t>
                        </m:r>
                        <m:ctrlPr>
                          <w:rPr>
                            <w:rFonts w:hint="default" w:ascii="Cambria Math" w:hAnsi="Cambria Math" w:eastAsia="宋体" w:cs="Times New Roman"/>
                            <w:b w:val="0"/>
                            <w:bCs w:val="0"/>
                            <w:color w:val="auto"/>
                            <w:kern w:val="2"/>
                            <w:sz w:val="24"/>
                            <w:szCs w:val="32"/>
                            <w:u w:val="single"/>
                            <w:lang w:val="en-US" w:eastAsia="zh-CN" w:bidi="ar-SA"/>
                          </w:rPr>
                        </m:ctrlPr>
                      </m:e>
                      <m:sub>
                        <m:r>
                          <m:rPr>
                            <m:sty m:val="p"/>
                          </m:rPr>
                          <w:rPr>
                            <w:rFonts w:hint="default" w:ascii="Cambria Math" w:hAnsi="Cambria Math" w:eastAsia="宋体" w:cs="Times New Roman"/>
                            <w:color w:val="auto"/>
                            <w:kern w:val="2"/>
                            <w:sz w:val="24"/>
                            <w:szCs w:val="32"/>
                            <w:u w:val="single"/>
                            <w:lang w:val="en-US" w:eastAsia="zh-CN" w:bidi="ar-SA"/>
                          </w:rPr>
                          <m:t>1</m:t>
                        </m:r>
                        <m:ctrlPr>
                          <w:rPr>
                            <w:rFonts w:hint="default" w:ascii="Cambria Math" w:hAnsi="Cambria Math" w:eastAsia="宋体" w:cs="Times New Roman"/>
                            <w:b w:val="0"/>
                            <w:bCs w:val="0"/>
                            <w:color w:val="auto"/>
                            <w:kern w:val="2"/>
                            <w:sz w:val="24"/>
                            <w:szCs w:val="32"/>
                            <w:u w:val="single"/>
                            <w:lang w:val="en-US" w:eastAsia="zh-CN" w:bidi="ar-SA"/>
                          </w:rPr>
                        </m:ctrlPr>
                      </m:sub>
                    </m:sSub>
                    <m:ctrlPr>
                      <w:rPr>
                        <w:rFonts w:hint="default" w:ascii="Cambria Math" w:hAnsi="Cambria Math" w:eastAsia="宋体" w:cs="Times New Roman"/>
                        <w:b w:val="0"/>
                        <w:bCs w:val="0"/>
                        <w:color w:val="auto"/>
                        <w:kern w:val="2"/>
                        <w:sz w:val="24"/>
                        <w:szCs w:val="32"/>
                        <w:u w:val="single"/>
                        <w:lang w:val="en-US" w:eastAsia="zh-CN" w:bidi="ar-SA"/>
                      </w:rPr>
                    </m:ctrlPr>
                  </m:den>
                </m:f>
                <m:r>
                  <m:rPr>
                    <m:sty m:val="p"/>
                  </m:rPr>
                  <w:rPr>
                    <w:rFonts w:hint="default" w:ascii="Cambria Math" w:hAnsi="Cambria Math" w:eastAsia="宋体" w:cs="Times New Roman"/>
                    <w:color w:val="auto"/>
                    <w:kern w:val="2"/>
                    <w:sz w:val="24"/>
                    <w:szCs w:val="32"/>
                    <w:u w:val="single"/>
                    <w:lang w:val="en-US" w:eastAsia="zh-CN" w:bidi="ar-SA"/>
                  </w:rPr>
                  <m:t>+</m:t>
                </m:r>
                <m:f>
                  <m:fPr>
                    <m:ctrlPr>
                      <w:rPr>
                        <w:rFonts w:hint="default" w:ascii="Cambria Math" w:hAnsi="Cambria Math" w:eastAsia="宋体" w:cs="Times New Roman"/>
                        <w:b w:val="0"/>
                        <w:bCs w:val="0"/>
                        <w:color w:val="auto"/>
                        <w:kern w:val="2"/>
                        <w:sz w:val="24"/>
                        <w:szCs w:val="32"/>
                        <w:u w:val="single"/>
                        <w:lang w:val="en-US" w:eastAsia="zh-CN" w:bidi="ar-SA"/>
                      </w:rPr>
                    </m:ctrlPr>
                  </m:fPr>
                  <m:num>
                    <m:sSub>
                      <m:sSubPr>
                        <m:ctrlPr>
                          <w:rPr>
                            <w:rFonts w:hint="default" w:ascii="Cambria Math" w:hAnsi="Cambria Math" w:eastAsia="宋体" w:cs="Times New Roman"/>
                            <w:b w:val="0"/>
                            <w:bCs w:val="0"/>
                            <w:color w:val="auto"/>
                            <w:kern w:val="2"/>
                            <w:sz w:val="24"/>
                            <w:szCs w:val="32"/>
                            <w:u w:val="single"/>
                            <w:lang w:val="en-US" w:eastAsia="zh-CN" w:bidi="ar-SA"/>
                          </w:rPr>
                        </m:ctrlPr>
                      </m:sSubPr>
                      <m:e>
                        <m:r>
                          <m:rPr>
                            <m:sty m:val="p"/>
                          </m:rPr>
                          <w:rPr>
                            <w:rFonts w:hint="default" w:ascii="Cambria Math" w:hAnsi="Cambria Math" w:eastAsia="宋体" w:cs="Times New Roman"/>
                            <w:color w:val="auto"/>
                            <w:kern w:val="2"/>
                            <w:sz w:val="24"/>
                            <w:szCs w:val="32"/>
                            <w:u w:val="single"/>
                            <w:lang w:val="en-US" w:eastAsia="zh-CN" w:bidi="ar-SA"/>
                          </w:rPr>
                          <m:t>q</m:t>
                        </m:r>
                        <m:ctrlPr>
                          <w:rPr>
                            <w:rFonts w:hint="default" w:ascii="Cambria Math" w:hAnsi="Cambria Math" w:eastAsia="宋体" w:cs="Times New Roman"/>
                            <w:b w:val="0"/>
                            <w:bCs w:val="0"/>
                            <w:color w:val="auto"/>
                            <w:kern w:val="2"/>
                            <w:sz w:val="24"/>
                            <w:szCs w:val="32"/>
                            <w:u w:val="single"/>
                            <w:lang w:val="en-US" w:eastAsia="zh-CN" w:bidi="ar-SA"/>
                          </w:rPr>
                        </m:ctrlPr>
                      </m:e>
                      <m:sub>
                        <m:r>
                          <m:rPr>
                            <m:sty m:val="p"/>
                          </m:rPr>
                          <w:rPr>
                            <w:rFonts w:hint="default" w:ascii="Cambria Math" w:hAnsi="Cambria Math" w:eastAsia="宋体" w:cs="Times New Roman"/>
                            <w:color w:val="auto"/>
                            <w:kern w:val="2"/>
                            <w:sz w:val="24"/>
                            <w:szCs w:val="32"/>
                            <w:u w:val="single"/>
                            <w:lang w:val="en-US" w:eastAsia="zh-CN" w:bidi="ar-SA"/>
                          </w:rPr>
                          <m:t>2</m:t>
                        </m:r>
                        <m:ctrlPr>
                          <w:rPr>
                            <w:rFonts w:hint="default" w:ascii="Cambria Math" w:hAnsi="Cambria Math" w:eastAsia="宋体" w:cs="Times New Roman"/>
                            <w:b w:val="0"/>
                            <w:bCs w:val="0"/>
                            <w:color w:val="auto"/>
                            <w:kern w:val="2"/>
                            <w:sz w:val="24"/>
                            <w:szCs w:val="32"/>
                            <w:u w:val="single"/>
                            <w:lang w:val="en-US" w:eastAsia="zh-CN" w:bidi="ar-SA"/>
                          </w:rPr>
                        </m:ctrlPr>
                      </m:sub>
                    </m:sSub>
                    <m:ctrlPr>
                      <w:rPr>
                        <w:rFonts w:hint="default" w:ascii="Cambria Math" w:hAnsi="Cambria Math" w:eastAsia="宋体" w:cs="Times New Roman"/>
                        <w:b w:val="0"/>
                        <w:bCs w:val="0"/>
                        <w:color w:val="auto"/>
                        <w:kern w:val="2"/>
                        <w:sz w:val="24"/>
                        <w:szCs w:val="32"/>
                        <w:u w:val="single"/>
                        <w:lang w:val="en-US" w:eastAsia="zh-CN" w:bidi="ar-SA"/>
                      </w:rPr>
                    </m:ctrlPr>
                  </m:num>
                  <m:den>
                    <m:sSub>
                      <m:sSubPr>
                        <m:ctrlPr>
                          <w:rPr>
                            <w:rFonts w:hint="default" w:ascii="Cambria Math" w:hAnsi="Cambria Math" w:eastAsia="宋体" w:cs="Times New Roman"/>
                            <w:b w:val="0"/>
                            <w:bCs w:val="0"/>
                            <w:color w:val="auto"/>
                            <w:kern w:val="2"/>
                            <w:sz w:val="24"/>
                            <w:szCs w:val="32"/>
                            <w:u w:val="single"/>
                            <w:lang w:val="en-US" w:eastAsia="zh-CN" w:bidi="ar-SA"/>
                          </w:rPr>
                        </m:ctrlPr>
                      </m:sSubPr>
                      <m:e>
                        <m:r>
                          <m:rPr>
                            <m:sty m:val="p"/>
                          </m:rPr>
                          <w:rPr>
                            <w:rFonts w:hint="default" w:ascii="Cambria Math" w:hAnsi="Cambria Math" w:eastAsia="宋体" w:cs="Times New Roman"/>
                            <w:color w:val="auto"/>
                            <w:kern w:val="2"/>
                            <w:sz w:val="24"/>
                            <w:szCs w:val="32"/>
                            <w:u w:val="single"/>
                            <w:lang w:val="en-US" w:eastAsia="zh-CN" w:bidi="ar-SA"/>
                          </w:rPr>
                          <m:t>Q</m:t>
                        </m:r>
                        <m:ctrlPr>
                          <w:rPr>
                            <w:rFonts w:hint="default" w:ascii="Cambria Math" w:hAnsi="Cambria Math" w:eastAsia="宋体" w:cs="Times New Roman"/>
                            <w:b w:val="0"/>
                            <w:bCs w:val="0"/>
                            <w:color w:val="auto"/>
                            <w:kern w:val="2"/>
                            <w:sz w:val="24"/>
                            <w:szCs w:val="32"/>
                            <w:u w:val="single"/>
                            <w:lang w:val="en-US" w:eastAsia="zh-CN" w:bidi="ar-SA"/>
                          </w:rPr>
                        </m:ctrlPr>
                      </m:e>
                      <m:sub>
                        <m:r>
                          <m:rPr>
                            <m:sty m:val="p"/>
                          </m:rPr>
                          <w:rPr>
                            <w:rFonts w:hint="default" w:ascii="Cambria Math" w:hAnsi="Cambria Math" w:eastAsia="宋体" w:cs="Times New Roman"/>
                            <w:color w:val="auto"/>
                            <w:kern w:val="2"/>
                            <w:sz w:val="24"/>
                            <w:szCs w:val="32"/>
                            <w:u w:val="single"/>
                            <w:lang w:val="en-US" w:eastAsia="zh-CN" w:bidi="ar-SA"/>
                          </w:rPr>
                          <m:t>2</m:t>
                        </m:r>
                        <m:ctrlPr>
                          <w:rPr>
                            <w:rFonts w:hint="default" w:ascii="Cambria Math" w:hAnsi="Cambria Math" w:eastAsia="宋体" w:cs="Times New Roman"/>
                            <w:b w:val="0"/>
                            <w:bCs w:val="0"/>
                            <w:color w:val="auto"/>
                            <w:kern w:val="2"/>
                            <w:sz w:val="24"/>
                            <w:szCs w:val="32"/>
                            <w:u w:val="single"/>
                            <w:lang w:val="en-US" w:eastAsia="zh-CN" w:bidi="ar-SA"/>
                          </w:rPr>
                        </m:ctrlPr>
                      </m:sub>
                    </m:sSub>
                    <m:ctrlPr>
                      <w:rPr>
                        <w:rFonts w:hint="default" w:ascii="Cambria Math" w:hAnsi="Cambria Math" w:eastAsia="宋体" w:cs="Times New Roman"/>
                        <w:b w:val="0"/>
                        <w:bCs w:val="0"/>
                        <w:color w:val="auto"/>
                        <w:kern w:val="2"/>
                        <w:sz w:val="24"/>
                        <w:szCs w:val="32"/>
                        <w:u w:val="single"/>
                        <w:lang w:val="en-US" w:eastAsia="zh-CN" w:bidi="ar-SA"/>
                      </w:rPr>
                    </m:ctrlPr>
                  </m:den>
                </m:f>
                <m:r>
                  <m:rPr>
                    <m:sty m:val="p"/>
                  </m:rPr>
                  <w:rPr>
                    <w:rFonts w:hint="default" w:ascii="Cambria Math" w:hAnsi="Cambria Math" w:eastAsia="宋体" w:cs="Times New Roman"/>
                    <w:color w:val="auto"/>
                    <w:kern w:val="2"/>
                    <w:sz w:val="24"/>
                    <w:szCs w:val="32"/>
                    <w:u w:val="single"/>
                    <w:lang w:val="en-US" w:eastAsia="zh-CN" w:bidi="ar-SA"/>
                  </w:rPr>
                  <m:t>+…+</m:t>
                </m:r>
                <m:f>
                  <m:fPr>
                    <m:ctrlPr>
                      <w:rPr>
                        <w:rFonts w:hint="default" w:ascii="Cambria Math" w:hAnsi="Cambria Math" w:eastAsia="宋体" w:cs="Times New Roman"/>
                        <w:b w:val="0"/>
                        <w:bCs w:val="0"/>
                        <w:color w:val="auto"/>
                        <w:kern w:val="2"/>
                        <w:sz w:val="24"/>
                        <w:szCs w:val="32"/>
                        <w:u w:val="single"/>
                        <w:lang w:val="en-US" w:eastAsia="zh-CN" w:bidi="ar-SA"/>
                      </w:rPr>
                    </m:ctrlPr>
                  </m:fPr>
                  <m:num>
                    <m:sSub>
                      <m:sSubPr>
                        <m:ctrlPr>
                          <w:rPr>
                            <w:rFonts w:hint="default" w:ascii="Cambria Math" w:hAnsi="Cambria Math" w:eastAsia="宋体" w:cs="Times New Roman"/>
                            <w:b w:val="0"/>
                            <w:bCs w:val="0"/>
                            <w:color w:val="auto"/>
                            <w:kern w:val="2"/>
                            <w:sz w:val="24"/>
                            <w:szCs w:val="32"/>
                            <w:u w:val="single"/>
                            <w:lang w:val="en-US" w:eastAsia="zh-CN" w:bidi="ar-SA"/>
                          </w:rPr>
                        </m:ctrlPr>
                      </m:sSubPr>
                      <m:e>
                        <m:r>
                          <m:rPr>
                            <m:sty m:val="p"/>
                          </m:rPr>
                          <w:rPr>
                            <w:rFonts w:hint="default" w:ascii="Cambria Math" w:hAnsi="Cambria Math" w:eastAsia="宋体" w:cs="Times New Roman"/>
                            <w:color w:val="auto"/>
                            <w:kern w:val="2"/>
                            <w:sz w:val="24"/>
                            <w:szCs w:val="32"/>
                            <w:u w:val="single"/>
                            <w:lang w:val="en-US" w:eastAsia="zh-CN" w:bidi="ar-SA"/>
                          </w:rPr>
                          <m:t>q</m:t>
                        </m:r>
                        <m:ctrlPr>
                          <w:rPr>
                            <w:rFonts w:hint="default" w:ascii="Cambria Math" w:hAnsi="Cambria Math" w:eastAsia="宋体" w:cs="Times New Roman"/>
                            <w:b w:val="0"/>
                            <w:bCs w:val="0"/>
                            <w:color w:val="auto"/>
                            <w:kern w:val="2"/>
                            <w:sz w:val="24"/>
                            <w:szCs w:val="32"/>
                            <w:u w:val="single"/>
                            <w:lang w:val="en-US" w:eastAsia="zh-CN" w:bidi="ar-SA"/>
                          </w:rPr>
                        </m:ctrlPr>
                      </m:e>
                      <m:sub>
                        <m:r>
                          <m:rPr>
                            <m:sty m:val="p"/>
                          </m:rPr>
                          <w:rPr>
                            <w:rFonts w:hint="default" w:ascii="Cambria Math" w:hAnsi="Cambria Math" w:eastAsia="宋体" w:cs="Times New Roman"/>
                            <w:color w:val="auto"/>
                            <w:kern w:val="2"/>
                            <w:sz w:val="24"/>
                            <w:szCs w:val="32"/>
                            <w:u w:val="single"/>
                            <w:lang w:val="en-US" w:eastAsia="zh-CN" w:bidi="ar-SA"/>
                          </w:rPr>
                          <m:t>n</m:t>
                        </m:r>
                        <m:ctrlPr>
                          <w:rPr>
                            <w:rFonts w:hint="default" w:ascii="Cambria Math" w:hAnsi="Cambria Math" w:eastAsia="宋体" w:cs="Times New Roman"/>
                            <w:b w:val="0"/>
                            <w:bCs w:val="0"/>
                            <w:color w:val="auto"/>
                            <w:kern w:val="2"/>
                            <w:sz w:val="24"/>
                            <w:szCs w:val="32"/>
                            <w:u w:val="single"/>
                            <w:lang w:val="en-US" w:eastAsia="zh-CN" w:bidi="ar-SA"/>
                          </w:rPr>
                        </m:ctrlPr>
                      </m:sub>
                    </m:sSub>
                    <m:ctrlPr>
                      <w:rPr>
                        <w:rFonts w:hint="default" w:ascii="Cambria Math" w:hAnsi="Cambria Math" w:eastAsia="宋体" w:cs="Times New Roman"/>
                        <w:b w:val="0"/>
                        <w:bCs w:val="0"/>
                        <w:color w:val="auto"/>
                        <w:kern w:val="2"/>
                        <w:sz w:val="24"/>
                        <w:szCs w:val="32"/>
                        <w:u w:val="single"/>
                        <w:lang w:val="en-US" w:eastAsia="zh-CN" w:bidi="ar-SA"/>
                      </w:rPr>
                    </m:ctrlPr>
                  </m:num>
                  <m:den>
                    <m:sSub>
                      <m:sSubPr>
                        <m:ctrlPr>
                          <w:rPr>
                            <w:rFonts w:hint="default" w:ascii="Cambria Math" w:hAnsi="Cambria Math" w:eastAsia="宋体" w:cs="Times New Roman"/>
                            <w:b w:val="0"/>
                            <w:bCs w:val="0"/>
                            <w:color w:val="auto"/>
                            <w:kern w:val="2"/>
                            <w:sz w:val="24"/>
                            <w:szCs w:val="32"/>
                            <w:u w:val="single"/>
                            <w:lang w:val="en-US" w:eastAsia="zh-CN" w:bidi="ar-SA"/>
                          </w:rPr>
                        </m:ctrlPr>
                      </m:sSubPr>
                      <m:e>
                        <m:r>
                          <m:rPr>
                            <m:sty m:val="p"/>
                          </m:rPr>
                          <w:rPr>
                            <w:rFonts w:hint="default" w:ascii="Cambria Math" w:hAnsi="Cambria Math" w:eastAsia="宋体" w:cs="Times New Roman"/>
                            <w:color w:val="auto"/>
                            <w:kern w:val="2"/>
                            <w:sz w:val="24"/>
                            <w:szCs w:val="32"/>
                            <w:u w:val="single"/>
                            <w:lang w:val="en-US" w:eastAsia="zh-CN" w:bidi="ar-SA"/>
                          </w:rPr>
                          <m:t>Q</m:t>
                        </m:r>
                        <m:ctrlPr>
                          <w:rPr>
                            <w:rFonts w:hint="default" w:ascii="Cambria Math" w:hAnsi="Cambria Math" w:eastAsia="宋体" w:cs="Times New Roman"/>
                            <w:b w:val="0"/>
                            <w:bCs w:val="0"/>
                            <w:color w:val="auto"/>
                            <w:kern w:val="2"/>
                            <w:sz w:val="24"/>
                            <w:szCs w:val="32"/>
                            <w:u w:val="single"/>
                            <w:lang w:val="en-US" w:eastAsia="zh-CN" w:bidi="ar-SA"/>
                          </w:rPr>
                        </m:ctrlPr>
                      </m:e>
                      <m:sub>
                        <m:r>
                          <m:rPr>
                            <m:sty m:val="p"/>
                          </m:rPr>
                          <w:rPr>
                            <w:rFonts w:hint="default" w:ascii="Cambria Math" w:hAnsi="Cambria Math" w:eastAsia="宋体" w:cs="Times New Roman"/>
                            <w:color w:val="auto"/>
                            <w:kern w:val="2"/>
                            <w:sz w:val="24"/>
                            <w:szCs w:val="32"/>
                            <w:u w:val="single"/>
                            <w:lang w:val="en-US" w:eastAsia="zh-CN" w:bidi="ar-SA"/>
                          </w:rPr>
                          <m:t>n</m:t>
                        </m:r>
                        <m:ctrlPr>
                          <w:rPr>
                            <w:rFonts w:hint="default" w:ascii="Cambria Math" w:hAnsi="Cambria Math" w:eastAsia="宋体" w:cs="Times New Roman"/>
                            <w:b w:val="0"/>
                            <w:bCs w:val="0"/>
                            <w:color w:val="auto"/>
                            <w:kern w:val="2"/>
                            <w:sz w:val="24"/>
                            <w:szCs w:val="32"/>
                            <w:u w:val="single"/>
                            <w:lang w:val="en-US" w:eastAsia="zh-CN" w:bidi="ar-SA"/>
                          </w:rPr>
                        </m:ctrlPr>
                      </m:sub>
                    </m:sSub>
                    <m:ctrlPr>
                      <w:rPr>
                        <w:rFonts w:hint="default" w:ascii="Cambria Math" w:hAnsi="Cambria Math" w:eastAsia="宋体" w:cs="Times New Roman"/>
                        <w:b w:val="0"/>
                        <w:bCs w:val="0"/>
                        <w:color w:val="auto"/>
                        <w:kern w:val="2"/>
                        <w:sz w:val="24"/>
                        <w:szCs w:val="32"/>
                        <w:u w:val="single"/>
                        <w:lang w:val="en-US" w:eastAsia="zh-CN" w:bidi="ar-SA"/>
                      </w:rPr>
                    </m:ctrlPr>
                  </m:den>
                </m:f>
              </m:oMath>
            </m:oMathPara>
          </w:p>
          <w:p w14:paraId="13E3B062">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u w:val="single"/>
                <w:lang w:val="en-US" w:eastAsia="zh-CN"/>
              </w:rPr>
            </w:pPr>
            <w:r>
              <w:rPr>
                <w:rFonts w:hint="default" w:ascii="Times New Roman" w:hAnsi="Times New Roman" w:eastAsia="宋体" w:cs="Times New Roman"/>
                <w:b w:val="0"/>
                <w:bCs w:val="0"/>
                <w:color w:val="auto"/>
                <w:sz w:val="24"/>
                <w:szCs w:val="32"/>
                <w:u w:val="single"/>
                <w:lang w:val="en-US" w:eastAsia="zh-CN"/>
              </w:rPr>
              <w:t>式中：q1，q2…..qn—每种危险物质的最大存在总量，t；</w:t>
            </w:r>
          </w:p>
          <w:p w14:paraId="403BC9DA">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u w:val="single"/>
                <w:lang w:val="en-US" w:eastAsia="zh-CN"/>
              </w:rPr>
            </w:pPr>
            <w:r>
              <w:rPr>
                <w:rFonts w:hint="default" w:ascii="Times New Roman" w:hAnsi="Times New Roman" w:eastAsia="宋体" w:cs="Times New Roman"/>
                <w:b w:val="0"/>
                <w:bCs w:val="0"/>
                <w:color w:val="auto"/>
                <w:sz w:val="24"/>
                <w:szCs w:val="32"/>
                <w:u w:val="single"/>
                <w:lang w:val="en-US" w:eastAsia="zh-CN"/>
              </w:rPr>
              <w:t>Q1，Q2…..Qn—每种危险物质的临界量，t；</w:t>
            </w:r>
          </w:p>
          <w:p w14:paraId="3C5758A6">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u w:val="single"/>
                <w:lang w:val="en-US" w:eastAsia="zh-CN"/>
              </w:rPr>
            </w:pPr>
            <w:r>
              <w:rPr>
                <w:rFonts w:hint="default" w:ascii="Times New Roman" w:hAnsi="Times New Roman" w:eastAsia="宋体" w:cs="Times New Roman"/>
                <w:b w:val="0"/>
                <w:bCs w:val="0"/>
                <w:color w:val="auto"/>
                <w:sz w:val="24"/>
                <w:szCs w:val="32"/>
                <w:u w:val="single"/>
                <w:lang w:val="en-US" w:eastAsia="zh-CN"/>
              </w:rPr>
              <w:t>当Q＜1时，该项目环境风险潜势为Ⅰ；</w:t>
            </w:r>
          </w:p>
          <w:p w14:paraId="18EFF0BC">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u w:val="single"/>
                <w:lang w:val="en-US" w:eastAsia="zh-CN"/>
              </w:rPr>
            </w:pPr>
            <w:r>
              <w:rPr>
                <w:rFonts w:hint="default" w:ascii="Times New Roman" w:hAnsi="Times New Roman" w:eastAsia="宋体" w:cs="Times New Roman"/>
                <w:b w:val="0"/>
                <w:bCs w:val="0"/>
                <w:color w:val="auto"/>
                <w:sz w:val="24"/>
                <w:szCs w:val="32"/>
                <w:u w:val="single"/>
                <w:lang w:val="en-US" w:eastAsia="zh-CN"/>
              </w:rPr>
              <w:t>当Q≥1时，将Q值划分为：（1）1≤Q＜10；（2）10≤Q＜100；（3）Q≥100。</w:t>
            </w:r>
          </w:p>
          <w:p w14:paraId="0D8356AD">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表4-15 环境风险物质表</w:t>
            </w:r>
          </w:p>
          <w:tbl>
            <w:tblPr>
              <w:tblStyle w:val="1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229"/>
              <w:gridCol w:w="1432"/>
              <w:gridCol w:w="1116"/>
              <w:gridCol w:w="989"/>
              <w:gridCol w:w="911"/>
              <w:gridCol w:w="1135"/>
            </w:tblGrid>
            <w:tr w14:paraId="68D74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990B9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序号</w:t>
                  </w:r>
                </w:p>
              </w:tc>
              <w:tc>
                <w:tcPr>
                  <w:tcW w:w="773" w:type="pct"/>
                  <w:vAlign w:val="center"/>
                </w:tcPr>
                <w:p w14:paraId="02FB470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功能单元</w:t>
                  </w:r>
                </w:p>
              </w:tc>
              <w:tc>
                <w:tcPr>
                  <w:tcW w:w="901" w:type="pct"/>
                  <w:vAlign w:val="center"/>
                </w:tcPr>
                <w:p w14:paraId="03D943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危险化学品</w:t>
                  </w:r>
                </w:p>
              </w:tc>
              <w:tc>
                <w:tcPr>
                  <w:tcW w:w="702" w:type="pct"/>
                  <w:vAlign w:val="center"/>
                </w:tcPr>
                <w:p w14:paraId="3D713F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最大储存量q（t）</w:t>
                  </w:r>
                </w:p>
              </w:tc>
              <w:tc>
                <w:tcPr>
                  <w:tcW w:w="620" w:type="pct"/>
                  <w:vAlign w:val="center"/>
                </w:tcPr>
                <w:p w14:paraId="5A8F90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临界量</w:t>
                  </w:r>
                </w:p>
                <w:p w14:paraId="7144CF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Q（t）</w:t>
                  </w:r>
                </w:p>
              </w:tc>
              <w:tc>
                <w:tcPr>
                  <w:tcW w:w="573" w:type="pct"/>
                  <w:vAlign w:val="center"/>
                </w:tcPr>
                <w:p w14:paraId="1CC78CD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q/Q</w:t>
                  </w:r>
                </w:p>
              </w:tc>
              <w:tc>
                <w:tcPr>
                  <w:tcW w:w="714" w:type="pct"/>
                  <w:vAlign w:val="center"/>
                </w:tcPr>
                <w:p w14:paraId="34DE2A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是否为重大危险源</w:t>
                  </w:r>
                </w:p>
              </w:tc>
            </w:tr>
            <w:tr w14:paraId="2F6E8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0E056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w:t>
                  </w:r>
                </w:p>
              </w:tc>
              <w:tc>
                <w:tcPr>
                  <w:tcW w:w="773" w:type="pct"/>
                  <w:vMerge w:val="restart"/>
                  <w:vAlign w:val="center"/>
                </w:tcPr>
                <w:p w14:paraId="51EC5A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物料仓库</w:t>
                  </w:r>
                </w:p>
              </w:tc>
              <w:tc>
                <w:tcPr>
                  <w:tcW w:w="901" w:type="pct"/>
                  <w:vAlign w:val="center"/>
                </w:tcPr>
                <w:p w14:paraId="59C44A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三防UV胶</w:t>
                  </w:r>
                </w:p>
              </w:tc>
              <w:tc>
                <w:tcPr>
                  <w:tcW w:w="702" w:type="pct"/>
                  <w:vAlign w:val="center"/>
                </w:tcPr>
                <w:p w14:paraId="3F4DC5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0.012</w:t>
                  </w:r>
                </w:p>
              </w:tc>
              <w:tc>
                <w:tcPr>
                  <w:tcW w:w="620" w:type="pct"/>
                  <w:vAlign w:val="center"/>
                </w:tcPr>
                <w:p w14:paraId="0DE421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50</w:t>
                  </w:r>
                </w:p>
              </w:tc>
              <w:tc>
                <w:tcPr>
                  <w:tcW w:w="573" w:type="pct"/>
                  <w:vAlign w:val="center"/>
                </w:tcPr>
                <w:p w14:paraId="188EA5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0.00024</w:t>
                  </w:r>
                </w:p>
              </w:tc>
              <w:tc>
                <w:tcPr>
                  <w:tcW w:w="714" w:type="pct"/>
                  <w:vMerge w:val="restart"/>
                  <w:vAlign w:val="center"/>
                </w:tcPr>
                <w:p w14:paraId="43D9B2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否</w:t>
                  </w:r>
                </w:p>
              </w:tc>
            </w:tr>
            <w:tr w14:paraId="0B1B8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897B3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2</w:t>
                  </w:r>
                </w:p>
              </w:tc>
              <w:tc>
                <w:tcPr>
                  <w:tcW w:w="773" w:type="pct"/>
                  <w:vMerge w:val="continue"/>
                  <w:vAlign w:val="center"/>
                </w:tcPr>
                <w:p w14:paraId="696C46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901" w:type="pct"/>
                  <w:vAlign w:val="center"/>
                </w:tcPr>
                <w:p w14:paraId="64FDBB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酒精</w:t>
                  </w:r>
                </w:p>
              </w:tc>
              <w:tc>
                <w:tcPr>
                  <w:tcW w:w="702" w:type="pct"/>
                  <w:vAlign w:val="center"/>
                </w:tcPr>
                <w:p w14:paraId="181BD3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0.65</w:t>
                  </w:r>
                </w:p>
              </w:tc>
              <w:tc>
                <w:tcPr>
                  <w:tcW w:w="620" w:type="pct"/>
                  <w:vAlign w:val="center"/>
                </w:tcPr>
                <w:p w14:paraId="1AEB83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50</w:t>
                  </w:r>
                </w:p>
              </w:tc>
              <w:tc>
                <w:tcPr>
                  <w:tcW w:w="573" w:type="pct"/>
                  <w:vAlign w:val="center"/>
                </w:tcPr>
                <w:p w14:paraId="408A37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0.013</w:t>
                  </w:r>
                </w:p>
              </w:tc>
              <w:tc>
                <w:tcPr>
                  <w:tcW w:w="714" w:type="pct"/>
                  <w:vMerge w:val="continue"/>
                  <w:vAlign w:val="center"/>
                </w:tcPr>
                <w:p w14:paraId="681BE3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r>
            <w:tr w14:paraId="53661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D4E823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3</w:t>
                  </w:r>
                </w:p>
              </w:tc>
              <w:tc>
                <w:tcPr>
                  <w:tcW w:w="773" w:type="pct"/>
                  <w:vMerge w:val="continue"/>
                  <w:vAlign w:val="center"/>
                </w:tcPr>
                <w:p w14:paraId="083803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901" w:type="pct"/>
                  <w:vAlign w:val="center"/>
                </w:tcPr>
                <w:p w14:paraId="662F4D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水基清洗剂</w:t>
                  </w:r>
                </w:p>
              </w:tc>
              <w:tc>
                <w:tcPr>
                  <w:tcW w:w="702" w:type="pct"/>
                  <w:vAlign w:val="center"/>
                </w:tcPr>
                <w:p w14:paraId="402714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0.2</w:t>
                  </w:r>
                </w:p>
              </w:tc>
              <w:tc>
                <w:tcPr>
                  <w:tcW w:w="620" w:type="pct"/>
                  <w:vAlign w:val="center"/>
                </w:tcPr>
                <w:p w14:paraId="6696A8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100</w:t>
                  </w:r>
                </w:p>
              </w:tc>
              <w:tc>
                <w:tcPr>
                  <w:tcW w:w="573" w:type="pct"/>
                  <w:vAlign w:val="center"/>
                </w:tcPr>
                <w:p w14:paraId="325CAA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0.002</w:t>
                  </w:r>
                </w:p>
              </w:tc>
              <w:tc>
                <w:tcPr>
                  <w:tcW w:w="714" w:type="pct"/>
                  <w:vMerge w:val="continue"/>
                  <w:vAlign w:val="center"/>
                </w:tcPr>
                <w:p w14:paraId="48DEDF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r>
            <w:tr w14:paraId="46C3D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3F686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4</w:t>
                  </w:r>
                </w:p>
              </w:tc>
              <w:tc>
                <w:tcPr>
                  <w:tcW w:w="773" w:type="pct"/>
                  <w:vMerge w:val="continue"/>
                  <w:vAlign w:val="center"/>
                </w:tcPr>
                <w:p w14:paraId="71535A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901" w:type="pct"/>
                  <w:vAlign w:val="center"/>
                </w:tcPr>
                <w:p w14:paraId="12B9071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稀释剂</w:t>
                  </w:r>
                </w:p>
              </w:tc>
              <w:tc>
                <w:tcPr>
                  <w:tcW w:w="702" w:type="pct"/>
                  <w:vAlign w:val="center"/>
                </w:tcPr>
                <w:p w14:paraId="52D86D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0.02</w:t>
                  </w:r>
                </w:p>
              </w:tc>
              <w:tc>
                <w:tcPr>
                  <w:tcW w:w="620" w:type="pct"/>
                  <w:vAlign w:val="center"/>
                </w:tcPr>
                <w:p w14:paraId="25D78A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50</w:t>
                  </w:r>
                </w:p>
              </w:tc>
              <w:tc>
                <w:tcPr>
                  <w:tcW w:w="573" w:type="pct"/>
                  <w:vAlign w:val="center"/>
                </w:tcPr>
                <w:p w14:paraId="6609CC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0.0004</w:t>
                  </w:r>
                </w:p>
              </w:tc>
              <w:tc>
                <w:tcPr>
                  <w:tcW w:w="714" w:type="pct"/>
                  <w:vMerge w:val="continue"/>
                  <w:vAlign w:val="center"/>
                </w:tcPr>
                <w:p w14:paraId="0FE268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r>
            <w:tr w14:paraId="3D245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424990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5</w:t>
                  </w:r>
                </w:p>
              </w:tc>
              <w:tc>
                <w:tcPr>
                  <w:tcW w:w="773" w:type="pct"/>
                  <w:vMerge w:val="continue"/>
                  <w:vAlign w:val="center"/>
                </w:tcPr>
                <w:p w14:paraId="32E34A7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901" w:type="pct"/>
                  <w:vAlign w:val="center"/>
                </w:tcPr>
                <w:p w14:paraId="068324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脱漆剂</w:t>
                  </w:r>
                </w:p>
              </w:tc>
              <w:tc>
                <w:tcPr>
                  <w:tcW w:w="702" w:type="pct"/>
                  <w:vAlign w:val="center"/>
                </w:tcPr>
                <w:p w14:paraId="32FE4F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0.008</w:t>
                  </w:r>
                </w:p>
              </w:tc>
              <w:tc>
                <w:tcPr>
                  <w:tcW w:w="620" w:type="pct"/>
                  <w:vAlign w:val="center"/>
                </w:tcPr>
                <w:p w14:paraId="17CF59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10</w:t>
                  </w:r>
                </w:p>
              </w:tc>
              <w:tc>
                <w:tcPr>
                  <w:tcW w:w="573" w:type="pct"/>
                  <w:vAlign w:val="center"/>
                </w:tcPr>
                <w:p w14:paraId="210155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0.0008</w:t>
                  </w:r>
                </w:p>
              </w:tc>
              <w:tc>
                <w:tcPr>
                  <w:tcW w:w="714" w:type="pct"/>
                  <w:vMerge w:val="continue"/>
                  <w:vAlign w:val="center"/>
                </w:tcPr>
                <w:p w14:paraId="4A8985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r>
            <w:tr w14:paraId="464B7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3DEDB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6</w:t>
                  </w:r>
                </w:p>
              </w:tc>
              <w:tc>
                <w:tcPr>
                  <w:tcW w:w="773" w:type="pct"/>
                  <w:vMerge w:val="continue"/>
                  <w:vAlign w:val="center"/>
                </w:tcPr>
                <w:p w14:paraId="7A5417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c>
                <w:tcPr>
                  <w:tcW w:w="901" w:type="pct"/>
                  <w:vAlign w:val="center"/>
                </w:tcPr>
                <w:p w14:paraId="05C6C5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三防漆</w:t>
                  </w:r>
                </w:p>
              </w:tc>
              <w:tc>
                <w:tcPr>
                  <w:tcW w:w="702" w:type="pct"/>
                  <w:vAlign w:val="center"/>
                </w:tcPr>
                <w:p w14:paraId="6B6F5B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0.03</w:t>
                  </w:r>
                </w:p>
              </w:tc>
              <w:tc>
                <w:tcPr>
                  <w:tcW w:w="620" w:type="pct"/>
                  <w:vAlign w:val="center"/>
                </w:tcPr>
                <w:p w14:paraId="419D86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50</w:t>
                  </w:r>
                </w:p>
              </w:tc>
              <w:tc>
                <w:tcPr>
                  <w:tcW w:w="573" w:type="pct"/>
                  <w:vAlign w:val="center"/>
                </w:tcPr>
                <w:p w14:paraId="0D401A8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0.0006</w:t>
                  </w:r>
                </w:p>
              </w:tc>
              <w:tc>
                <w:tcPr>
                  <w:tcW w:w="714" w:type="pct"/>
                  <w:vMerge w:val="continue"/>
                  <w:vAlign w:val="center"/>
                </w:tcPr>
                <w:p w14:paraId="3514765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r>
            <w:tr w14:paraId="4E893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12" w:type="pct"/>
                  <w:gridSpan w:val="5"/>
                  <w:vAlign w:val="center"/>
                </w:tcPr>
                <w:p w14:paraId="189640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总计（Σqn/Qn）</w:t>
                  </w:r>
                </w:p>
              </w:tc>
              <w:tc>
                <w:tcPr>
                  <w:tcW w:w="573" w:type="pct"/>
                  <w:vAlign w:val="center"/>
                </w:tcPr>
                <w:p w14:paraId="532C17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0.01704</w:t>
                  </w:r>
                </w:p>
              </w:tc>
              <w:tc>
                <w:tcPr>
                  <w:tcW w:w="714" w:type="pct"/>
                  <w:vMerge w:val="continue"/>
                  <w:vAlign w:val="center"/>
                </w:tcPr>
                <w:p w14:paraId="5811E8A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p>
              </w:tc>
            </w:tr>
          </w:tbl>
          <w:p w14:paraId="3C77CE01">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highlight w:val="none"/>
                <w:u w:val="single"/>
                <w:lang w:val="en-US" w:eastAsia="zh-CN"/>
              </w:rPr>
            </w:pPr>
            <w:r>
              <w:rPr>
                <w:rFonts w:hint="default" w:ascii="Times New Roman" w:hAnsi="Times New Roman" w:eastAsia="宋体" w:cs="Times New Roman"/>
                <w:b w:val="0"/>
                <w:bCs w:val="0"/>
                <w:color w:val="auto"/>
                <w:sz w:val="24"/>
                <w:szCs w:val="32"/>
                <w:highlight w:val="none"/>
                <w:u w:val="single"/>
                <w:lang w:val="en-US" w:eastAsia="zh-CN"/>
              </w:rPr>
              <w:t>对照《建设项目环境风险评价技术导则》（HJ169-2018）附录B，本项目无危险化学品，因此本项目Q＜1。因此，判定项目环境风险潜势Ⅰ。</w:t>
            </w:r>
          </w:p>
          <w:p w14:paraId="1F0AE505">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highlight w:val="none"/>
                <w:lang w:val="en-US" w:eastAsia="zh-CN"/>
              </w:rPr>
            </w:pPr>
            <w:r>
              <w:rPr>
                <w:rFonts w:hint="default" w:ascii="Times New Roman" w:hAnsi="Times New Roman" w:eastAsia="宋体" w:cs="Times New Roman"/>
                <w:b w:val="0"/>
                <w:bCs w:val="0"/>
                <w:color w:val="auto"/>
                <w:sz w:val="24"/>
                <w:szCs w:val="32"/>
                <w:highlight w:val="none"/>
                <w:lang w:val="en-US" w:eastAsia="zh-CN"/>
              </w:rPr>
              <w:t>（3）环境风险分布情况及可能影响途径</w:t>
            </w:r>
          </w:p>
          <w:p w14:paraId="218E3D00">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项目环境风险类型及可能影响途径见表4-16。</w:t>
            </w:r>
          </w:p>
          <w:p w14:paraId="4D72E436">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表4-16 建设项目环境风险类型及可能影响途径识别表</w:t>
            </w:r>
          </w:p>
          <w:tbl>
            <w:tblPr>
              <w:tblStyle w:val="1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8"/>
              <w:gridCol w:w="981"/>
              <w:gridCol w:w="1035"/>
              <w:gridCol w:w="1816"/>
              <w:gridCol w:w="1229"/>
              <w:gridCol w:w="1567"/>
            </w:tblGrid>
            <w:tr w14:paraId="5B44B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829" w:type="pct"/>
                  <w:vAlign w:val="center"/>
                </w:tcPr>
                <w:p w14:paraId="517272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危险单元</w:t>
                  </w:r>
                </w:p>
              </w:tc>
              <w:tc>
                <w:tcPr>
                  <w:tcW w:w="617" w:type="pct"/>
                  <w:vAlign w:val="center"/>
                </w:tcPr>
                <w:p w14:paraId="0E5E25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风险源</w:t>
                  </w:r>
                </w:p>
              </w:tc>
              <w:tc>
                <w:tcPr>
                  <w:tcW w:w="651" w:type="pct"/>
                  <w:vAlign w:val="center"/>
                </w:tcPr>
                <w:p w14:paraId="564F2D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主要危险物质</w:t>
                  </w:r>
                </w:p>
              </w:tc>
              <w:tc>
                <w:tcPr>
                  <w:tcW w:w="1142" w:type="pct"/>
                  <w:vAlign w:val="center"/>
                </w:tcPr>
                <w:p w14:paraId="6E4D2D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环境风险类型</w:t>
                  </w:r>
                </w:p>
              </w:tc>
              <w:tc>
                <w:tcPr>
                  <w:tcW w:w="773" w:type="pct"/>
                  <w:vAlign w:val="center"/>
                </w:tcPr>
                <w:p w14:paraId="39ECAD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环境影响途径</w:t>
                  </w:r>
                </w:p>
              </w:tc>
              <w:tc>
                <w:tcPr>
                  <w:tcW w:w="985" w:type="pct"/>
                  <w:vAlign w:val="center"/>
                </w:tcPr>
                <w:p w14:paraId="4267EE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可能受影响的环境敏感目标</w:t>
                  </w:r>
                </w:p>
              </w:tc>
            </w:tr>
            <w:tr w14:paraId="34360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5" w:hRule="atLeast"/>
              </w:trPr>
              <w:tc>
                <w:tcPr>
                  <w:tcW w:w="829" w:type="pct"/>
                  <w:vAlign w:val="center"/>
                </w:tcPr>
                <w:p w14:paraId="10BB5C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vertAlign w:val="baseline"/>
                      <w:lang w:val="en-US" w:eastAsia="zh-CN"/>
                    </w:rPr>
                    <w:t>危险化学品仓库</w:t>
                  </w:r>
                </w:p>
              </w:tc>
              <w:tc>
                <w:tcPr>
                  <w:tcW w:w="617" w:type="pct"/>
                  <w:vAlign w:val="center"/>
                </w:tcPr>
                <w:p w14:paraId="20C2F0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醇类</w:t>
                  </w:r>
                </w:p>
              </w:tc>
              <w:tc>
                <w:tcPr>
                  <w:tcW w:w="651" w:type="pct"/>
                  <w:vAlign w:val="center"/>
                </w:tcPr>
                <w:p w14:paraId="7F35A0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醇类</w:t>
                  </w:r>
                </w:p>
              </w:tc>
              <w:tc>
                <w:tcPr>
                  <w:tcW w:w="1142" w:type="pct"/>
                  <w:vAlign w:val="center"/>
                </w:tcPr>
                <w:p w14:paraId="292816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泄漏、中毒、火灾爆炸引发伴生/次生突发环境事件</w:t>
                  </w:r>
                </w:p>
              </w:tc>
              <w:tc>
                <w:tcPr>
                  <w:tcW w:w="773" w:type="pct"/>
                  <w:vAlign w:val="center"/>
                </w:tcPr>
                <w:p w14:paraId="0853CF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大气、地表水、地下水、土壤</w:t>
                  </w:r>
                </w:p>
              </w:tc>
              <w:tc>
                <w:tcPr>
                  <w:tcW w:w="985" w:type="pct"/>
                  <w:vAlign w:val="center"/>
                </w:tcPr>
                <w:p w14:paraId="294CFFE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周边企业及居住区、污水处理厂、下游供水井、周边土壤</w:t>
                  </w:r>
                </w:p>
              </w:tc>
            </w:tr>
          </w:tbl>
          <w:p w14:paraId="62BB74E3">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（4）环境风险防范措施及应急要求</w:t>
            </w:r>
          </w:p>
          <w:p w14:paraId="3C9DCC6E">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1）危化品使用和运输风险防范措施：</w:t>
            </w:r>
          </w:p>
          <w:p w14:paraId="7E79A3BD">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①使用和运输人员应配备必要的个人防护装备，防止使用和运输过程中对人体健康可能产生的潜在影响。</w:t>
            </w:r>
          </w:p>
          <w:p w14:paraId="3E976DB2">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②运输过程中要配备个人防护设备给运输人员，也应当培训他们在发生事故时如何使用这些设备。</w:t>
            </w:r>
          </w:p>
          <w:p w14:paraId="6BB48D52">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③应采用有效的包装措施，以防止有害成分的泄漏污染。运输包装必须定期检查，如出现破损，应及时更换。</w:t>
            </w:r>
          </w:p>
          <w:p w14:paraId="248584CD">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④原辅材料包装容器有破损情况发生时，如未泄漏或外溢时，应立即用完好的包装容器重新再次包装，再次包装过程中，注意泄漏及外溢的情况发生。</w:t>
            </w:r>
          </w:p>
          <w:p w14:paraId="04A4D501">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2）储存风险防范措施：</w:t>
            </w:r>
          </w:p>
          <w:p w14:paraId="02254C5D">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①严格按《危险化学品安全管理条例》的要求，加强对危险化学品的管理；制定危险化学品安全操作规程，要求操作人员严格按照操作规程作业；对从事危险化学作业人员定期进行安全培训教育；经常对危险化学品作业场所进行安全检查。</w:t>
            </w:r>
          </w:p>
          <w:p w14:paraId="2B75B4E4">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②设立专用库房，使其符合储存危险化学品的相关条件（如防晒、防潮、通风、防雷、防静电等），规范危险化学品的储存和使用；液态物料储存区设围堰，围堰容积应满足事故泄漏物收集的要求；建立健全安全规程及执勤制度，设置通讯、报警装置，确保其处于完好状态；对储存危险化学品的容器，应经有关检验部门定期检验合格后，才能使用，并设置明显的标识及警示牌；对使用危险化学品的名称、数量进行严格登记；凡储存、使用危险化学品的岗位，都应配置合格的防毒器材、消防器材，并确保其处于完好状态；所有进入储存、使用化学品的人员，都必须严格遵守《危险化学品管理制度》。</w:t>
            </w:r>
          </w:p>
          <w:p w14:paraId="267FD2CD">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3）管理方面风险防范措施：</w:t>
            </w:r>
          </w:p>
          <w:p w14:paraId="72D20C2F">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①建设项目的工程设计应严格遵守我国现行环保安全方面的法规和技术标准。工程设计、施工过程及施工验收各环节要严格把好“三同时”审查关。</w:t>
            </w:r>
          </w:p>
          <w:p w14:paraId="5B8722B6">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②切实加强对工艺操作的安全管理，确保工艺操作规程和安全操作规程的贯彻执行。</w:t>
            </w:r>
          </w:p>
          <w:p w14:paraId="7047CBDA">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③加强对职工环保安全教育，专业培训和考核，使职工具有高度的安全责任心，熟练的操作技能，增强事故情况应急处理能力。</w:t>
            </w:r>
          </w:p>
          <w:p w14:paraId="44DAA5B1">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④制定风险事故的应急预案并落实到人，一旦发生事故，就能迅速采取防范措施进行控制，把事故所造成的影响降低到最小程度。</w:t>
            </w:r>
          </w:p>
          <w:p w14:paraId="2D7B4E84">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⑤建立健全各种生产及环保设备的管理制度，管理台账和技术档案，尤其要完善设备的检维修管理制度。</w:t>
            </w:r>
          </w:p>
          <w:p w14:paraId="6DD82E20">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⑥制定原辅材料贮存、保管、领用、操作的严格规章制度。</w:t>
            </w:r>
          </w:p>
          <w:p w14:paraId="75E7F671">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⑦事故的应急计划是根据工程风险源风险分析，制定的防止事故发生和减少事故发生后的损失的计划。</w:t>
            </w:r>
          </w:p>
          <w:p w14:paraId="51D24FB3">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（5）环境风险应急预案</w:t>
            </w:r>
          </w:p>
          <w:p w14:paraId="3B695BFB">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由于自然灾害或人为原因，当事故灾害不可避免的时候，有效的应急救援行动是唯一可以抵御事故灾害蔓延和减缓灾害后果的有力措施。建设单位应根据环发〔2015〕4号文《企事业单位突发环境事件应急预案备案管理办法（试行）》编制公司突发环境事件应急预案，并报环保主管部门备案。</w:t>
            </w:r>
          </w:p>
          <w:p w14:paraId="23A1DDA6">
            <w:pPr>
              <w:keepNext w:val="0"/>
              <w:keepLines w:val="0"/>
              <w:pageBreakBefore w:val="0"/>
              <w:widowControl w:val="0"/>
              <w:kinsoku/>
              <w:wordWrap/>
              <w:overflowPunct/>
              <w:topLinePunct w:val="0"/>
              <w:autoSpaceDE/>
              <w:autoSpaceDN/>
              <w:bidi w:val="0"/>
              <w:adjustRightInd w:val="0"/>
              <w:snapToGrid w:val="0"/>
              <w:spacing w:line="400" w:lineRule="exact"/>
              <w:ind w:lef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（6）环境风险分析结论</w:t>
            </w:r>
          </w:p>
          <w:p w14:paraId="2273E9E2">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在各环境风险防范措施落实到位的情况下，可大大降低建设项目的环境风险，最大程度减少对环境可能造成的危害。在企业落实本评价提出的各项风险防范措施后，项目对环境的风险影响可接受。</w:t>
            </w:r>
          </w:p>
        </w:tc>
      </w:tr>
    </w:tbl>
    <w:p w14:paraId="4232F07C">
      <w:pPr>
        <w:adjustRightInd w:val="0"/>
        <w:snapToGrid w:val="0"/>
        <w:spacing w:line="360" w:lineRule="auto"/>
        <w:rPr>
          <w:rFonts w:hint="default" w:ascii="Times New Roman" w:hAnsi="Times New Roman" w:eastAsia="宋体" w:cs="Times New Roman"/>
          <w:b/>
          <w:color w:val="auto"/>
          <w:kern w:val="0"/>
          <w:sz w:val="28"/>
          <w:szCs w:val="28"/>
        </w:rPr>
        <w:sectPr>
          <w:pgSz w:w="11907" w:h="16840"/>
          <w:pgMar w:top="1701" w:right="1531" w:bottom="2127" w:left="1531" w:header="851" w:footer="851" w:gutter="0"/>
          <w:pgNumType w:fmt="decimal"/>
          <w:cols w:space="720" w:num="1"/>
          <w:docGrid w:linePitch="312" w:charSpace="0"/>
        </w:sectPr>
      </w:pPr>
    </w:p>
    <w:p w14:paraId="435215AE">
      <w:pPr>
        <w:pStyle w:val="15"/>
        <w:jc w:val="center"/>
        <w:outlineLvl w:val="0"/>
        <w:rPr>
          <w:rFonts w:hint="default" w:ascii="Times New Roman" w:hAnsi="Times New Roman" w:eastAsia="宋体" w:cs="Times New Roman"/>
          <w:snapToGrid w:val="0"/>
          <w:color w:val="auto"/>
          <w:sz w:val="30"/>
          <w:szCs w:val="30"/>
        </w:rPr>
      </w:pPr>
      <w:bookmarkStart w:id="7" w:name="_Toc11350"/>
      <w:r>
        <w:rPr>
          <w:rFonts w:hint="default" w:ascii="Times New Roman" w:hAnsi="Times New Roman" w:eastAsia="宋体" w:cs="Times New Roman"/>
          <w:snapToGrid w:val="0"/>
          <w:color w:val="auto"/>
          <w:sz w:val="30"/>
          <w:szCs w:val="30"/>
        </w:rPr>
        <w:t>五、</w:t>
      </w:r>
      <w:bookmarkStart w:id="8" w:name="_Hlk54167917"/>
      <w:r>
        <w:rPr>
          <w:rFonts w:hint="default" w:ascii="Times New Roman" w:hAnsi="Times New Roman" w:eastAsia="宋体" w:cs="Times New Roman"/>
          <w:snapToGrid w:val="0"/>
          <w:color w:val="auto"/>
          <w:sz w:val="30"/>
          <w:szCs w:val="30"/>
        </w:rPr>
        <w:t>环境保护措施监督检查清单</w:t>
      </w:r>
      <w:bookmarkEnd w:id="7"/>
      <w:bookmarkEnd w:id="8"/>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61"/>
        <w:gridCol w:w="1500"/>
        <w:gridCol w:w="1320"/>
        <w:gridCol w:w="2002"/>
        <w:gridCol w:w="2417"/>
      </w:tblGrid>
      <w:tr w14:paraId="074C1B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1" w:type="dxa"/>
            <w:tcBorders>
              <w:tl2br w:val="single" w:color="auto" w:sz="4" w:space="0"/>
            </w:tcBorders>
          </w:tcPr>
          <w:p w14:paraId="2A746566">
            <w:pPr>
              <w:adjustRightInd w:val="0"/>
              <w:snapToGrid w:val="0"/>
              <w:ind w:firstLine="84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内容</w:t>
            </w:r>
          </w:p>
          <w:p w14:paraId="2D6BA172">
            <w:pPr>
              <w:adjustRightInd w:val="0"/>
              <w:snapToGrid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要素</w:t>
            </w:r>
          </w:p>
        </w:tc>
        <w:tc>
          <w:tcPr>
            <w:tcW w:w="1500" w:type="dxa"/>
            <w:vAlign w:val="center"/>
          </w:tcPr>
          <w:p w14:paraId="6338378C">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排放口(编号、名称)/污染源</w:t>
            </w:r>
          </w:p>
        </w:tc>
        <w:tc>
          <w:tcPr>
            <w:tcW w:w="1320" w:type="dxa"/>
            <w:vAlign w:val="center"/>
          </w:tcPr>
          <w:p w14:paraId="5F55B339">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污染物项目</w:t>
            </w:r>
          </w:p>
        </w:tc>
        <w:tc>
          <w:tcPr>
            <w:tcW w:w="2002" w:type="dxa"/>
            <w:vAlign w:val="center"/>
          </w:tcPr>
          <w:p w14:paraId="20E620BF">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环境保护措施</w:t>
            </w:r>
          </w:p>
        </w:tc>
        <w:tc>
          <w:tcPr>
            <w:tcW w:w="2417" w:type="dxa"/>
            <w:vAlign w:val="center"/>
          </w:tcPr>
          <w:p w14:paraId="015D108B">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执行标准</w:t>
            </w:r>
          </w:p>
        </w:tc>
      </w:tr>
      <w:tr w14:paraId="0CE73F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3" w:hRule="atLeast"/>
          <w:jc w:val="center"/>
        </w:trPr>
        <w:tc>
          <w:tcPr>
            <w:tcW w:w="1561" w:type="dxa"/>
            <w:vMerge w:val="restart"/>
            <w:vAlign w:val="center"/>
          </w:tcPr>
          <w:p w14:paraId="6DED948A">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大气环境</w:t>
            </w:r>
          </w:p>
        </w:tc>
        <w:tc>
          <w:tcPr>
            <w:tcW w:w="1500" w:type="dxa"/>
            <w:vMerge w:val="restart"/>
            <w:vAlign w:val="center"/>
          </w:tcPr>
          <w:p w14:paraId="00485C7E">
            <w:pPr>
              <w:adjustRightInd w:val="0"/>
              <w:snapToGrid w:val="0"/>
              <w:jc w:val="center"/>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sz w:val="24"/>
                <w:szCs w:val="24"/>
                <w:u w:val="single"/>
                <w:lang w:val="en-US" w:eastAsia="zh-CN"/>
              </w:rPr>
              <w:t>无组织</w:t>
            </w:r>
          </w:p>
          <w:p w14:paraId="0DE32246">
            <w:pPr>
              <w:adjustRightInd w:val="0"/>
              <w:snapToGrid w:val="0"/>
              <w:jc w:val="center"/>
              <w:rPr>
                <w:rFonts w:hint="default" w:ascii="Times New Roman" w:hAnsi="Times New Roman" w:eastAsia="宋体" w:cs="Times New Roman"/>
                <w:color w:val="auto"/>
                <w:sz w:val="24"/>
                <w:szCs w:val="24"/>
                <w:u w:val="single"/>
                <w:lang w:val="en-US" w:eastAsia="zh-CN"/>
              </w:rPr>
            </w:pPr>
            <w:r>
              <w:rPr>
                <w:rFonts w:hint="eastAsia" w:cs="Times New Roman"/>
                <w:color w:val="auto"/>
                <w:sz w:val="24"/>
                <w:szCs w:val="24"/>
                <w:u w:val="single"/>
                <w:lang w:val="en-US" w:eastAsia="zh-CN"/>
              </w:rPr>
              <w:t>（波峰/回流焊接、表面涂覆、</w:t>
            </w:r>
            <w:r>
              <w:rPr>
                <w:rFonts w:hint="default" w:ascii="Times New Roman" w:hAnsi="Times New Roman" w:eastAsia="宋体" w:cs="Times New Roman"/>
                <w:color w:val="auto"/>
                <w:sz w:val="24"/>
                <w:szCs w:val="24"/>
                <w:u w:val="single"/>
                <w:lang w:val="en-US" w:eastAsia="zh-CN"/>
              </w:rPr>
              <w:t>组装、检测与返修</w:t>
            </w:r>
            <w:r>
              <w:rPr>
                <w:rFonts w:hint="eastAsia" w:cs="Times New Roman"/>
                <w:color w:val="auto"/>
                <w:sz w:val="24"/>
                <w:szCs w:val="24"/>
                <w:u w:val="single"/>
                <w:lang w:val="en-US" w:eastAsia="zh-CN"/>
              </w:rPr>
              <w:t>）</w:t>
            </w:r>
          </w:p>
        </w:tc>
        <w:tc>
          <w:tcPr>
            <w:tcW w:w="1320" w:type="dxa"/>
            <w:vAlign w:val="center"/>
          </w:tcPr>
          <w:p w14:paraId="4CE78300">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非甲烷总烃</w:t>
            </w:r>
          </w:p>
        </w:tc>
        <w:tc>
          <w:tcPr>
            <w:tcW w:w="2002" w:type="dxa"/>
            <w:vMerge w:val="restart"/>
            <w:vAlign w:val="center"/>
          </w:tcPr>
          <w:p w14:paraId="06DF1846">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密闭过程、密闭场所，车间通风</w:t>
            </w:r>
          </w:p>
        </w:tc>
        <w:tc>
          <w:tcPr>
            <w:tcW w:w="2417" w:type="dxa"/>
            <w:vMerge w:val="restart"/>
            <w:vAlign w:val="center"/>
          </w:tcPr>
          <w:p w14:paraId="7DBF6E52">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《挥发性有机物无组织排放控制标准》(GB 37822-2019)；</w:t>
            </w:r>
          </w:p>
          <w:p w14:paraId="57CC6940">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《大气污染物综合排放标准》</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GB16297-1996</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无组织浓度监控限值</w:t>
            </w:r>
          </w:p>
        </w:tc>
      </w:tr>
      <w:tr w14:paraId="05CB44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1" w:type="dxa"/>
            <w:vMerge w:val="continue"/>
            <w:vAlign w:val="center"/>
          </w:tcPr>
          <w:p w14:paraId="03011EC1">
            <w:pPr>
              <w:adjustRightInd w:val="0"/>
              <w:snapToGrid w:val="0"/>
              <w:jc w:val="center"/>
              <w:rPr>
                <w:rFonts w:hint="default" w:ascii="Times New Roman" w:hAnsi="Times New Roman" w:eastAsia="宋体" w:cs="Times New Roman"/>
                <w:color w:val="auto"/>
                <w:sz w:val="24"/>
                <w:szCs w:val="24"/>
              </w:rPr>
            </w:pPr>
          </w:p>
        </w:tc>
        <w:tc>
          <w:tcPr>
            <w:tcW w:w="1500" w:type="dxa"/>
            <w:vMerge w:val="continue"/>
            <w:vAlign w:val="center"/>
          </w:tcPr>
          <w:p w14:paraId="6E806C26">
            <w:pPr>
              <w:adjustRightInd w:val="0"/>
              <w:snapToGrid w:val="0"/>
              <w:jc w:val="center"/>
              <w:rPr>
                <w:rFonts w:hint="default" w:ascii="Times New Roman" w:hAnsi="Times New Roman" w:eastAsia="宋体" w:cs="Times New Roman"/>
                <w:color w:val="auto"/>
                <w:sz w:val="24"/>
                <w:szCs w:val="24"/>
                <w:u w:val="single"/>
                <w:lang w:val="en-US" w:eastAsia="zh-CN"/>
              </w:rPr>
            </w:pPr>
          </w:p>
        </w:tc>
        <w:tc>
          <w:tcPr>
            <w:tcW w:w="1320" w:type="dxa"/>
            <w:vAlign w:val="center"/>
          </w:tcPr>
          <w:p w14:paraId="6B5F5839">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颗粒物</w:t>
            </w:r>
          </w:p>
        </w:tc>
        <w:tc>
          <w:tcPr>
            <w:tcW w:w="2002" w:type="dxa"/>
            <w:vMerge w:val="continue"/>
            <w:vAlign w:val="center"/>
          </w:tcPr>
          <w:p w14:paraId="04D564E4">
            <w:pPr>
              <w:adjustRightInd w:val="0"/>
              <w:snapToGrid w:val="0"/>
              <w:jc w:val="center"/>
              <w:rPr>
                <w:rFonts w:hint="default" w:ascii="Times New Roman" w:hAnsi="Times New Roman" w:eastAsia="宋体" w:cs="Times New Roman"/>
                <w:color w:val="auto"/>
                <w:sz w:val="24"/>
                <w:szCs w:val="24"/>
              </w:rPr>
            </w:pPr>
          </w:p>
        </w:tc>
        <w:tc>
          <w:tcPr>
            <w:tcW w:w="2417" w:type="dxa"/>
            <w:vMerge w:val="continue"/>
            <w:vAlign w:val="center"/>
          </w:tcPr>
          <w:p w14:paraId="5B5C9FD2">
            <w:pPr>
              <w:adjustRightInd w:val="0"/>
              <w:snapToGrid w:val="0"/>
              <w:jc w:val="center"/>
              <w:rPr>
                <w:rFonts w:hint="default" w:ascii="Times New Roman" w:hAnsi="Times New Roman" w:eastAsia="宋体" w:cs="Times New Roman"/>
                <w:color w:val="auto"/>
                <w:sz w:val="24"/>
                <w:szCs w:val="24"/>
              </w:rPr>
            </w:pPr>
          </w:p>
        </w:tc>
      </w:tr>
      <w:tr w14:paraId="71F5A1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1561" w:type="dxa"/>
            <w:vMerge w:val="continue"/>
            <w:vAlign w:val="center"/>
          </w:tcPr>
          <w:p w14:paraId="6E4A9C05">
            <w:pPr>
              <w:adjustRightInd w:val="0"/>
              <w:snapToGrid w:val="0"/>
              <w:jc w:val="center"/>
              <w:rPr>
                <w:rFonts w:hint="default" w:ascii="Times New Roman" w:hAnsi="Times New Roman" w:eastAsia="宋体" w:cs="Times New Roman"/>
                <w:color w:val="auto"/>
                <w:sz w:val="24"/>
                <w:szCs w:val="24"/>
              </w:rPr>
            </w:pPr>
          </w:p>
        </w:tc>
        <w:tc>
          <w:tcPr>
            <w:tcW w:w="1500" w:type="dxa"/>
            <w:vAlign w:val="center"/>
          </w:tcPr>
          <w:p w14:paraId="59B1E686">
            <w:pPr>
              <w:adjustRightInd w:val="0"/>
              <w:snapToGrid w:val="0"/>
              <w:jc w:val="center"/>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sz w:val="24"/>
                <w:szCs w:val="24"/>
                <w:u w:val="single"/>
                <w:lang w:val="en-US" w:eastAsia="zh-CN"/>
              </w:rPr>
              <w:t>有组织</w:t>
            </w:r>
            <w:r>
              <w:rPr>
                <w:rFonts w:hint="eastAsia" w:cs="Times New Roman"/>
                <w:color w:val="auto"/>
                <w:sz w:val="24"/>
                <w:szCs w:val="24"/>
                <w:u w:val="single"/>
                <w:lang w:val="en-US" w:eastAsia="zh-CN"/>
              </w:rPr>
              <w:t>（波峰/回流焊接、表面涂覆）排放口</w:t>
            </w:r>
            <w:bookmarkStart w:id="27" w:name="_GoBack"/>
            <w:bookmarkEnd w:id="27"/>
            <w:r>
              <w:rPr>
                <w:rFonts w:hint="default" w:ascii="Times New Roman" w:hAnsi="Times New Roman" w:eastAsia="宋体" w:cs="Times New Roman"/>
                <w:color w:val="auto"/>
                <w:sz w:val="24"/>
                <w:szCs w:val="24"/>
                <w:u w:val="single"/>
                <w:lang w:val="en-US" w:eastAsia="zh-CN"/>
              </w:rPr>
              <w:t>DA001#</w:t>
            </w:r>
          </w:p>
        </w:tc>
        <w:tc>
          <w:tcPr>
            <w:tcW w:w="1320" w:type="dxa"/>
            <w:vAlign w:val="center"/>
          </w:tcPr>
          <w:p w14:paraId="4F262E37">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颗粒物、</w:t>
            </w:r>
            <w:r>
              <w:rPr>
                <w:rFonts w:hint="default" w:ascii="Times New Roman" w:hAnsi="Times New Roman" w:eastAsia="宋体" w:cs="Times New Roman"/>
                <w:color w:val="auto"/>
                <w:sz w:val="24"/>
                <w:szCs w:val="24"/>
                <w:u w:val="single"/>
                <w:lang w:val="en-US" w:eastAsia="zh-CN"/>
              </w:rPr>
              <w:t>非甲烷总烃、</w:t>
            </w:r>
            <w:r>
              <w:rPr>
                <w:rFonts w:hint="default" w:ascii="Times New Roman" w:hAnsi="Times New Roman" w:eastAsia="宋体" w:cs="Times New Roman"/>
                <w:color w:val="auto"/>
                <w:sz w:val="24"/>
                <w:szCs w:val="24"/>
                <w:lang w:val="en-US" w:eastAsia="zh-CN"/>
              </w:rPr>
              <w:t>锡及其化合物</w:t>
            </w:r>
          </w:p>
        </w:tc>
        <w:tc>
          <w:tcPr>
            <w:tcW w:w="2002" w:type="dxa"/>
            <w:vAlign w:val="center"/>
          </w:tcPr>
          <w:p w14:paraId="03D10667">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经集气罩收集+</w:t>
            </w:r>
            <w:r>
              <w:rPr>
                <w:rFonts w:hint="default" w:ascii="Times New Roman" w:hAnsi="Times New Roman" w:eastAsia="宋体" w:cs="Times New Roman"/>
                <w:color w:val="auto"/>
                <w:sz w:val="24"/>
                <w:szCs w:val="24"/>
                <w:lang w:val="en-US" w:eastAsia="zh-CN"/>
              </w:rPr>
              <w:t>两级</w:t>
            </w:r>
            <w:r>
              <w:rPr>
                <w:rFonts w:hint="default" w:ascii="Times New Roman" w:hAnsi="Times New Roman" w:eastAsia="宋体" w:cs="Times New Roman"/>
                <w:color w:val="auto"/>
                <w:sz w:val="24"/>
                <w:szCs w:val="24"/>
              </w:rPr>
              <w:t>活性炭处理后</w:t>
            </w:r>
            <w:r>
              <w:rPr>
                <w:rFonts w:hint="default" w:ascii="Times New Roman" w:hAnsi="Times New Roman" w:eastAsia="宋体" w:cs="Times New Roman"/>
                <w:color w:val="auto"/>
                <w:sz w:val="24"/>
                <w:szCs w:val="24"/>
                <w:lang w:val="en-US" w:eastAsia="zh-CN"/>
              </w:rPr>
              <w:t>于离地23</w:t>
            </w:r>
            <w:r>
              <w:rPr>
                <w:rFonts w:hint="default" w:ascii="Times New Roman" w:hAnsi="Times New Roman" w:eastAsia="宋体" w:cs="Times New Roman"/>
                <w:color w:val="auto"/>
                <w:sz w:val="24"/>
                <w:szCs w:val="24"/>
              </w:rPr>
              <w:t>m高1#排气筒排放</w:t>
            </w:r>
          </w:p>
        </w:tc>
        <w:tc>
          <w:tcPr>
            <w:tcW w:w="2417" w:type="dxa"/>
            <w:vAlign w:val="center"/>
          </w:tcPr>
          <w:p w14:paraId="6E5DD7AF">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《大气污染物综合排放标准》</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GB16297-1996</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中二级标准</w:t>
            </w:r>
          </w:p>
        </w:tc>
      </w:tr>
      <w:tr w14:paraId="516F80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91" w:hRule="atLeast"/>
          <w:jc w:val="center"/>
        </w:trPr>
        <w:tc>
          <w:tcPr>
            <w:tcW w:w="1561" w:type="dxa"/>
            <w:vAlign w:val="center"/>
          </w:tcPr>
          <w:p w14:paraId="58042194">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地表水环境</w:t>
            </w:r>
          </w:p>
        </w:tc>
        <w:tc>
          <w:tcPr>
            <w:tcW w:w="1500" w:type="dxa"/>
            <w:vAlign w:val="center"/>
          </w:tcPr>
          <w:p w14:paraId="69C6A98A">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生活污水</w:t>
            </w:r>
          </w:p>
        </w:tc>
        <w:tc>
          <w:tcPr>
            <w:tcW w:w="1320" w:type="dxa"/>
            <w:vAlign w:val="center"/>
          </w:tcPr>
          <w:p w14:paraId="719AF157">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pH、COD、</w:t>
            </w:r>
          </w:p>
          <w:p w14:paraId="4F71388C">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BOD</w:t>
            </w:r>
            <w:r>
              <w:rPr>
                <w:rFonts w:hint="default" w:ascii="Times New Roman" w:hAnsi="Times New Roman" w:eastAsia="宋体" w:cs="Times New Roman"/>
                <w:color w:val="auto"/>
                <w:sz w:val="24"/>
                <w:szCs w:val="24"/>
                <w:vertAlign w:val="subscript"/>
              </w:rPr>
              <w:t>5</w:t>
            </w:r>
            <w:r>
              <w:rPr>
                <w:rFonts w:hint="default" w:ascii="Times New Roman" w:hAnsi="Times New Roman" w:eastAsia="宋体" w:cs="Times New Roman"/>
                <w:color w:val="auto"/>
                <w:sz w:val="24"/>
                <w:szCs w:val="24"/>
              </w:rPr>
              <w:t>、SS、氨氮</w:t>
            </w:r>
          </w:p>
        </w:tc>
        <w:tc>
          <w:tcPr>
            <w:tcW w:w="2002" w:type="dxa"/>
            <w:vAlign w:val="center"/>
          </w:tcPr>
          <w:p w14:paraId="27E9B227">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生活污水经化粪池预处理后统一通过园区污水管网，排入铜桥港污水处理厂进一步处理</w:t>
            </w:r>
          </w:p>
        </w:tc>
        <w:tc>
          <w:tcPr>
            <w:tcW w:w="2417" w:type="dxa"/>
            <w:vAlign w:val="center"/>
          </w:tcPr>
          <w:p w14:paraId="3CA5F396">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《污水综合排放标准》（GB8978-1996）三级标准及铜桥港污水处理厂进水水质要求</w:t>
            </w:r>
          </w:p>
        </w:tc>
      </w:tr>
      <w:tr w14:paraId="3CE8FB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9" w:hRule="atLeast"/>
          <w:jc w:val="center"/>
        </w:trPr>
        <w:tc>
          <w:tcPr>
            <w:tcW w:w="1561" w:type="dxa"/>
            <w:vAlign w:val="center"/>
          </w:tcPr>
          <w:p w14:paraId="784CA9B6">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声环境</w:t>
            </w:r>
          </w:p>
        </w:tc>
        <w:tc>
          <w:tcPr>
            <w:tcW w:w="1500" w:type="dxa"/>
            <w:vAlign w:val="center"/>
          </w:tcPr>
          <w:p w14:paraId="7CE0E611">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highlight w:val="none"/>
                <w:lang w:val="en-US" w:eastAsia="zh-CN"/>
              </w:rPr>
              <w:t>老化柜、回流焊、锡膏印刷机</w:t>
            </w:r>
            <w:r>
              <w:rPr>
                <w:rFonts w:hint="default" w:ascii="Times New Roman" w:hAnsi="Times New Roman" w:eastAsia="宋体" w:cs="Times New Roman"/>
                <w:color w:val="auto"/>
                <w:sz w:val="24"/>
                <w:szCs w:val="24"/>
                <w:highlight w:val="none"/>
              </w:rPr>
              <w:t>等</w:t>
            </w:r>
            <w:r>
              <w:rPr>
                <w:rFonts w:hint="default" w:ascii="Times New Roman" w:hAnsi="Times New Roman" w:eastAsia="宋体" w:cs="Times New Roman"/>
                <w:color w:val="auto"/>
                <w:sz w:val="24"/>
                <w:szCs w:val="24"/>
              </w:rPr>
              <w:t>生产设备</w:t>
            </w:r>
          </w:p>
        </w:tc>
        <w:tc>
          <w:tcPr>
            <w:tcW w:w="1320" w:type="dxa"/>
            <w:vAlign w:val="center"/>
          </w:tcPr>
          <w:p w14:paraId="579A2B00">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噪声</w:t>
            </w:r>
          </w:p>
        </w:tc>
        <w:tc>
          <w:tcPr>
            <w:tcW w:w="2002" w:type="dxa"/>
            <w:vAlign w:val="center"/>
          </w:tcPr>
          <w:p w14:paraId="599B46F1">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采用低噪声设备，对产噪设备进行基础减振、建筑隔声、距离衰减等措施</w:t>
            </w:r>
          </w:p>
        </w:tc>
        <w:tc>
          <w:tcPr>
            <w:tcW w:w="2417" w:type="dxa"/>
            <w:vAlign w:val="center"/>
          </w:tcPr>
          <w:p w14:paraId="4473DA9B">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《工业企业厂界环境噪声排放标准》（GB12348-2008）中的3类标准要求</w:t>
            </w:r>
          </w:p>
        </w:tc>
      </w:tr>
      <w:tr w14:paraId="7FB12C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1" w:type="dxa"/>
            <w:vMerge w:val="restart"/>
            <w:vAlign w:val="center"/>
          </w:tcPr>
          <w:p w14:paraId="0C175F48">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固体废物</w:t>
            </w:r>
          </w:p>
        </w:tc>
        <w:tc>
          <w:tcPr>
            <w:tcW w:w="4822" w:type="dxa"/>
            <w:gridSpan w:val="3"/>
            <w:vAlign w:val="center"/>
          </w:tcPr>
          <w:p w14:paraId="27A990BA">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一般固废外售综合利用或送回厂家利用</w:t>
            </w:r>
          </w:p>
        </w:tc>
        <w:tc>
          <w:tcPr>
            <w:tcW w:w="2417" w:type="dxa"/>
            <w:vAlign w:val="center"/>
          </w:tcPr>
          <w:p w14:paraId="559BA2AE">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《一般工业固体废物贮存和填埋污染控制标准》（GB18599-2020）</w:t>
            </w:r>
          </w:p>
        </w:tc>
      </w:tr>
      <w:tr w14:paraId="037E52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1" w:type="dxa"/>
            <w:vMerge w:val="continue"/>
            <w:vAlign w:val="center"/>
          </w:tcPr>
          <w:p w14:paraId="1A1549F6">
            <w:pPr>
              <w:adjustRightInd w:val="0"/>
              <w:snapToGrid w:val="0"/>
              <w:jc w:val="center"/>
              <w:rPr>
                <w:rFonts w:hint="default" w:ascii="Times New Roman" w:hAnsi="Times New Roman" w:eastAsia="宋体" w:cs="Times New Roman"/>
                <w:color w:val="auto"/>
                <w:sz w:val="24"/>
                <w:szCs w:val="24"/>
              </w:rPr>
            </w:pPr>
          </w:p>
        </w:tc>
        <w:tc>
          <w:tcPr>
            <w:tcW w:w="4822" w:type="dxa"/>
            <w:gridSpan w:val="3"/>
            <w:vAlign w:val="center"/>
          </w:tcPr>
          <w:p w14:paraId="1D906E88">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危险废物在危废间分类分区暂存，委托有资质单位清运处置</w:t>
            </w:r>
          </w:p>
        </w:tc>
        <w:tc>
          <w:tcPr>
            <w:tcW w:w="2417" w:type="dxa"/>
            <w:vAlign w:val="center"/>
          </w:tcPr>
          <w:p w14:paraId="6BBAC849">
            <w:pPr>
              <w:adjustRightInd w:val="0"/>
              <w:snapToGrid w:val="0"/>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 xml:space="preserve">《危险废物贮存污染控制标准》(GB 18597-2023) </w:t>
            </w:r>
          </w:p>
        </w:tc>
      </w:tr>
      <w:tr w14:paraId="7B6694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1" w:type="dxa"/>
            <w:vMerge w:val="continue"/>
            <w:vAlign w:val="center"/>
          </w:tcPr>
          <w:p w14:paraId="2157CEBD">
            <w:pPr>
              <w:adjustRightInd w:val="0"/>
              <w:snapToGrid w:val="0"/>
              <w:jc w:val="center"/>
              <w:rPr>
                <w:rFonts w:hint="default" w:ascii="Times New Roman" w:hAnsi="Times New Roman" w:eastAsia="宋体" w:cs="Times New Roman"/>
                <w:color w:val="auto"/>
                <w:sz w:val="24"/>
                <w:szCs w:val="24"/>
              </w:rPr>
            </w:pPr>
          </w:p>
        </w:tc>
        <w:tc>
          <w:tcPr>
            <w:tcW w:w="4822" w:type="dxa"/>
            <w:gridSpan w:val="3"/>
            <w:vAlign w:val="center"/>
          </w:tcPr>
          <w:p w14:paraId="3D840D19">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职工办公生活垃圾采用垃圾桶收集，由环卫部门定期清运</w:t>
            </w:r>
          </w:p>
        </w:tc>
        <w:tc>
          <w:tcPr>
            <w:tcW w:w="2417" w:type="dxa"/>
            <w:vAlign w:val="center"/>
          </w:tcPr>
          <w:p w14:paraId="12A004BE">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《生活垃圾填埋场污染控制标准》（GB16889-2008）</w:t>
            </w:r>
          </w:p>
        </w:tc>
      </w:tr>
      <w:tr w14:paraId="5E4229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561" w:type="dxa"/>
            <w:vAlign w:val="center"/>
          </w:tcPr>
          <w:p w14:paraId="5653EE61">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土壤及地下水污染防治措施</w:t>
            </w:r>
          </w:p>
        </w:tc>
        <w:tc>
          <w:tcPr>
            <w:tcW w:w="7239" w:type="dxa"/>
            <w:gridSpan w:val="4"/>
            <w:vAlign w:val="center"/>
          </w:tcPr>
          <w:p w14:paraId="5CEA77AF">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采取分区防渗措施：</w:t>
            </w:r>
          </w:p>
          <w:p w14:paraId="6314618E">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危废暂存间</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b w:val="0"/>
                <w:bCs w:val="0"/>
                <w:color w:val="auto"/>
                <w:sz w:val="24"/>
                <w:szCs w:val="24"/>
                <w:highlight w:val="none"/>
                <w:lang w:val="en-US" w:eastAsia="zh-CN"/>
              </w:rPr>
              <w:t>灌封胶、清洗剂库房</w:t>
            </w:r>
            <w:r>
              <w:rPr>
                <w:rFonts w:hint="default" w:ascii="Times New Roman" w:hAnsi="Times New Roman" w:eastAsia="宋体" w:cs="Times New Roman"/>
                <w:color w:val="auto"/>
                <w:sz w:val="24"/>
                <w:szCs w:val="24"/>
              </w:rPr>
              <w:t>等重点防渗区的防渗性能应与6.0m厚粘土层（渗透系数≤1.0×10</w:t>
            </w:r>
            <w:r>
              <w:rPr>
                <w:rFonts w:hint="default" w:ascii="Times New Roman" w:hAnsi="Times New Roman" w:eastAsia="宋体" w:cs="Times New Roman"/>
                <w:color w:val="auto"/>
                <w:sz w:val="24"/>
                <w:szCs w:val="24"/>
                <w:vertAlign w:val="superscript"/>
              </w:rPr>
              <w:t>-10</w:t>
            </w:r>
            <w:r>
              <w:rPr>
                <w:rFonts w:hint="default" w:ascii="Times New Roman" w:hAnsi="Times New Roman" w:eastAsia="宋体" w:cs="Times New Roman"/>
                <w:color w:val="auto"/>
                <w:sz w:val="24"/>
                <w:szCs w:val="24"/>
              </w:rPr>
              <w:t>cm/s）等效。</w:t>
            </w:r>
          </w:p>
          <w:p w14:paraId="60D892A7">
            <w:pPr>
              <w:pStyle w:val="2"/>
              <w:keepNext w:val="0"/>
              <w:keepLines w:val="0"/>
              <w:pageBreakBefore w:val="0"/>
              <w:widowControl w:val="0"/>
              <w:kinsoku/>
              <w:wordWrap/>
              <w:overflowPunct/>
              <w:topLinePunct w:val="0"/>
              <w:autoSpaceDE/>
              <w:autoSpaceDN/>
              <w:bidi w:val="0"/>
              <w:spacing w:before="0" w:after="0" w:line="400" w:lineRule="exact"/>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生产区、其他库房、物流通道等一般防渗区的防渗性能应与1.5m</w:t>
            </w:r>
            <w:r>
              <w:rPr>
                <w:rFonts w:hint="default" w:ascii="Times New Roman" w:hAnsi="Times New Roman" w:eastAsia="宋体" w:cs="Times New Roman"/>
                <w:b w:val="0"/>
                <w:bCs w:val="0"/>
                <w:color w:val="auto"/>
                <w:sz w:val="24"/>
                <w:szCs w:val="24"/>
                <w:lang w:val="en-US" w:eastAsia="zh-CN"/>
              </w:rPr>
              <w:t>厚</w:t>
            </w:r>
            <w:r>
              <w:rPr>
                <w:rFonts w:hint="default" w:ascii="Times New Roman" w:hAnsi="Times New Roman" w:eastAsia="宋体" w:cs="Times New Roman"/>
                <w:b w:val="0"/>
                <w:bCs w:val="0"/>
                <w:color w:val="auto"/>
                <w:sz w:val="24"/>
                <w:szCs w:val="24"/>
              </w:rPr>
              <w:t>粘土层（渗透系数≤1.0×10</w:t>
            </w:r>
            <w:r>
              <w:rPr>
                <w:rFonts w:hint="default" w:ascii="Times New Roman" w:hAnsi="Times New Roman" w:eastAsia="宋体" w:cs="Times New Roman"/>
                <w:b w:val="0"/>
                <w:bCs w:val="0"/>
                <w:color w:val="auto"/>
                <w:sz w:val="24"/>
                <w:szCs w:val="24"/>
                <w:vertAlign w:val="superscript"/>
              </w:rPr>
              <w:t>-7</w:t>
            </w:r>
            <w:r>
              <w:rPr>
                <w:rFonts w:hint="default" w:ascii="Times New Roman" w:hAnsi="Times New Roman" w:eastAsia="宋体" w:cs="Times New Roman"/>
                <w:b w:val="0"/>
                <w:bCs w:val="0"/>
                <w:color w:val="auto"/>
                <w:sz w:val="24"/>
                <w:szCs w:val="24"/>
              </w:rPr>
              <w:t>cm/s）等效。</w:t>
            </w:r>
          </w:p>
          <w:p w14:paraId="41B938BA">
            <w:pPr>
              <w:pStyle w:val="2"/>
              <w:keepNext w:val="0"/>
              <w:keepLines w:val="0"/>
              <w:pageBreakBefore w:val="0"/>
              <w:widowControl w:val="0"/>
              <w:kinsoku/>
              <w:wordWrap/>
              <w:overflowPunct/>
              <w:topLinePunct w:val="0"/>
              <w:autoSpaceDE/>
              <w:autoSpaceDN/>
              <w:bidi w:val="0"/>
              <w:spacing w:before="0" w:after="0" w:line="400" w:lineRule="exact"/>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办公区等简单防渗区应全部进行硬化处理。</w:t>
            </w:r>
          </w:p>
          <w:p w14:paraId="5AE63608">
            <w:pPr>
              <w:pStyle w:val="2"/>
              <w:keepNext w:val="0"/>
              <w:keepLines w:val="0"/>
              <w:pageBreakBefore w:val="0"/>
              <w:widowControl w:val="0"/>
              <w:kinsoku/>
              <w:wordWrap/>
              <w:overflowPunct/>
              <w:topLinePunct w:val="0"/>
              <w:autoSpaceDE/>
              <w:autoSpaceDN/>
              <w:bidi w:val="0"/>
              <w:spacing w:before="0" w:after="0" w:line="400" w:lineRule="exact"/>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val="0"/>
                <w:bCs w:val="0"/>
                <w:color w:val="auto"/>
                <w:sz w:val="24"/>
                <w:szCs w:val="24"/>
              </w:rPr>
              <w:t>此外，加强厂区防渗、防腐设施的检查、维修力度，确保防渗措施有效。</w:t>
            </w:r>
          </w:p>
        </w:tc>
      </w:tr>
      <w:tr w14:paraId="6B4D97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561" w:type="dxa"/>
            <w:vAlign w:val="center"/>
          </w:tcPr>
          <w:p w14:paraId="6DD2702C">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生态保护措施</w:t>
            </w:r>
          </w:p>
        </w:tc>
        <w:tc>
          <w:tcPr>
            <w:tcW w:w="7239" w:type="dxa"/>
            <w:gridSpan w:val="4"/>
            <w:vAlign w:val="center"/>
          </w:tcPr>
          <w:p w14:paraId="277CC4D2">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无</w:t>
            </w:r>
          </w:p>
        </w:tc>
      </w:tr>
      <w:tr w14:paraId="41C0D9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561" w:type="dxa"/>
            <w:vAlign w:val="center"/>
          </w:tcPr>
          <w:p w14:paraId="5A37DDEF">
            <w:pPr>
              <w:adjustRightInd w:val="0"/>
              <w:snapToGrid w:val="0"/>
              <w:jc w:val="center"/>
              <w:rPr>
                <w:rFonts w:hint="default" w:ascii="Times New Roman" w:hAnsi="Times New Roman" w:eastAsia="宋体" w:cs="Times New Roman"/>
                <w:color w:val="auto"/>
                <w:spacing w:val="-8"/>
                <w:sz w:val="24"/>
                <w:szCs w:val="24"/>
              </w:rPr>
            </w:pPr>
            <w:r>
              <w:rPr>
                <w:rFonts w:hint="default" w:ascii="Times New Roman" w:hAnsi="Times New Roman" w:eastAsia="宋体" w:cs="Times New Roman"/>
                <w:color w:val="auto"/>
                <w:spacing w:val="-8"/>
                <w:sz w:val="24"/>
                <w:szCs w:val="24"/>
              </w:rPr>
              <w:t>环境风险</w:t>
            </w:r>
          </w:p>
          <w:p w14:paraId="63EA9933">
            <w:pPr>
              <w:adjustRightInd w:val="0"/>
              <w:snapToGrid w:val="0"/>
              <w:jc w:val="center"/>
              <w:rPr>
                <w:rFonts w:hint="default" w:ascii="Times New Roman" w:hAnsi="Times New Roman" w:eastAsia="宋体" w:cs="Times New Roman"/>
                <w:color w:val="auto"/>
                <w:spacing w:val="-8"/>
                <w:sz w:val="24"/>
                <w:szCs w:val="24"/>
              </w:rPr>
            </w:pPr>
            <w:r>
              <w:rPr>
                <w:rFonts w:hint="default" w:ascii="Times New Roman" w:hAnsi="Times New Roman" w:eastAsia="宋体" w:cs="Times New Roman"/>
                <w:color w:val="auto"/>
                <w:spacing w:val="-8"/>
                <w:sz w:val="24"/>
                <w:szCs w:val="24"/>
              </w:rPr>
              <w:t>防范措施</w:t>
            </w:r>
          </w:p>
        </w:tc>
        <w:tc>
          <w:tcPr>
            <w:tcW w:w="7239" w:type="dxa"/>
            <w:gridSpan w:val="4"/>
            <w:vAlign w:val="center"/>
          </w:tcPr>
          <w:p w14:paraId="78166AB3">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加强危化品使用、运输及储存过程风险防范，液态物料储存区设围堰，围堰容积应满足事故泄漏物收集的要求；按照安全及消防要求进行管理并配置消防灭火设施，定期检查。</w:t>
            </w:r>
          </w:p>
        </w:tc>
      </w:tr>
      <w:tr w14:paraId="49719B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561" w:type="dxa"/>
            <w:vAlign w:val="center"/>
          </w:tcPr>
          <w:p w14:paraId="79B9F1C7">
            <w:pPr>
              <w:adjustRightInd w:val="0"/>
              <w:snapToGrid w:val="0"/>
              <w:jc w:val="center"/>
              <w:rPr>
                <w:rFonts w:hint="default" w:ascii="Times New Roman" w:hAnsi="Times New Roman" w:eastAsia="宋体" w:cs="Times New Roman"/>
                <w:color w:val="auto"/>
                <w:spacing w:val="-8"/>
                <w:sz w:val="24"/>
                <w:szCs w:val="24"/>
              </w:rPr>
            </w:pPr>
            <w:r>
              <w:rPr>
                <w:rFonts w:hint="default" w:ascii="Times New Roman" w:hAnsi="Times New Roman" w:eastAsia="宋体" w:cs="Times New Roman"/>
                <w:color w:val="auto"/>
                <w:spacing w:val="-8"/>
                <w:sz w:val="24"/>
                <w:szCs w:val="24"/>
              </w:rPr>
              <w:t>其他环境</w:t>
            </w:r>
          </w:p>
          <w:p w14:paraId="2E9BAC98">
            <w:pPr>
              <w:adjustRightInd w:val="0"/>
              <w:snapToGrid w:val="0"/>
              <w:jc w:val="center"/>
              <w:rPr>
                <w:rFonts w:hint="default" w:ascii="Times New Roman" w:hAnsi="Times New Roman" w:eastAsia="宋体" w:cs="Times New Roman"/>
                <w:color w:val="auto"/>
                <w:spacing w:val="-8"/>
                <w:sz w:val="24"/>
                <w:szCs w:val="24"/>
              </w:rPr>
            </w:pPr>
            <w:r>
              <w:rPr>
                <w:rFonts w:hint="default" w:ascii="Times New Roman" w:hAnsi="Times New Roman" w:eastAsia="宋体" w:cs="Times New Roman"/>
                <w:color w:val="auto"/>
                <w:spacing w:val="-8"/>
                <w:sz w:val="24"/>
                <w:szCs w:val="24"/>
              </w:rPr>
              <w:t>管理要求</w:t>
            </w:r>
          </w:p>
        </w:tc>
        <w:tc>
          <w:tcPr>
            <w:tcW w:w="7239" w:type="dxa"/>
            <w:gridSpan w:val="4"/>
            <w:vAlign w:val="center"/>
          </w:tcPr>
          <w:p w14:paraId="4AB441C3">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①排污口规范化</w:t>
            </w:r>
          </w:p>
          <w:p w14:paraId="44325D82">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本项目需按照《排污口规范化整治技术要求（试行）》要求进行排放口规范化建设工作。按《环境保护图形标志——排放口（源）》（GB15562.1-1995）要求设置标志牌。具体见表5-1。</w:t>
            </w:r>
          </w:p>
          <w:p w14:paraId="7C817F14">
            <w:pPr>
              <w:pStyle w:val="2"/>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表5-1 环境保护图形符号一览表</w:t>
            </w:r>
          </w:p>
          <w:tbl>
            <w:tblPr>
              <w:tblStyle w:val="18"/>
              <w:tblW w:w="7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7"/>
              <w:gridCol w:w="1845"/>
              <w:gridCol w:w="1754"/>
              <w:gridCol w:w="1412"/>
              <w:gridCol w:w="1412"/>
            </w:tblGrid>
            <w:tr w14:paraId="5AD7A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37" w:type="dxa"/>
                  <w:vAlign w:val="center"/>
                </w:tcPr>
                <w:p w14:paraId="1210E107">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序号</w:t>
                  </w:r>
                </w:p>
              </w:tc>
              <w:tc>
                <w:tcPr>
                  <w:tcW w:w="1845" w:type="dxa"/>
                  <w:vAlign w:val="center"/>
                </w:tcPr>
                <w:p w14:paraId="59BC5438">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提示图形符号</w:t>
                  </w:r>
                </w:p>
              </w:tc>
              <w:tc>
                <w:tcPr>
                  <w:tcW w:w="1754" w:type="dxa"/>
                  <w:vAlign w:val="center"/>
                </w:tcPr>
                <w:p w14:paraId="46FCC5B1">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警示图形符号</w:t>
                  </w:r>
                </w:p>
              </w:tc>
              <w:tc>
                <w:tcPr>
                  <w:tcW w:w="1412" w:type="dxa"/>
                  <w:vAlign w:val="center"/>
                </w:tcPr>
                <w:p w14:paraId="2B02EBC3">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名称</w:t>
                  </w:r>
                </w:p>
              </w:tc>
              <w:tc>
                <w:tcPr>
                  <w:tcW w:w="1412" w:type="dxa"/>
                  <w:vAlign w:val="center"/>
                </w:tcPr>
                <w:p w14:paraId="22CD757C">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功能</w:t>
                  </w:r>
                </w:p>
              </w:tc>
            </w:tr>
            <w:tr w14:paraId="1F0F7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637" w:type="dxa"/>
                  <w:vAlign w:val="center"/>
                </w:tcPr>
                <w:p w14:paraId="4CB32E6F">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1</w:t>
                  </w:r>
                </w:p>
              </w:tc>
              <w:tc>
                <w:tcPr>
                  <w:tcW w:w="1845" w:type="dxa"/>
                  <w:vAlign w:val="center"/>
                </w:tcPr>
                <w:p w14:paraId="056AFE4C">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rPr>
                    <w:drawing>
                      <wp:inline distT="0" distB="0" distL="0" distR="0">
                        <wp:extent cx="1034415" cy="983615"/>
                        <wp:effectExtent l="0" t="0" r="13334" b="6985"/>
                        <wp:docPr id="1110" name="图片 1"/>
                        <wp:cNvGraphicFramePr/>
                        <a:graphic xmlns:a="http://schemas.openxmlformats.org/drawingml/2006/main">
                          <a:graphicData uri="http://schemas.openxmlformats.org/drawingml/2006/picture">
                            <pic:pic xmlns:pic="http://schemas.openxmlformats.org/drawingml/2006/picture">
                              <pic:nvPicPr>
                                <pic:cNvPr id="1110" name="图片 1"/>
                                <pic:cNvPicPr/>
                              </pic:nvPicPr>
                              <pic:blipFill>
                                <a:blip r:embed="rId19" cstate="print"/>
                                <a:srcRect/>
                                <a:stretch>
                                  <a:fillRect/>
                                </a:stretch>
                              </pic:blipFill>
                              <pic:spPr>
                                <a:xfrm>
                                  <a:off x="0" y="0"/>
                                  <a:ext cx="1034415" cy="983615"/>
                                </a:xfrm>
                                <a:prstGeom prst="rect">
                                  <a:avLst/>
                                </a:prstGeom>
                                <a:ln>
                                  <a:noFill/>
                                </a:ln>
                              </pic:spPr>
                            </pic:pic>
                          </a:graphicData>
                        </a:graphic>
                      </wp:inline>
                    </w:drawing>
                  </w:r>
                </w:p>
              </w:tc>
              <w:tc>
                <w:tcPr>
                  <w:tcW w:w="1754" w:type="dxa"/>
                  <w:vAlign w:val="center"/>
                </w:tcPr>
                <w:p w14:paraId="4F732998">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rPr>
                    <w:drawing>
                      <wp:inline distT="0" distB="0" distL="0" distR="0">
                        <wp:extent cx="900430" cy="809625"/>
                        <wp:effectExtent l="0" t="0" r="13970" b="9525"/>
                        <wp:docPr id="1111" name="图片 12"/>
                        <wp:cNvGraphicFramePr/>
                        <a:graphic xmlns:a="http://schemas.openxmlformats.org/drawingml/2006/main">
                          <a:graphicData uri="http://schemas.openxmlformats.org/drawingml/2006/picture">
                            <pic:pic xmlns:pic="http://schemas.openxmlformats.org/drawingml/2006/picture">
                              <pic:nvPicPr>
                                <pic:cNvPr id="1111" name="图片 12"/>
                                <pic:cNvPicPr/>
                              </pic:nvPicPr>
                              <pic:blipFill>
                                <a:blip r:embed="rId20" cstate="print"/>
                                <a:srcRect/>
                                <a:stretch>
                                  <a:fillRect/>
                                </a:stretch>
                              </pic:blipFill>
                              <pic:spPr>
                                <a:xfrm>
                                  <a:off x="0" y="0"/>
                                  <a:ext cx="900430" cy="809625"/>
                                </a:xfrm>
                                <a:prstGeom prst="rect">
                                  <a:avLst/>
                                </a:prstGeom>
                                <a:ln>
                                  <a:noFill/>
                                </a:ln>
                              </pic:spPr>
                            </pic:pic>
                          </a:graphicData>
                        </a:graphic>
                      </wp:inline>
                    </w:drawing>
                  </w:r>
                </w:p>
              </w:tc>
              <w:tc>
                <w:tcPr>
                  <w:tcW w:w="1412" w:type="dxa"/>
                  <w:vAlign w:val="center"/>
                </w:tcPr>
                <w:p w14:paraId="744625EF">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废气排放口</w:t>
                  </w:r>
                </w:p>
              </w:tc>
              <w:tc>
                <w:tcPr>
                  <w:tcW w:w="1412" w:type="dxa"/>
                  <w:vAlign w:val="center"/>
                </w:tcPr>
                <w:p w14:paraId="363867E6">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表示废气向大气环境排放</w:t>
                  </w:r>
                </w:p>
              </w:tc>
            </w:tr>
            <w:tr w14:paraId="5B39D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637" w:type="dxa"/>
                  <w:vAlign w:val="center"/>
                </w:tcPr>
                <w:p w14:paraId="1092A8EC">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2</w:t>
                  </w:r>
                </w:p>
              </w:tc>
              <w:tc>
                <w:tcPr>
                  <w:tcW w:w="1845" w:type="dxa"/>
                  <w:vAlign w:val="center"/>
                </w:tcPr>
                <w:p w14:paraId="571FD21E">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rPr>
                    <w:drawing>
                      <wp:inline distT="0" distB="0" distL="0" distR="0">
                        <wp:extent cx="1033145" cy="989330"/>
                        <wp:effectExtent l="0" t="0" r="13970" b="1270"/>
                        <wp:docPr id="1112" name="图片 2"/>
                        <wp:cNvGraphicFramePr/>
                        <a:graphic xmlns:a="http://schemas.openxmlformats.org/drawingml/2006/main">
                          <a:graphicData uri="http://schemas.openxmlformats.org/drawingml/2006/picture">
                            <pic:pic xmlns:pic="http://schemas.openxmlformats.org/drawingml/2006/picture">
                              <pic:nvPicPr>
                                <pic:cNvPr id="1112" name="图片 2"/>
                                <pic:cNvPicPr/>
                              </pic:nvPicPr>
                              <pic:blipFill>
                                <a:blip r:embed="rId21" cstate="print"/>
                                <a:srcRect/>
                                <a:stretch>
                                  <a:fillRect/>
                                </a:stretch>
                              </pic:blipFill>
                              <pic:spPr>
                                <a:xfrm>
                                  <a:off x="0" y="0"/>
                                  <a:ext cx="1033145" cy="989330"/>
                                </a:xfrm>
                                <a:prstGeom prst="rect">
                                  <a:avLst/>
                                </a:prstGeom>
                                <a:ln>
                                  <a:noFill/>
                                </a:ln>
                              </pic:spPr>
                            </pic:pic>
                          </a:graphicData>
                        </a:graphic>
                      </wp:inline>
                    </w:drawing>
                  </w:r>
                </w:p>
              </w:tc>
              <w:tc>
                <w:tcPr>
                  <w:tcW w:w="1754" w:type="dxa"/>
                  <w:vAlign w:val="center"/>
                </w:tcPr>
                <w:p w14:paraId="690FD806">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rPr>
                    <w:drawing>
                      <wp:inline distT="0" distB="0" distL="0" distR="0">
                        <wp:extent cx="904875" cy="762000"/>
                        <wp:effectExtent l="0" t="0" r="9525" b="0"/>
                        <wp:docPr id="1113" name="图片 13"/>
                        <wp:cNvGraphicFramePr/>
                        <a:graphic xmlns:a="http://schemas.openxmlformats.org/drawingml/2006/main">
                          <a:graphicData uri="http://schemas.openxmlformats.org/drawingml/2006/picture">
                            <pic:pic xmlns:pic="http://schemas.openxmlformats.org/drawingml/2006/picture">
                              <pic:nvPicPr>
                                <pic:cNvPr id="1113" name="图片 13"/>
                                <pic:cNvPicPr/>
                              </pic:nvPicPr>
                              <pic:blipFill>
                                <a:blip r:embed="rId22" cstate="print"/>
                                <a:srcRect/>
                                <a:stretch>
                                  <a:fillRect/>
                                </a:stretch>
                              </pic:blipFill>
                              <pic:spPr>
                                <a:xfrm>
                                  <a:off x="0" y="0"/>
                                  <a:ext cx="904875" cy="762000"/>
                                </a:xfrm>
                                <a:prstGeom prst="rect">
                                  <a:avLst/>
                                </a:prstGeom>
                                <a:ln>
                                  <a:noFill/>
                                </a:ln>
                              </pic:spPr>
                            </pic:pic>
                          </a:graphicData>
                        </a:graphic>
                      </wp:inline>
                    </w:drawing>
                  </w:r>
                </w:p>
              </w:tc>
              <w:tc>
                <w:tcPr>
                  <w:tcW w:w="1412" w:type="dxa"/>
                  <w:vAlign w:val="center"/>
                </w:tcPr>
                <w:p w14:paraId="507B0C12">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污水排放口</w:t>
                  </w:r>
                </w:p>
              </w:tc>
              <w:tc>
                <w:tcPr>
                  <w:tcW w:w="1412" w:type="dxa"/>
                  <w:vAlign w:val="center"/>
                </w:tcPr>
                <w:p w14:paraId="0FD856CC">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表示污水向水体排放</w:t>
                  </w:r>
                </w:p>
              </w:tc>
            </w:tr>
            <w:tr w14:paraId="40639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637" w:type="dxa"/>
                  <w:vAlign w:val="center"/>
                </w:tcPr>
                <w:p w14:paraId="7AF0BBF8">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3</w:t>
                  </w:r>
                </w:p>
              </w:tc>
              <w:tc>
                <w:tcPr>
                  <w:tcW w:w="1845" w:type="dxa"/>
                  <w:vAlign w:val="center"/>
                </w:tcPr>
                <w:p w14:paraId="69D74A93">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rPr>
                    <w:drawing>
                      <wp:inline distT="0" distB="0" distL="0" distR="0">
                        <wp:extent cx="1034415" cy="994410"/>
                        <wp:effectExtent l="0" t="0" r="13334" b="15240"/>
                        <wp:docPr id="1114" name="图片 5"/>
                        <wp:cNvGraphicFramePr/>
                        <a:graphic xmlns:a="http://schemas.openxmlformats.org/drawingml/2006/main">
                          <a:graphicData uri="http://schemas.openxmlformats.org/drawingml/2006/picture">
                            <pic:pic xmlns:pic="http://schemas.openxmlformats.org/drawingml/2006/picture">
                              <pic:nvPicPr>
                                <pic:cNvPr id="1114" name="图片 5"/>
                                <pic:cNvPicPr/>
                              </pic:nvPicPr>
                              <pic:blipFill>
                                <a:blip r:embed="rId23" cstate="print"/>
                                <a:srcRect/>
                                <a:stretch>
                                  <a:fillRect/>
                                </a:stretch>
                              </pic:blipFill>
                              <pic:spPr>
                                <a:xfrm>
                                  <a:off x="0" y="0"/>
                                  <a:ext cx="1034415" cy="994410"/>
                                </a:xfrm>
                                <a:prstGeom prst="rect">
                                  <a:avLst/>
                                </a:prstGeom>
                                <a:ln>
                                  <a:noFill/>
                                </a:ln>
                              </pic:spPr>
                            </pic:pic>
                          </a:graphicData>
                        </a:graphic>
                      </wp:inline>
                    </w:drawing>
                  </w:r>
                </w:p>
              </w:tc>
              <w:tc>
                <w:tcPr>
                  <w:tcW w:w="1754" w:type="dxa"/>
                  <w:vAlign w:val="center"/>
                </w:tcPr>
                <w:p w14:paraId="197BD769">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rPr>
                    <w:drawing>
                      <wp:inline distT="0" distB="0" distL="0" distR="0">
                        <wp:extent cx="899160" cy="801370"/>
                        <wp:effectExtent l="0" t="0" r="14605" b="17780"/>
                        <wp:docPr id="1115" name="图片 10"/>
                        <wp:cNvGraphicFramePr/>
                        <a:graphic xmlns:a="http://schemas.openxmlformats.org/drawingml/2006/main">
                          <a:graphicData uri="http://schemas.openxmlformats.org/drawingml/2006/picture">
                            <pic:pic xmlns:pic="http://schemas.openxmlformats.org/drawingml/2006/picture">
                              <pic:nvPicPr>
                                <pic:cNvPr id="1115" name="图片 10"/>
                                <pic:cNvPicPr/>
                              </pic:nvPicPr>
                              <pic:blipFill>
                                <a:blip r:embed="rId24" cstate="print"/>
                                <a:srcRect/>
                                <a:stretch>
                                  <a:fillRect/>
                                </a:stretch>
                              </pic:blipFill>
                              <pic:spPr>
                                <a:xfrm>
                                  <a:off x="0" y="0"/>
                                  <a:ext cx="899160" cy="801370"/>
                                </a:xfrm>
                                <a:prstGeom prst="rect">
                                  <a:avLst/>
                                </a:prstGeom>
                                <a:ln>
                                  <a:noFill/>
                                </a:ln>
                              </pic:spPr>
                            </pic:pic>
                          </a:graphicData>
                        </a:graphic>
                      </wp:inline>
                    </w:drawing>
                  </w:r>
                </w:p>
              </w:tc>
              <w:tc>
                <w:tcPr>
                  <w:tcW w:w="1412" w:type="dxa"/>
                  <w:vAlign w:val="center"/>
                </w:tcPr>
                <w:p w14:paraId="26CB111B">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噪声排放源</w:t>
                  </w:r>
                </w:p>
              </w:tc>
              <w:tc>
                <w:tcPr>
                  <w:tcW w:w="1412" w:type="dxa"/>
                  <w:vAlign w:val="center"/>
                </w:tcPr>
                <w:p w14:paraId="5B39C2F0">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表示噪声向水体排放</w:t>
                  </w:r>
                </w:p>
              </w:tc>
            </w:tr>
            <w:tr w14:paraId="4224B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637" w:type="dxa"/>
                  <w:vAlign w:val="center"/>
                </w:tcPr>
                <w:p w14:paraId="540FD847">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4</w:t>
                  </w:r>
                </w:p>
              </w:tc>
              <w:tc>
                <w:tcPr>
                  <w:tcW w:w="1845" w:type="dxa"/>
                  <w:vAlign w:val="center"/>
                </w:tcPr>
                <w:p w14:paraId="3F4141C2">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rPr>
                    <w:drawing>
                      <wp:inline distT="0" distB="0" distL="0" distR="0">
                        <wp:extent cx="1033145" cy="984885"/>
                        <wp:effectExtent l="0" t="0" r="13970" b="5080"/>
                        <wp:docPr id="1116" name="图片 4"/>
                        <wp:cNvGraphicFramePr/>
                        <a:graphic xmlns:a="http://schemas.openxmlformats.org/drawingml/2006/main">
                          <a:graphicData uri="http://schemas.openxmlformats.org/drawingml/2006/picture">
                            <pic:pic xmlns:pic="http://schemas.openxmlformats.org/drawingml/2006/picture">
                              <pic:nvPicPr>
                                <pic:cNvPr id="1116" name="图片 4"/>
                                <pic:cNvPicPr/>
                              </pic:nvPicPr>
                              <pic:blipFill>
                                <a:blip r:embed="rId25" cstate="print"/>
                                <a:srcRect/>
                                <a:stretch>
                                  <a:fillRect/>
                                </a:stretch>
                              </pic:blipFill>
                              <pic:spPr>
                                <a:xfrm>
                                  <a:off x="0" y="0"/>
                                  <a:ext cx="1033145" cy="984885"/>
                                </a:xfrm>
                                <a:prstGeom prst="rect">
                                  <a:avLst/>
                                </a:prstGeom>
                                <a:ln>
                                  <a:noFill/>
                                </a:ln>
                              </pic:spPr>
                            </pic:pic>
                          </a:graphicData>
                        </a:graphic>
                      </wp:inline>
                    </w:drawing>
                  </w:r>
                </w:p>
              </w:tc>
              <w:tc>
                <w:tcPr>
                  <w:tcW w:w="1754" w:type="dxa"/>
                  <w:vAlign w:val="center"/>
                </w:tcPr>
                <w:p w14:paraId="7905305B">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rPr>
                    <w:drawing>
                      <wp:inline distT="0" distB="0" distL="0" distR="0">
                        <wp:extent cx="899160" cy="771525"/>
                        <wp:effectExtent l="0" t="0" r="14605" b="9525"/>
                        <wp:docPr id="1117" name="图片 9"/>
                        <wp:cNvGraphicFramePr/>
                        <a:graphic xmlns:a="http://schemas.openxmlformats.org/drawingml/2006/main">
                          <a:graphicData uri="http://schemas.openxmlformats.org/drawingml/2006/picture">
                            <pic:pic xmlns:pic="http://schemas.openxmlformats.org/drawingml/2006/picture">
                              <pic:nvPicPr>
                                <pic:cNvPr id="1117" name="图片 9"/>
                                <pic:cNvPicPr/>
                              </pic:nvPicPr>
                              <pic:blipFill>
                                <a:blip r:embed="rId26" cstate="print"/>
                                <a:srcRect/>
                                <a:stretch>
                                  <a:fillRect/>
                                </a:stretch>
                              </pic:blipFill>
                              <pic:spPr>
                                <a:xfrm>
                                  <a:off x="0" y="0"/>
                                  <a:ext cx="899160" cy="771525"/>
                                </a:xfrm>
                                <a:prstGeom prst="rect">
                                  <a:avLst/>
                                </a:prstGeom>
                                <a:ln>
                                  <a:noFill/>
                                </a:ln>
                              </pic:spPr>
                            </pic:pic>
                          </a:graphicData>
                        </a:graphic>
                      </wp:inline>
                    </w:drawing>
                  </w:r>
                </w:p>
              </w:tc>
              <w:tc>
                <w:tcPr>
                  <w:tcW w:w="1412" w:type="dxa"/>
                  <w:vAlign w:val="center"/>
                </w:tcPr>
                <w:p w14:paraId="127FED5D">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一般固体废物</w:t>
                  </w:r>
                </w:p>
              </w:tc>
              <w:tc>
                <w:tcPr>
                  <w:tcW w:w="1412" w:type="dxa"/>
                  <w:vAlign w:val="center"/>
                </w:tcPr>
                <w:p w14:paraId="42EAA5A8">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表示一般固体废物贮存、处置场</w:t>
                  </w:r>
                </w:p>
              </w:tc>
            </w:tr>
          </w:tbl>
          <w:p w14:paraId="774CF6BA">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②排污许可管理</w:t>
            </w:r>
          </w:p>
          <w:p w14:paraId="474AB16D">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根据《排污许可管理条例》（中华人民共和国国务院令 第736号）、《排污许可管理办法（试行）》（部令第48号）、环境保护部办公厅《关于做好环境影响评价制度与排污许可制衔接相关工作的通知》（环办环评〔2017〕84号），建设项目发生实际排污行为之前，排污单位应当按照国家环境保护相关法律法规以及排污许可证申请与核发技术规范要求申请排污许可证，不得无证排污或不按证排污，环境保护部门通过对企事业单位发放排污许可证并依证监管实施排污许可制。</w:t>
            </w:r>
          </w:p>
          <w:p w14:paraId="1CE7DBE9">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③竣工环境保护“三同时”验收</w:t>
            </w:r>
          </w:p>
          <w:p w14:paraId="1415E405">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本项目竣工后建设单位应依据《建设项目环境保护管理条例》和《建设项目竣工环境保护验收暂行办法》、《建设项目竣工环境保护验收技术指南 污染影响类》，对配套建设的环境保护设施进行验收，编制验收报告。</w:t>
            </w:r>
          </w:p>
          <w:p w14:paraId="6C1479BE">
            <w:pPr>
              <w:rPr>
                <w:rFonts w:hint="default" w:ascii="Times New Roman" w:hAnsi="Times New Roman" w:eastAsia="宋体" w:cs="Times New Roman"/>
                <w:color w:val="auto"/>
                <w:sz w:val="24"/>
                <w:szCs w:val="24"/>
                <w:lang w:val="en-US" w:eastAsia="zh-CN"/>
              </w:rPr>
            </w:pPr>
          </w:p>
        </w:tc>
      </w:tr>
    </w:tbl>
    <w:p w14:paraId="0F15CCAB">
      <w:pPr>
        <w:pStyle w:val="15"/>
        <w:jc w:val="center"/>
        <w:outlineLvl w:val="0"/>
        <w:rPr>
          <w:rFonts w:hint="default" w:ascii="Times New Roman" w:hAnsi="Times New Roman" w:eastAsia="宋体" w:cs="Times New Roman"/>
          <w:snapToGrid w:val="0"/>
          <w:color w:val="auto"/>
          <w:sz w:val="30"/>
          <w:szCs w:val="30"/>
        </w:rPr>
      </w:pPr>
      <w:r>
        <w:rPr>
          <w:rFonts w:hint="default" w:ascii="Times New Roman" w:hAnsi="Times New Roman" w:eastAsia="宋体" w:cs="Times New Roman"/>
          <w:snapToGrid w:val="0"/>
          <w:color w:val="auto"/>
        </w:rPr>
        <w:br w:type="page"/>
      </w:r>
      <w:bookmarkStart w:id="9" w:name="_Toc28194"/>
      <w:r>
        <w:rPr>
          <w:rFonts w:hint="default" w:ascii="Times New Roman" w:hAnsi="Times New Roman" w:eastAsia="宋体" w:cs="Times New Roman"/>
          <w:snapToGrid w:val="0"/>
          <w:color w:val="auto"/>
          <w:sz w:val="30"/>
          <w:szCs w:val="30"/>
        </w:rPr>
        <w:t>六、结论</w:t>
      </w:r>
      <w:bookmarkEnd w:id="9"/>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1C19C2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1E5C61FE">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rPr>
            </w:pPr>
          </w:p>
          <w:p w14:paraId="69DC3CC3">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项目可行性结论</w:t>
            </w:r>
          </w:p>
          <w:p w14:paraId="6DD2267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highlight w:val="none"/>
              </w:rPr>
              <w:t>衡阳</w:t>
            </w:r>
            <w:r>
              <w:rPr>
                <w:rFonts w:hint="default" w:ascii="Times New Roman" w:hAnsi="Times New Roman" w:eastAsia="宋体" w:cs="Times New Roman"/>
                <w:color w:val="auto"/>
                <w:sz w:val="24"/>
                <w:szCs w:val="24"/>
                <w:highlight w:val="none"/>
                <w:lang w:val="en-US" w:eastAsia="zh-CN"/>
              </w:rPr>
              <w:t>铂科电子</w:t>
            </w:r>
            <w:r>
              <w:rPr>
                <w:rFonts w:hint="default" w:ascii="Times New Roman" w:hAnsi="Times New Roman" w:eastAsia="宋体" w:cs="Times New Roman"/>
                <w:color w:val="auto"/>
                <w:sz w:val="24"/>
                <w:szCs w:val="24"/>
                <w:highlight w:val="none"/>
              </w:rPr>
              <w:t>有限公司项目</w:t>
            </w:r>
            <w:r>
              <w:rPr>
                <w:rFonts w:hint="default" w:ascii="Times New Roman" w:hAnsi="Times New Roman" w:eastAsia="宋体" w:cs="Times New Roman"/>
                <w:color w:val="auto"/>
                <w:sz w:val="24"/>
                <w:szCs w:val="24"/>
              </w:rPr>
              <w:t>符合国家及地方产业政策，符合衡阳</w:t>
            </w:r>
            <w:r>
              <w:rPr>
                <w:rFonts w:hint="default" w:ascii="Times New Roman" w:hAnsi="Times New Roman" w:eastAsia="宋体" w:cs="Times New Roman"/>
                <w:color w:val="auto"/>
                <w:sz w:val="24"/>
                <w:szCs w:val="24"/>
                <w:lang w:val="en-US" w:eastAsia="zh-CN"/>
              </w:rPr>
              <w:t>高新技术产业开发区调区扩区</w:t>
            </w:r>
            <w:r>
              <w:rPr>
                <w:rFonts w:hint="default" w:ascii="Times New Roman" w:hAnsi="Times New Roman" w:eastAsia="宋体" w:cs="Times New Roman"/>
                <w:color w:val="auto"/>
                <w:sz w:val="24"/>
                <w:szCs w:val="24"/>
              </w:rPr>
              <w:t>规划，选址合理。运营期各污染物采取相应的污染治理措施和风险防范措施后，均可实现达标排放，环境风险可控，不会对区域环境产生明显不利影响。</w:t>
            </w:r>
          </w:p>
          <w:p w14:paraId="45E2869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本评价从环境保护的角度认为，该项目的建设是可行的。</w:t>
            </w:r>
          </w:p>
        </w:tc>
      </w:tr>
    </w:tbl>
    <w:p w14:paraId="70E43B45">
      <w:pPr>
        <w:rPr>
          <w:rFonts w:hint="default" w:ascii="Times New Roman" w:hAnsi="Times New Roman" w:eastAsia="宋体" w:cs="Times New Roman"/>
          <w:color w:val="auto"/>
        </w:rPr>
        <w:sectPr>
          <w:pgSz w:w="11906" w:h="16838"/>
          <w:pgMar w:top="1701" w:right="1531" w:bottom="1701" w:left="1531" w:header="851" w:footer="851" w:gutter="0"/>
          <w:pgNumType w:fmt="decimal"/>
          <w:cols w:space="720" w:num="1"/>
          <w:docGrid w:linePitch="312" w:charSpace="0"/>
        </w:sectPr>
      </w:pPr>
    </w:p>
    <w:p w14:paraId="472D3204">
      <w:pPr>
        <w:pStyle w:val="15"/>
        <w:adjustRightInd w:val="0"/>
        <w:snapToGrid w:val="0"/>
        <w:spacing w:before="0" w:beforeAutospacing="0" w:after="0" w:afterAutospacing="0" w:line="240" w:lineRule="auto"/>
        <w:outlineLvl w:val="9"/>
        <w:rPr>
          <w:rFonts w:hint="default" w:ascii="Times New Roman" w:hAnsi="Times New Roman" w:eastAsia="宋体" w:cs="Times New Roman"/>
          <w:snapToGrid w:val="0"/>
          <w:color w:val="auto"/>
          <w:sz w:val="32"/>
          <w:szCs w:val="32"/>
        </w:rPr>
      </w:pPr>
      <w:r>
        <w:rPr>
          <w:rFonts w:hint="default" w:ascii="Times New Roman" w:hAnsi="Times New Roman" w:eastAsia="宋体" w:cs="Times New Roman"/>
          <w:snapToGrid w:val="0"/>
          <w:color w:val="auto"/>
          <w:sz w:val="32"/>
          <w:szCs w:val="32"/>
        </w:rPr>
        <w:t>附表</w:t>
      </w:r>
    </w:p>
    <w:p w14:paraId="19131D6B">
      <w:pPr>
        <w:pStyle w:val="15"/>
        <w:adjustRightInd w:val="0"/>
        <w:snapToGrid w:val="0"/>
        <w:spacing w:before="0" w:beforeAutospacing="0" w:after="0" w:afterAutospacing="0" w:line="240" w:lineRule="auto"/>
        <w:jc w:val="center"/>
        <w:outlineLvl w:val="0"/>
        <w:rPr>
          <w:rFonts w:hint="default" w:ascii="Times New Roman" w:hAnsi="Times New Roman" w:eastAsia="宋体" w:cs="Times New Roman"/>
          <w:snapToGrid w:val="0"/>
          <w:color w:val="auto"/>
          <w:sz w:val="38"/>
          <w:szCs w:val="38"/>
        </w:rPr>
      </w:pPr>
      <w:bookmarkStart w:id="10" w:name="_Toc10105"/>
      <w:r>
        <w:rPr>
          <w:rFonts w:hint="default" w:ascii="Times New Roman" w:hAnsi="Times New Roman" w:eastAsia="宋体" w:cs="Times New Roman"/>
          <w:snapToGrid w:val="0"/>
          <w:color w:val="auto"/>
          <w:sz w:val="38"/>
          <w:szCs w:val="38"/>
        </w:rPr>
        <w:t>建设项目污染物排放量汇总表</w:t>
      </w:r>
      <w:bookmarkEnd w:id="10"/>
    </w:p>
    <w:tbl>
      <w:tblPr>
        <w:tblStyle w:val="17"/>
        <w:tblW w:w="14139"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50"/>
        <w:gridCol w:w="1650"/>
        <w:gridCol w:w="1606"/>
        <w:gridCol w:w="1276"/>
        <w:gridCol w:w="1533"/>
        <w:gridCol w:w="1417"/>
        <w:gridCol w:w="1698"/>
        <w:gridCol w:w="1808"/>
        <w:gridCol w:w="1701"/>
      </w:tblGrid>
      <w:tr w14:paraId="463B44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50" w:type="dxa"/>
            <w:tcBorders>
              <w:tl2br w:val="single" w:color="auto" w:sz="4" w:space="0"/>
            </w:tcBorders>
            <w:tcMar>
              <w:left w:w="28" w:type="dxa"/>
              <w:right w:w="28" w:type="dxa"/>
            </w:tcMar>
            <w:vAlign w:val="center"/>
          </w:tcPr>
          <w:p w14:paraId="11FD766B">
            <w:pPr>
              <w:pStyle w:val="34"/>
              <w:spacing w:line="240" w:lineRule="auto"/>
              <w:jc w:val="right"/>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项目</w:t>
            </w:r>
          </w:p>
          <w:p w14:paraId="49632F38">
            <w:pPr>
              <w:pStyle w:val="34"/>
              <w:spacing w:line="240" w:lineRule="auto"/>
              <w:jc w:val="left"/>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分类</w:t>
            </w:r>
          </w:p>
        </w:tc>
        <w:tc>
          <w:tcPr>
            <w:tcW w:w="1650" w:type="dxa"/>
            <w:tcMar>
              <w:left w:w="28" w:type="dxa"/>
              <w:right w:w="28" w:type="dxa"/>
            </w:tcMar>
            <w:vAlign w:val="center"/>
          </w:tcPr>
          <w:p w14:paraId="6734674A">
            <w:pPr>
              <w:pStyle w:val="34"/>
              <w:spacing w:line="240" w:lineRule="auto"/>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污染物名称</w:t>
            </w:r>
          </w:p>
        </w:tc>
        <w:tc>
          <w:tcPr>
            <w:tcW w:w="1606" w:type="dxa"/>
            <w:tcMar>
              <w:left w:w="28" w:type="dxa"/>
              <w:right w:w="28" w:type="dxa"/>
            </w:tcMar>
            <w:vAlign w:val="center"/>
          </w:tcPr>
          <w:p w14:paraId="24AEFBBE">
            <w:pPr>
              <w:pStyle w:val="34"/>
              <w:spacing w:line="240" w:lineRule="auto"/>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现有工程</w:t>
            </w:r>
          </w:p>
          <w:p w14:paraId="185E0897">
            <w:pPr>
              <w:pStyle w:val="34"/>
              <w:spacing w:line="240" w:lineRule="auto"/>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排放量（固体废物产生量）</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1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kern w:val="2"/>
                <w:szCs w:val="21"/>
              </w:rPr>
              <w:t>①</w:t>
            </w:r>
            <w:r>
              <w:rPr>
                <w:rFonts w:hint="default" w:ascii="Times New Roman" w:hAnsi="Times New Roman" w:eastAsia="宋体" w:cs="Times New Roman"/>
                <w:snapToGrid w:val="0"/>
                <w:color w:val="auto"/>
                <w:spacing w:val="-6"/>
                <w:kern w:val="21"/>
                <w:szCs w:val="21"/>
              </w:rPr>
              <w:fldChar w:fldCharType="end"/>
            </w:r>
          </w:p>
        </w:tc>
        <w:tc>
          <w:tcPr>
            <w:tcW w:w="1276" w:type="dxa"/>
            <w:tcMar>
              <w:left w:w="28" w:type="dxa"/>
              <w:right w:w="28" w:type="dxa"/>
            </w:tcMar>
            <w:vAlign w:val="center"/>
          </w:tcPr>
          <w:p w14:paraId="12AFD727">
            <w:pPr>
              <w:pStyle w:val="34"/>
              <w:spacing w:line="240" w:lineRule="auto"/>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现有工程</w:t>
            </w:r>
          </w:p>
          <w:p w14:paraId="390AE674">
            <w:pPr>
              <w:pStyle w:val="34"/>
              <w:spacing w:line="240" w:lineRule="auto"/>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许可排放量</w:t>
            </w:r>
          </w:p>
          <w:p w14:paraId="64B6F2E0">
            <w:pPr>
              <w:pStyle w:val="34"/>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2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snapToGrid w:val="0"/>
                <w:color w:val="auto"/>
                <w:spacing w:val="-6"/>
                <w:kern w:val="21"/>
                <w:szCs w:val="21"/>
              </w:rPr>
              <w:t>②</w:t>
            </w:r>
            <w:r>
              <w:rPr>
                <w:rFonts w:hint="default" w:ascii="Times New Roman" w:hAnsi="Times New Roman" w:eastAsia="宋体" w:cs="Times New Roman"/>
                <w:snapToGrid w:val="0"/>
                <w:color w:val="auto"/>
                <w:spacing w:val="-6"/>
                <w:kern w:val="21"/>
                <w:szCs w:val="21"/>
              </w:rPr>
              <w:fldChar w:fldCharType="end"/>
            </w:r>
          </w:p>
        </w:tc>
        <w:tc>
          <w:tcPr>
            <w:tcW w:w="1533" w:type="dxa"/>
            <w:tcMar>
              <w:left w:w="28" w:type="dxa"/>
              <w:right w:w="28" w:type="dxa"/>
            </w:tcMar>
            <w:vAlign w:val="center"/>
          </w:tcPr>
          <w:p w14:paraId="2A5D0B44">
            <w:pPr>
              <w:pStyle w:val="34"/>
              <w:spacing w:line="240" w:lineRule="auto"/>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在建工程</w:t>
            </w:r>
          </w:p>
          <w:p w14:paraId="34506F68">
            <w:pPr>
              <w:pStyle w:val="34"/>
              <w:spacing w:line="240" w:lineRule="auto"/>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排放量（固体废物产生量）</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3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kern w:val="2"/>
                <w:szCs w:val="21"/>
              </w:rPr>
              <w:t>③</w:t>
            </w:r>
            <w:r>
              <w:rPr>
                <w:rFonts w:hint="default" w:ascii="Times New Roman" w:hAnsi="Times New Roman" w:eastAsia="宋体" w:cs="Times New Roman"/>
                <w:snapToGrid w:val="0"/>
                <w:color w:val="auto"/>
                <w:spacing w:val="-6"/>
                <w:kern w:val="21"/>
                <w:szCs w:val="21"/>
              </w:rPr>
              <w:fldChar w:fldCharType="end"/>
            </w:r>
          </w:p>
        </w:tc>
        <w:tc>
          <w:tcPr>
            <w:tcW w:w="1417" w:type="dxa"/>
            <w:tcMar>
              <w:left w:w="28" w:type="dxa"/>
              <w:right w:w="28" w:type="dxa"/>
            </w:tcMar>
            <w:vAlign w:val="center"/>
          </w:tcPr>
          <w:p w14:paraId="2B309801">
            <w:pPr>
              <w:pStyle w:val="34"/>
              <w:spacing w:line="240" w:lineRule="auto"/>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本项目</w:t>
            </w:r>
          </w:p>
          <w:p w14:paraId="3B9575F8">
            <w:pPr>
              <w:pStyle w:val="34"/>
              <w:spacing w:line="240" w:lineRule="auto"/>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排放量（固体废物产生量）</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4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kern w:val="2"/>
                <w:szCs w:val="21"/>
              </w:rPr>
              <w:t>④</w:t>
            </w:r>
            <w:r>
              <w:rPr>
                <w:rFonts w:hint="default" w:ascii="Times New Roman" w:hAnsi="Times New Roman" w:eastAsia="宋体" w:cs="Times New Roman"/>
                <w:snapToGrid w:val="0"/>
                <w:color w:val="auto"/>
                <w:spacing w:val="-6"/>
                <w:kern w:val="21"/>
                <w:szCs w:val="21"/>
              </w:rPr>
              <w:fldChar w:fldCharType="end"/>
            </w:r>
          </w:p>
        </w:tc>
        <w:tc>
          <w:tcPr>
            <w:tcW w:w="1698" w:type="dxa"/>
            <w:tcMar>
              <w:left w:w="28" w:type="dxa"/>
              <w:right w:w="28" w:type="dxa"/>
            </w:tcMar>
            <w:vAlign w:val="center"/>
          </w:tcPr>
          <w:p w14:paraId="3E2CC4B3">
            <w:pPr>
              <w:pStyle w:val="34"/>
              <w:spacing w:line="240" w:lineRule="auto"/>
              <w:rPr>
                <w:rFonts w:hint="default" w:ascii="Times New Roman" w:hAnsi="Times New Roman" w:eastAsia="宋体" w:cs="Times New Roman"/>
                <w:snapToGrid w:val="0"/>
                <w:color w:val="auto"/>
                <w:spacing w:val="-16"/>
                <w:kern w:val="21"/>
                <w:szCs w:val="21"/>
              </w:rPr>
            </w:pPr>
            <w:r>
              <w:rPr>
                <w:rFonts w:hint="default" w:ascii="Times New Roman" w:hAnsi="Times New Roman" w:eastAsia="宋体" w:cs="Times New Roman"/>
                <w:snapToGrid w:val="0"/>
                <w:color w:val="auto"/>
                <w:spacing w:val="-16"/>
                <w:kern w:val="21"/>
                <w:szCs w:val="21"/>
              </w:rPr>
              <w:t>以新带老削减量</w:t>
            </w:r>
          </w:p>
          <w:p w14:paraId="17C7EEDF">
            <w:pPr>
              <w:pStyle w:val="34"/>
              <w:spacing w:line="240" w:lineRule="auto"/>
              <w:rPr>
                <w:rFonts w:hint="default" w:ascii="Times New Roman" w:hAnsi="Times New Roman" w:eastAsia="宋体" w:cs="Times New Roman"/>
                <w:snapToGrid w:val="0"/>
                <w:color w:val="auto"/>
                <w:spacing w:val="-16"/>
                <w:kern w:val="21"/>
                <w:szCs w:val="21"/>
              </w:rPr>
            </w:pPr>
            <w:r>
              <w:rPr>
                <w:rFonts w:hint="default" w:ascii="Times New Roman" w:hAnsi="Times New Roman" w:eastAsia="宋体" w:cs="Times New Roman"/>
                <w:snapToGrid w:val="0"/>
                <w:color w:val="auto"/>
                <w:spacing w:val="-16"/>
                <w:kern w:val="21"/>
                <w:szCs w:val="21"/>
              </w:rPr>
              <w:t>（新建项目不填）</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5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kern w:val="2"/>
                <w:szCs w:val="21"/>
              </w:rPr>
              <w:t>⑤</w:t>
            </w:r>
            <w:r>
              <w:rPr>
                <w:rFonts w:hint="default" w:ascii="Times New Roman" w:hAnsi="Times New Roman" w:eastAsia="宋体" w:cs="Times New Roman"/>
                <w:snapToGrid w:val="0"/>
                <w:color w:val="auto"/>
                <w:spacing w:val="-16"/>
                <w:kern w:val="21"/>
                <w:szCs w:val="21"/>
              </w:rPr>
              <w:fldChar w:fldCharType="end"/>
            </w:r>
          </w:p>
        </w:tc>
        <w:tc>
          <w:tcPr>
            <w:tcW w:w="1808" w:type="dxa"/>
            <w:tcMar>
              <w:left w:w="28" w:type="dxa"/>
              <w:right w:w="28" w:type="dxa"/>
            </w:tcMar>
            <w:vAlign w:val="center"/>
          </w:tcPr>
          <w:p w14:paraId="27C7990F">
            <w:pPr>
              <w:pStyle w:val="34"/>
              <w:spacing w:line="240" w:lineRule="auto"/>
              <w:rPr>
                <w:rFonts w:hint="default" w:ascii="Times New Roman" w:hAnsi="Times New Roman" w:eastAsia="宋体" w:cs="Times New Roman"/>
                <w:snapToGrid w:val="0"/>
                <w:color w:val="auto"/>
                <w:spacing w:val="-16"/>
                <w:kern w:val="21"/>
                <w:szCs w:val="21"/>
              </w:rPr>
            </w:pPr>
            <w:r>
              <w:rPr>
                <w:rFonts w:hint="default" w:ascii="Times New Roman" w:hAnsi="Times New Roman" w:eastAsia="宋体" w:cs="Times New Roman"/>
                <w:snapToGrid w:val="0"/>
                <w:color w:val="auto"/>
                <w:spacing w:val="-16"/>
                <w:kern w:val="21"/>
                <w:szCs w:val="21"/>
              </w:rPr>
              <w:t>本项目建成后</w:t>
            </w:r>
          </w:p>
          <w:p w14:paraId="08D66E81">
            <w:pPr>
              <w:pStyle w:val="34"/>
              <w:spacing w:line="240" w:lineRule="auto"/>
              <w:rPr>
                <w:rFonts w:hint="default" w:ascii="Times New Roman" w:hAnsi="Times New Roman" w:eastAsia="宋体" w:cs="Times New Roman"/>
                <w:snapToGrid w:val="0"/>
                <w:color w:val="auto"/>
                <w:spacing w:val="-16"/>
                <w:kern w:val="21"/>
                <w:szCs w:val="21"/>
              </w:rPr>
            </w:pPr>
            <w:r>
              <w:rPr>
                <w:rFonts w:hint="default" w:ascii="Times New Roman" w:hAnsi="Times New Roman" w:eastAsia="宋体" w:cs="Times New Roman"/>
                <w:snapToGrid w:val="0"/>
                <w:color w:val="auto"/>
                <w:spacing w:val="-16"/>
                <w:kern w:val="21"/>
                <w:szCs w:val="21"/>
              </w:rPr>
              <w:t>全厂排放量（固体废物产生量）</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6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kern w:val="2"/>
                <w:szCs w:val="21"/>
              </w:rPr>
              <w:t>⑥</w:t>
            </w:r>
            <w:r>
              <w:rPr>
                <w:rFonts w:hint="default" w:ascii="Times New Roman" w:hAnsi="Times New Roman" w:eastAsia="宋体" w:cs="Times New Roman"/>
                <w:snapToGrid w:val="0"/>
                <w:color w:val="auto"/>
                <w:spacing w:val="-16"/>
                <w:kern w:val="21"/>
                <w:szCs w:val="21"/>
              </w:rPr>
              <w:fldChar w:fldCharType="end"/>
            </w:r>
          </w:p>
        </w:tc>
        <w:tc>
          <w:tcPr>
            <w:tcW w:w="1701" w:type="dxa"/>
            <w:tcMar>
              <w:left w:w="28" w:type="dxa"/>
              <w:right w:w="28" w:type="dxa"/>
            </w:tcMar>
            <w:vAlign w:val="center"/>
          </w:tcPr>
          <w:p w14:paraId="6FCE8123">
            <w:pPr>
              <w:pStyle w:val="34"/>
              <w:spacing w:line="240" w:lineRule="auto"/>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变化量</w:t>
            </w:r>
          </w:p>
          <w:p w14:paraId="6FC6D2C2">
            <w:pPr>
              <w:pStyle w:val="34"/>
              <w:spacing w:line="240" w:lineRule="auto"/>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7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kern w:val="2"/>
                <w:szCs w:val="21"/>
              </w:rPr>
              <w:t>⑦</w:t>
            </w:r>
            <w:r>
              <w:rPr>
                <w:rFonts w:hint="default" w:ascii="Times New Roman" w:hAnsi="Times New Roman" w:eastAsia="宋体" w:cs="Times New Roman"/>
                <w:snapToGrid w:val="0"/>
                <w:color w:val="auto"/>
                <w:spacing w:val="-6"/>
                <w:kern w:val="21"/>
                <w:szCs w:val="21"/>
              </w:rPr>
              <w:fldChar w:fldCharType="end"/>
            </w:r>
          </w:p>
        </w:tc>
      </w:tr>
      <w:tr w14:paraId="57AFFD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50" w:type="dxa"/>
            <w:vMerge w:val="restart"/>
            <w:vAlign w:val="center"/>
          </w:tcPr>
          <w:p w14:paraId="2FD73CB6">
            <w:pPr>
              <w:pStyle w:val="34"/>
              <w:spacing w:line="240" w:lineRule="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废气</w:t>
            </w:r>
          </w:p>
        </w:tc>
        <w:tc>
          <w:tcPr>
            <w:tcW w:w="1650" w:type="dxa"/>
            <w:vAlign w:val="center"/>
          </w:tcPr>
          <w:p w14:paraId="504ABF38">
            <w:pPr>
              <w:pStyle w:val="34"/>
              <w:spacing w:line="240" w:lineRule="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lang w:val="en-US" w:eastAsia="zh-CN"/>
              </w:rPr>
              <w:t>非甲烷总烃</w:t>
            </w:r>
          </w:p>
        </w:tc>
        <w:tc>
          <w:tcPr>
            <w:tcW w:w="1606" w:type="dxa"/>
            <w:vAlign w:val="center"/>
          </w:tcPr>
          <w:p w14:paraId="04830824">
            <w:pPr>
              <w:pStyle w:val="34"/>
              <w:spacing w:line="240" w:lineRule="auto"/>
              <w:rPr>
                <w:rFonts w:hint="default" w:ascii="Times New Roman" w:hAnsi="Times New Roman" w:eastAsia="宋体" w:cs="Times New Roman"/>
                <w:snapToGrid w:val="0"/>
                <w:color w:val="auto"/>
                <w:kern w:val="21"/>
                <w:szCs w:val="21"/>
              </w:rPr>
            </w:pPr>
          </w:p>
        </w:tc>
        <w:tc>
          <w:tcPr>
            <w:tcW w:w="1276" w:type="dxa"/>
            <w:vAlign w:val="center"/>
          </w:tcPr>
          <w:p w14:paraId="3A143475">
            <w:pPr>
              <w:pStyle w:val="34"/>
              <w:spacing w:line="240" w:lineRule="auto"/>
              <w:rPr>
                <w:rFonts w:hint="default" w:ascii="Times New Roman" w:hAnsi="Times New Roman" w:eastAsia="宋体" w:cs="Times New Roman"/>
                <w:snapToGrid w:val="0"/>
                <w:color w:val="auto"/>
                <w:kern w:val="21"/>
                <w:szCs w:val="21"/>
              </w:rPr>
            </w:pPr>
          </w:p>
        </w:tc>
        <w:tc>
          <w:tcPr>
            <w:tcW w:w="1533" w:type="dxa"/>
            <w:vAlign w:val="center"/>
          </w:tcPr>
          <w:p w14:paraId="5BB77DA9">
            <w:pPr>
              <w:pStyle w:val="34"/>
              <w:spacing w:line="240" w:lineRule="auto"/>
              <w:rPr>
                <w:rFonts w:hint="default" w:ascii="Times New Roman" w:hAnsi="Times New Roman" w:eastAsia="宋体" w:cs="Times New Roman"/>
                <w:snapToGrid w:val="0"/>
                <w:color w:val="auto"/>
                <w:kern w:val="21"/>
                <w:szCs w:val="21"/>
              </w:rPr>
            </w:pPr>
          </w:p>
        </w:tc>
        <w:tc>
          <w:tcPr>
            <w:tcW w:w="1417" w:type="dxa"/>
            <w:vAlign w:val="center"/>
          </w:tcPr>
          <w:p w14:paraId="7EABC721">
            <w:pPr>
              <w:pStyle w:val="34"/>
              <w:spacing w:line="240" w:lineRule="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lang w:val="en-US" w:eastAsia="zh-CN"/>
              </w:rPr>
              <w:t>2.04</w:t>
            </w:r>
            <w:r>
              <w:rPr>
                <w:rFonts w:hint="default" w:ascii="Times New Roman" w:hAnsi="Times New Roman" w:eastAsia="宋体" w:cs="Times New Roman"/>
                <w:b w:val="0"/>
                <w:bCs w:val="0"/>
                <w:color w:val="auto"/>
                <w:highlight w:val="none"/>
                <w:vertAlign w:val="baseline"/>
                <w:lang w:val="en-US" w:eastAsia="zh-CN"/>
              </w:rPr>
              <w:t>t/a</w:t>
            </w:r>
          </w:p>
        </w:tc>
        <w:tc>
          <w:tcPr>
            <w:tcW w:w="1698" w:type="dxa"/>
            <w:vAlign w:val="center"/>
          </w:tcPr>
          <w:p w14:paraId="687823D2">
            <w:pPr>
              <w:pStyle w:val="34"/>
              <w:spacing w:line="240" w:lineRule="auto"/>
              <w:rPr>
                <w:rFonts w:hint="default" w:ascii="Times New Roman" w:hAnsi="Times New Roman" w:eastAsia="宋体" w:cs="Times New Roman"/>
                <w:snapToGrid w:val="0"/>
                <w:color w:val="auto"/>
                <w:kern w:val="21"/>
                <w:szCs w:val="21"/>
              </w:rPr>
            </w:pPr>
          </w:p>
        </w:tc>
        <w:tc>
          <w:tcPr>
            <w:tcW w:w="1808" w:type="dxa"/>
            <w:vAlign w:val="center"/>
          </w:tcPr>
          <w:p w14:paraId="43A0334C">
            <w:pPr>
              <w:pStyle w:val="34"/>
              <w:spacing w:line="240" w:lineRule="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lang w:val="en-US" w:eastAsia="zh-CN"/>
              </w:rPr>
              <w:t>2.04</w:t>
            </w:r>
            <w:r>
              <w:rPr>
                <w:rFonts w:hint="default" w:ascii="Times New Roman" w:hAnsi="Times New Roman" w:eastAsia="宋体" w:cs="Times New Roman"/>
                <w:b w:val="0"/>
                <w:bCs w:val="0"/>
                <w:color w:val="auto"/>
                <w:highlight w:val="none"/>
                <w:vertAlign w:val="baseline"/>
                <w:lang w:val="en-US" w:eastAsia="zh-CN"/>
              </w:rPr>
              <w:t>t/a</w:t>
            </w:r>
          </w:p>
        </w:tc>
        <w:tc>
          <w:tcPr>
            <w:tcW w:w="1701" w:type="dxa"/>
            <w:vAlign w:val="center"/>
          </w:tcPr>
          <w:p w14:paraId="60576158">
            <w:pPr>
              <w:pStyle w:val="34"/>
              <w:spacing w:line="240" w:lineRule="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lang w:val="en-US" w:eastAsia="zh-CN"/>
              </w:rPr>
              <w:t>+2.04</w:t>
            </w:r>
            <w:r>
              <w:rPr>
                <w:rFonts w:hint="default" w:ascii="Times New Roman" w:hAnsi="Times New Roman" w:eastAsia="宋体" w:cs="Times New Roman"/>
                <w:b w:val="0"/>
                <w:bCs w:val="0"/>
                <w:color w:val="auto"/>
                <w:highlight w:val="none"/>
                <w:vertAlign w:val="baseline"/>
                <w:lang w:val="en-US" w:eastAsia="zh-CN"/>
              </w:rPr>
              <w:t>t/a</w:t>
            </w:r>
          </w:p>
        </w:tc>
      </w:tr>
      <w:tr w14:paraId="7250CE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50" w:type="dxa"/>
            <w:vMerge w:val="continue"/>
            <w:vAlign w:val="center"/>
          </w:tcPr>
          <w:p w14:paraId="1BD47933">
            <w:pPr>
              <w:pStyle w:val="34"/>
              <w:spacing w:line="240" w:lineRule="auto"/>
              <w:rPr>
                <w:rFonts w:hint="default" w:ascii="Times New Roman" w:hAnsi="Times New Roman" w:eastAsia="宋体" w:cs="Times New Roman"/>
                <w:snapToGrid w:val="0"/>
                <w:color w:val="auto"/>
                <w:kern w:val="21"/>
                <w:szCs w:val="21"/>
              </w:rPr>
            </w:pPr>
          </w:p>
        </w:tc>
        <w:tc>
          <w:tcPr>
            <w:tcW w:w="1650" w:type="dxa"/>
            <w:vAlign w:val="center"/>
          </w:tcPr>
          <w:p w14:paraId="5318B4C9">
            <w:pPr>
              <w:pStyle w:val="34"/>
              <w:spacing w:line="240" w:lineRule="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lang w:val="en-US" w:eastAsia="zh-CN"/>
              </w:rPr>
              <w:t>锡及其化合物</w:t>
            </w:r>
          </w:p>
        </w:tc>
        <w:tc>
          <w:tcPr>
            <w:tcW w:w="1606" w:type="dxa"/>
            <w:vAlign w:val="center"/>
          </w:tcPr>
          <w:p w14:paraId="3712BA15">
            <w:pPr>
              <w:pStyle w:val="34"/>
              <w:spacing w:line="240" w:lineRule="auto"/>
              <w:rPr>
                <w:rFonts w:hint="default" w:ascii="Times New Roman" w:hAnsi="Times New Roman" w:eastAsia="宋体" w:cs="Times New Roman"/>
                <w:snapToGrid w:val="0"/>
                <w:color w:val="auto"/>
                <w:kern w:val="21"/>
                <w:szCs w:val="21"/>
              </w:rPr>
            </w:pPr>
          </w:p>
        </w:tc>
        <w:tc>
          <w:tcPr>
            <w:tcW w:w="1276" w:type="dxa"/>
            <w:vAlign w:val="center"/>
          </w:tcPr>
          <w:p w14:paraId="6BD6E71D">
            <w:pPr>
              <w:pStyle w:val="34"/>
              <w:spacing w:line="240" w:lineRule="auto"/>
              <w:rPr>
                <w:rFonts w:hint="default" w:ascii="Times New Roman" w:hAnsi="Times New Roman" w:eastAsia="宋体" w:cs="Times New Roman"/>
                <w:snapToGrid w:val="0"/>
                <w:color w:val="auto"/>
                <w:kern w:val="21"/>
                <w:szCs w:val="21"/>
              </w:rPr>
            </w:pPr>
          </w:p>
        </w:tc>
        <w:tc>
          <w:tcPr>
            <w:tcW w:w="1533" w:type="dxa"/>
            <w:vAlign w:val="center"/>
          </w:tcPr>
          <w:p w14:paraId="60CC5CC5">
            <w:pPr>
              <w:pStyle w:val="34"/>
              <w:spacing w:line="240" w:lineRule="auto"/>
              <w:rPr>
                <w:rFonts w:hint="default" w:ascii="Times New Roman" w:hAnsi="Times New Roman" w:eastAsia="宋体" w:cs="Times New Roman"/>
                <w:snapToGrid w:val="0"/>
                <w:color w:val="auto"/>
                <w:kern w:val="21"/>
                <w:szCs w:val="21"/>
              </w:rPr>
            </w:pPr>
          </w:p>
        </w:tc>
        <w:tc>
          <w:tcPr>
            <w:tcW w:w="1417" w:type="dxa"/>
            <w:vAlign w:val="center"/>
          </w:tcPr>
          <w:p w14:paraId="1D3A7C02">
            <w:pPr>
              <w:pStyle w:val="34"/>
              <w:spacing w:line="240" w:lineRule="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lang w:val="en-US" w:eastAsia="zh-CN"/>
              </w:rPr>
              <w:t>0.00551</w:t>
            </w:r>
            <w:r>
              <w:rPr>
                <w:rFonts w:hint="default" w:ascii="Times New Roman" w:hAnsi="Times New Roman" w:eastAsia="宋体" w:cs="Times New Roman"/>
                <w:b w:val="0"/>
                <w:bCs w:val="0"/>
                <w:color w:val="auto"/>
                <w:highlight w:val="none"/>
                <w:vertAlign w:val="baseline"/>
                <w:lang w:val="en-US" w:eastAsia="zh-CN"/>
              </w:rPr>
              <w:t>t/a</w:t>
            </w:r>
          </w:p>
        </w:tc>
        <w:tc>
          <w:tcPr>
            <w:tcW w:w="1698" w:type="dxa"/>
            <w:vAlign w:val="center"/>
          </w:tcPr>
          <w:p w14:paraId="287BFD11">
            <w:pPr>
              <w:pStyle w:val="34"/>
              <w:spacing w:line="240" w:lineRule="auto"/>
              <w:rPr>
                <w:rFonts w:hint="default" w:ascii="Times New Roman" w:hAnsi="Times New Roman" w:eastAsia="宋体" w:cs="Times New Roman"/>
                <w:snapToGrid w:val="0"/>
                <w:color w:val="auto"/>
                <w:kern w:val="21"/>
                <w:szCs w:val="21"/>
              </w:rPr>
            </w:pPr>
          </w:p>
        </w:tc>
        <w:tc>
          <w:tcPr>
            <w:tcW w:w="1808" w:type="dxa"/>
            <w:vAlign w:val="center"/>
          </w:tcPr>
          <w:p w14:paraId="7887C8C6">
            <w:pPr>
              <w:pStyle w:val="34"/>
              <w:spacing w:line="240" w:lineRule="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lang w:val="en-US" w:eastAsia="zh-CN"/>
              </w:rPr>
              <w:t>0.00551</w:t>
            </w:r>
            <w:r>
              <w:rPr>
                <w:rFonts w:hint="default" w:ascii="Times New Roman" w:hAnsi="Times New Roman" w:eastAsia="宋体" w:cs="Times New Roman"/>
                <w:b w:val="0"/>
                <w:bCs w:val="0"/>
                <w:color w:val="auto"/>
                <w:highlight w:val="none"/>
                <w:vertAlign w:val="baseline"/>
                <w:lang w:val="en-US" w:eastAsia="zh-CN"/>
              </w:rPr>
              <w:t>t/a</w:t>
            </w:r>
          </w:p>
        </w:tc>
        <w:tc>
          <w:tcPr>
            <w:tcW w:w="1701" w:type="dxa"/>
            <w:vAlign w:val="center"/>
          </w:tcPr>
          <w:p w14:paraId="310446CD">
            <w:pPr>
              <w:pStyle w:val="34"/>
              <w:spacing w:line="240" w:lineRule="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lang w:val="en-US" w:eastAsia="zh-CN"/>
              </w:rPr>
              <w:t>+0.00551</w:t>
            </w:r>
            <w:r>
              <w:rPr>
                <w:rFonts w:hint="default" w:ascii="Times New Roman" w:hAnsi="Times New Roman" w:eastAsia="宋体" w:cs="Times New Roman"/>
                <w:b w:val="0"/>
                <w:bCs w:val="0"/>
                <w:color w:val="auto"/>
                <w:highlight w:val="none"/>
                <w:vertAlign w:val="baseline"/>
                <w:lang w:val="en-US" w:eastAsia="zh-CN"/>
              </w:rPr>
              <w:t>t/a</w:t>
            </w:r>
          </w:p>
        </w:tc>
      </w:tr>
      <w:tr w14:paraId="6186CB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50" w:type="dxa"/>
            <w:vMerge w:val="restart"/>
            <w:vAlign w:val="center"/>
          </w:tcPr>
          <w:p w14:paraId="515198CD">
            <w:pPr>
              <w:pStyle w:val="34"/>
              <w:spacing w:line="240" w:lineRule="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废水</w:t>
            </w:r>
          </w:p>
        </w:tc>
        <w:tc>
          <w:tcPr>
            <w:tcW w:w="1650" w:type="dxa"/>
            <w:vAlign w:val="center"/>
          </w:tcPr>
          <w:p w14:paraId="58FBF77D">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vertAlign w:val="baseline"/>
                <w:lang w:val="en-US" w:eastAsia="zh-CN"/>
              </w:rPr>
              <w:t>COD</w:t>
            </w:r>
            <w:r>
              <w:rPr>
                <w:rFonts w:hint="default" w:ascii="Times New Roman" w:hAnsi="Times New Roman" w:eastAsia="宋体" w:cs="Times New Roman"/>
                <w:b w:val="0"/>
                <w:bCs w:val="0"/>
                <w:color w:val="auto"/>
                <w:vertAlign w:val="subscript"/>
                <w:lang w:val="en-US" w:eastAsia="zh-CN"/>
              </w:rPr>
              <w:t>Cr</w:t>
            </w:r>
          </w:p>
        </w:tc>
        <w:tc>
          <w:tcPr>
            <w:tcW w:w="1606" w:type="dxa"/>
            <w:vAlign w:val="center"/>
          </w:tcPr>
          <w:p w14:paraId="282891D1">
            <w:pPr>
              <w:pStyle w:val="34"/>
              <w:spacing w:line="240" w:lineRule="auto"/>
              <w:rPr>
                <w:rFonts w:hint="default" w:ascii="Times New Roman" w:hAnsi="Times New Roman" w:eastAsia="宋体" w:cs="Times New Roman"/>
                <w:snapToGrid w:val="0"/>
                <w:color w:val="auto"/>
                <w:kern w:val="21"/>
                <w:szCs w:val="21"/>
              </w:rPr>
            </w:pPr>
          </w:p>
        </w:tc>
        <w:tc>
          <w:tcPr>
            <w:tcW w:w="1276" w:type="dxa"/>
            <w:vAlign w:val="center"/>
          </w:tcPr>
          <w:p w14:paraId="240F9F04">
            <w:pPr>
              <w:pStyle w:val="34"/>
              <w:spacing w:line="240" w:lineRule="auto"/>
              <w:rPr>
                <w:rFonts w:hint="default" w:ascii="Times New Roman" w:hAnsi="Times New Roman" w:eastAsia="宋体" w:cs="Times New Roman"/>
                <w:snapToGrid w:val="0"/>
                <w:color w:val="auto"/>
                <w:kern w:val="21"/>
                <w:szCs w:val="21"/>
              </w:rPr>
            </w:pPr>
          </w:p>
        </w:tc>
        <w:tc>
          <w:tcPr>
            <w:tcW w:w="1533" w:type="dxa"/>
            <w:vAlign w:val="center"/>
          </w:tcPr>
          <w:p w14:paraId="04AE5B48">
            <w:pPr>
              <w:pStyle w:val="34"/>
              <w:spacing w:line="240" w:lineRule="auto"/>
              <w:rPr>
                <w:rFonts w:hint="default" w:ascii="Times New Roman" w:hAnsi="Times New Roman" w:eastAsia="宋体" w:cs="Times New Roman"/>
                <w:snapToGrid w:val="0"/>
                <w:color w:val="auto"/>
                <w:kern w:val="21"/>
                <w:szCs w:val="21"/>
              </w:rPr>
            </w:pPr>
          </w:p>
        </w:tc>
        <w:tc>
          <w:tcPr>
            <w:tcW w:w="1417" w:type="dxa"/>
            <w:vAlign w:val="center"/>
          </w:tcPr>
          <w:p w14:paraId="288313BC">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vertAlign w:val="baseline"/>
                <w:lang w:val="en-US" w:eastAsia="zh-CN"/>
              </w:rPr>
              <w:t>0.85</w:t>
            </w:r>
            <w:r>
              <w:rPr>
                <w:rFonts w:hint="default" w:ascii="Times New Roman" w:hAnsi="Times New Roman" w:eastAsia="宋体" w:cs="Times New Roman"/>
                <w:b w:val="0"/>
                <w:bCs w:val="0"/>
                <w:color w:val="auto"/>
                <w:highlight w:val="none"/>
                <w:vertAlign w:val="baseline"/>
                <w:lang w:val="en-US" w:eastAsia="zh-CN"/>
              </w:rPr>
              <w:t>t/a</w:t>
            </w:r>
          </w:p>
        </w:tc>
        <w:tc>
          <w:tcPr>
            <w:tcW w:w="1698" w:type="dxa"/>
            <w:vAlign w:val="center"/>
          </w:tcPr>
          <w:p w14:paraId="384906F4">
            <w:pPr>
              <w:pStyle w:val="34"/>
              <w:spacing w:line="240" w:lineRule="auto"/>
              <w:rPr>
                <w:rFonts w:hint="default" w:ascii="Times New Roman" w:hAnsi="Times New Roman" w:eastAsia="宋体" w:cs="Times New Roman"/>
                <w:snapToGrid w:val="0"/>
                <w:color w:val="auto"/>
                <w:kern w:val="21"/>
                <w:szCs w:val="21"/>
              </w:rPr>
            </w:pPr>
          </w:p>
        </w:tc>
        <w:tc>
          <w:tcPr>
            <w:tcW w:w="1808" w:type="dxa"/>
            <w:vAlign w:val="center"/>
          </w:tcPr>
          <w:p w14:paraId="48420DD9">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vertAlign w:val="baseline"/>
                <w:lang w:val="en-US" w:eastAsia="zh-CN"/>
              </w:rPr>
              <w:t>0.85</w:t>
            </w:r>
            <w:r>
              <w:rPr>
                <w:rFonts w:hint="default" w:ascii="Times New Roman" w:hAnsi="Times New Roman" w:eastAsia="宋体" w:cs="Times New Roman"/>
                <w:b w:val="0"/>
                <w:bCs w:val="0"/>
                <w:color w:val="auto"/>
                <w:highlight w:val="none"/>
                <w:vertAlign w:val="baseline"/>
                <w:lang w:val="en-US" w:eastAsia="zh-CN"/>
              </w:rPr>
              <w:t>t/a</w:t>
            </w:r>
          </w:p>
        </w:tc>
        <w:tc>
          <w:tcPr>
            <w:tcW w:w="1701" w:type="dxa"/>
            <w:vAlign w:val="center"/>
          </w:tcPr>
          <w:p w14:paraId="3A84A9B9">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b w:val="0"/>
                <w:bCs w:val="0"/>
                <w:color w:val="auto"/>
                <w:vertAlign w:val="baseline"/>
                <w:lang w:val="en-US" w:eastAsia="zh-CN"/>
              </w:rPr>
              <w:t>0.85</w:t>
            </w:r>
            <w:r>
              <w:rPr>
                <w:rFonts w:hint="default" w:ascii="Times New Roman" w:hAnsi="Times New Roman" w:eastAsia="宋体" w:cs="Times New Roman"/>
                <w:b w:val="0"/>
                <w:bCs w:val="0"/>
                <w:color w:val="auto"/>
                <w:highlight w:val="none"/>
                <w:vertAlign w:val="baseline"/>
                <w:lang w:val="en-US" w:eastAsia="zh-CN"/>
              </w:rPr>
              <w:t>t/a</w:t>
            </w:r>
          </w:p>
        </w:tc>
      </w:tr>
      <w:tr w14:paraId="600D0C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50" w:type="dxa"/>
            <w:vMerge w:val="continue"/>
            <w:vAlign w:val="center"/>
          </w:tcPr>
          <w:p w14:paraId="7B597E04">
            <w:pPr>
              <w:pStyle w:val="34"/>
              <w:spacing w:line="240" w:lineRule="auto"/>
              <w:rPr>
                <w:rFonts w:hint="default" w:ascii="Times New Roman" w:hAnsi="Times New Roman" w:eastAsia="宋体" w:cs="Times New Roman"/>
                <w:snapToGrid w:val="0"/>
                <w:color w:val="auto"/>
                <w:kern w:val="21"/>
                <w:szCs w:val="21"/>
              </w:rPr>
            </w:pPr>
          </w:p>
        </w:tc>
        <w:tc>
          <w:tcPr>
            <w:tcW w:w="1650" w:type="dxa"/>
            <w:vAlign w:val="center"/>
          </w:tcPr>
          <w:p w14:paraId="6A94AEEF">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vertAlign w:val="baseline"/>
                <w:lang w:val="en-US" w:eastAsia="zh-CN"/>
              </w:rPr>
              <w:t>BOD</w:t>
            </w:r>
            <w:r>
              <w:rPr>
                <w:rFonts w:hint="default" w:ascii="Times New Roman" w:hAnsi="Times New Roman" w:eastAsia="宋体" w:cs="Times New Roman"/>
                <w:b w:val="0"/>
                <w:bCs w:val="0"/>
                <w:color w:val="auto"/>
                <w:vertAlign w:val="subscript"/>
                <w:lang w:val="en-US" w:eastAsia="zh-CN"/>
              </w:rPr>
              <w:t>5</w:t>
            </w:r>
          </w:p>
        </w:tc>
        <w:tc>
          <w:tcPr>
            <w:tcW w:w="1606" w:type="dxa"/>
            <w:vAlign w:val="center"/>
          </w:tcPr>
          <w:p w14:paraId="62A0F0B7">
            <w:pPr>
              <w:pStyle w:val="34"/>
              <w:spacing w:line="240" w:lineRule="auto"/>
              <w:rPr>
                <w:rFonts w:hint="default" w:ascii="Times New Roman" w:hAnsi="Times New Roman" w:eastAsia="宋体" w:cs="Times New Roman"/>
                <w:snapToGrid w:val="0"/>
                <w:color w:val="auto"/>
                <w:kern w:val="21"/>
                <w:szCs w:val="21"/>
              </w:rPr>
            </w:pPr>
          </w:p>
        </w:tc>
        <w:tc>
          <w:tcPr>
            <w:tcW w:w="1276" w:type="dxa"/>
            <w:vAlign w:val="center"/>
          </w:tcPr>
          <w:p w14:paraId="13CFB8B2">
            <w:pPr>
              <w:pStyle w:val="34"/>
              <w:spacing w:line="240" w:lineRule="auto"/>
              <w:rPr>
                <w:rFonts w:hint="default" w:ascii="Times New Roman" w:hAnsi="Times New Roman" w:eastAsia="宋体" w:cs="Times New Roman"/>
                <w:snapToGrid w:val="0"/>
                <w:color w:val="auto"/>
                <w:kern w:val="21"/>
                <w:szCs w:val="21"/>
              </w:rPr>
            </w:pPr>
          </w:p>
        </w:tc>
        <w:tc>
          <w:tcPr>
            <w:tcW w:w="1533" w:type="dxa"/>
            <w:vAlign w:val="center"/>
          </w:tcPr>
          <w:p w14:paraId="71E08335">
            <w:pPr>
              <w:pStyle w:val="34"/>
              <w:spacing w:line="240" w:lineRule="auto"/>
              <w:rPr>
                <w:rFonts w:hint="default" w:ascii="Times New Roman" w:hAnsi="Times New Roman" w:eastAsia="宋体" w:cs="Times New Roman"/>
                <w:snapToGrid w:val="0"/>
                <w:color w:val="auto"/>
                <w:kern w:val="21"/>
                <w:szCs w:val="21"/>
              </w:rPr>
            </w:pPr>
          </w:p>
        </w:tc>
        <w:tc>
          <w:tcPr>
            <w:tcW w:w="1417" w:type="dxa"/>
            <w:vAlign w:val="center"/>
          </w:tcPr>
          <w:p w14:paraId="4EB19598">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highlight w:val="none"/>
                <w:vertAlign w:val="baseline"/>
                <w:lang w:val="en-US" w:eastAsia="zh-CN"/>
              </w:rPr>
              <w:t>1.00t/a</w:t>
            </w:r>
          </w:p>
        </w:tc>
        <w:tc>
          <w:tcPr>
            <w:tcW w:w="1698" w:type="dxa"/>
            <w:vAlign w:val="center"/>
          </w:tcPr>
          <w:p w14:paraId="0961E518">
            <w:pPr>
              <w:pStyle w:val="34"/>
              <w:spacing w:line="240" w:lineRule="auto"/>
              <w:rPr>
                <w:rFonts w:hint="default" w:ascii="Times New Roman" w:hAnsi="Times New Roman" w:eastAsia="宋体" w:cs="Times New Roman"/>
                <w:snapToGrid w:val="0"/>
                <w:color w:val="auto"/>
                <w:kern w:val="21"/>
                <w:szCs w:val="21"/>
              </w:rPr>
            </w:pPr>
          </w:p>
        </w:tc>
        <w:tc>
          <w:tcPr>
            <w:tcW w:w="1808" w:type="dxa"/>
            <w:vAlign w:val="center"/>
          </w:tcPr>
          <w:p w14:paraId="5D31D78E">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highlight w:val="none"/>
                <w:vertAlign w:val="baseline"/>
                <w:lang w:val="en-US" w:eastAsia="zh-CN"/>
              </w:rPr>
              <w:t>1.00t/a</w:t>
            </w:r>
          </w:p>
        </w:tc>
        <w:tc>
          <w:tcPr>
            <w:tcW w:w="1701" w:type="dxa"/>
            <w:vAlign w:val="center"/>
          </w:tcPr>
          <w:p w14:paraId="7C5E35F7">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b w:val="0"/>
                <w:bCs w:val="0"/>
                <w:color w:val="auto"/>
                <w:highlight w:val="none"/>
                <w:vertAlign w:val="baseline"/>
                <w:lang w:val="en-US" w:eastAsia="zh-CN"/>
              </w:rPr>
              <w:t>1.00t/a</w:t>
            </w:r>
          </w:p>
        </w:tc>
      </w:tr>
      <w:tr w14:paraId="67421B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50" w:type="dxa"/>
            <w:vMerge w:val="continue"/>
            <w:vAlign w:val="center"/>
          </w:tcPr>
          <w:p w14:paraId="2208C6FA">
            <w:pPr>
              <w:pStyle w:val="34"/>
              <w:spacing w:line="240" w:lineRule="auto"/>
              <w:rPr>
                <w:rFonts w:hint="default" w:ascii="Times New Roman" w:hAnsi="Times New Roman" w:eastAsia="宋体" w:cs="Times New Roman"/>
                <w:snapToGrid w:val="0"/>
                <w:color w:val="auto"/>
                <w:kern w:val="21"/>
                <w:szCs w:val="21"/>
              </w:rPr>
            </w:pPr>
          </w:p>
        </w:tc>
        <w:tc>
          <w:tcPr>
            <w:tcW w:w="1650" w:type="dxa"/>
            <w:vAlign w:val="center"/>
          </w:tcPr>
          <w:p w14:paraId="2A10C501">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vertAlign w:val="baseline"/>
                <w:lang w:val="en-US" w:eastAsia="zh-CN"/>
              </w:rPr>
              <w:t>氨氮</w:t>
            </w:r>
          </w:p>
        </w:tc>
        <w:tc>
          <w:tcPr>
            <w:tcW w:w="1606" w:type="dxa"/>
            <w:vAlign w:val="center"/>
          </w:tcPr>
          <w:p w14:paraId="4FCAA8B6">
            <w:pPr>
              <w:pStyle w:val="34"/>
              <w:spacing w:line="240" w:lineRule="auto"/>
              <w:rPr>
                <w:rFonts w:hint="default" w:ascii="Times New Roman" w:hAnsi="Times New Roman" w:eastAsia="宋体" w:cs="Times New Roman"/>
                <w:snapToGrid w:val="0"/>
                <w:color w:val="auto"/>
                <w:kern w:val="21"/>
                <w:szCs w:val="21"/>
              </w:rPr>
            </w:pPr>
          </w:p>
        </w:tc>
        <w:tc>
          <w:tcPr>
            <w:tcW w:w="1276" w:type="dxa"/>
            <w:vAlign w:val="center"/>
          </w:tcPr>
          <w:p w14:paraId="5D5040BE">
            <w:pPr>
              <w:pStyle w:val="34"/>
              <w:spacing w:line="240" w:lineRule="auto"/>
              <w:rPr>
                <w:rFonts w:hint="default" w:ascii="Times New Roman" w:hAnsi="Times New Roman" w:eastAsia="宋体" w:cs="Times New Roman"/>
                <w:snapToGrid w:val="0"/>
                <w:color w:val="auto"/>
                <w:kern w:val="21"/>
                <w:szCs w:val="21"/>
              </w:rPr>
            </w:pPr>
          </w:p>
        </w:tc>
        <w:tc>
          <w:tcPr>
            <w:tcW w:w="1533" w:type="dxa"/>
            <w:vAlign w:val="center"/>
          </w:tcPr>
          <w:p w14:paraId="34C1D1B9">
            <w:pPr>
              <w:pStyle w:val="34"/>
              <w:spacing w:line="240" w:lineRule="auto"/>
              <w:rPr>
                <w:rFonts w:hint="default" w:ascii="Times New Roman" w:hAnsi="Times New Roman" w:eastAsia="宋体" w:cs="Times New Roman"/>
                <w:snapToGrid w:val="0"/>
                <w:color w:val="auto"/>
                <w:kern w:val="21"/>
                <w:szCs w:val="21"/>
              </w:rPr>
            </w:pPr>
          </w:p>
        </w:tc>
        <w:tc>
          <w:tcPr>
            <w:tcW w:w="1417" w:type="dxa"/>
            <w:vAlign w:val="center"/>
          </w:tcPr>
          <w:p w14:paraId="6593BBCA">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0.17t/a</w:t>
            </w:r>
          </w:p>
        </w:tc>
        <w:tc>
          <w:tcPr>
            <w:tcW w:w="1698" w:type="dxa"/>
            <w:vAlign w:val="center"/>
          </w:tcPr>
          <w:p w14:paraId="302AFA10">
            <w:pPr>
              <w:pStyle w:val="34"/>
              <w:spacing w:line="240" w:lineRule="auto"/>
              <w:rPr>
                <w:rFonts w:hint="default" w:ascii="Times New Roman" w:hAnsi="Times New Roman" w:eastAsia="宋体" w:cs="Times New Roman"/>
                <w:snapToGrid w:val="0"/>
                <w:color w:val="auto"/>
                <w:kern w:val="21"/>
                <w:szCs w:val="21"/>
              </w:rPr>
            </w:pPr>
          </w:p>
        </w:tc>
        <w:tc>
          <w:tcPr>
            <w:tcW w:w="1808" w:type="dxa"/>
            <w:vAlign w:val="center"/>
          </w:tcPr>
          <w:p w14:paraId="1971693D">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0.17t/a</w:t>
            </w:r>
          </w:p>
        </w:tc>
        <w:tc>
          <w:tcPr>
            <w:tcW w:w="1701" w:type="dxa"/>
            <w:vAlign w:val="center"/>
          </w:tcPr>
          <w:p w14:paraId="350D01CE">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b w:val="0"/>
                <w:bCs w:val="0"/>
                <w:color w:val="auto"/>
                <w:highlight w:val="none"/>
                <w:vertAlign w:val="baseline"/>
                <w:lang w:val="en-US" w:eastAsia="zh-CN"/>
              </w:rPr>
              <w:t>0.17t/a</w:t>
            </w:r>
          </w:p>
        </w:tc>
      </w:tr>
      <w:tr w14:paraId="4165BF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50" w:type="dxa"/>
            <w:vMerge w:val="continue"/>
            <w:vAlign w:val="center"/>
          </w:tcPr>
          <w:p w14:paraId="0F6453F4">
            <w:pPr>
              <w:pStyle w:val="34"/>
              <w:spacing w:line="240" w:lineRule="auto"/>
              <w:rPr>
                <w:rFonts w:hint="default" w:ascii="Times New Roman" w:hAnsi="Times New Roman" w:eastAsia="宋体" w:cs="Times New Roman"/>
                <w:snapToGrid w:val="0"/>
                <w:color w:val="auto"/>
                <w:kern w:val="21"/>
                <w:szCs w:val="21"/>
              </w:rPr>
            </w:pPr>
          </w:p>
        </w:tc>
        <w:tc>
          <w:tcPr>
            <w:tcW w:w="1650" w:type="dxa"/>
            <w:vAlign w:val="center"/>
          </w:tcPr>
          <w:p w14:paraId="7AC84A56">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vertAlign w:val="baseline"/>
                <w:lang w:val="en-US" w:eastAsia="zh-CN"/>
              </w:rPr>
              <w:t>SS</w:t>
            </w:r>
          </w:p>
        </w:tc>
        <w:tc>
          <w:tcPr>
            <w:tcW w:w="1606" w:type="dxa"/>
            <w:vAlign w:val="center"/>
          </w:tcPr>
          <w:p w14:paraId="0A21DAE9">
            <w:pPr>
              <w:pStyle w:val="34"/>
              <w:spacing w:line="240" w:lineRule="auto"/>
              <w:rPr>
                <w:rFonts w:hint="default" w:ascii="Times New Roman" w:hAnsi="Times New Roman" w:eastAsia="宋体" w:cs="Times New Roman"/>
                <w:snapToGrid w:val="0"/>
                <w:color w:val="auto"/>
                <w:kern w:val="21"/>
                <w:szCs w:val="21"/>
              </w:rPr>
            </w:pPr>
          </w:p>
        </w:tc>
        <w:tc>
          <w:tcPr>
            <w:tcW w:w="1276" w:type="dxa"/>
            <w:vAlign w:val="center"/>
          </w:tcPr>
          <w:p w14:paraId="2B6EFAEF">
            <w:pPr>
              <w:pStyle w:val="34"/>
              <w:spacing w:line="240" w:lineRule="auto"/>
              <w:rPr>
                <w:rFonts w:hint="default" w:ascii="Times New Roman" w:hAnsi="Times New Roman" w:eastAsia="宋体" w:cs="Times New Roman"/>
                <w:snapToGrid w:val="0"/>
                <w:color w:val="auto"/>
                <w:kern w:val="21"/>
                <w:szCs w:val="21"/>
              </w:rPr>
            </w:pPr>
          </w:p>
        </w:tc>
        <w:tc>
          <w:tcPr>
            <w:tcW w:w="1533" w:type="dxa"/>
            <w:vAlign w:val="center"/>
          </w:tcPr>
          <w:p w14:paraId="3A56FBA8">
            <w:pPr>
              <w:pStyle w:val="34"/>
              <w:spacing w:line="240" w:lineRule="auto"/>
              <w:rPr>
                <w:rFonts w:hint="default" w:ascii="Times New Roman" w:hAnsi="Times New Roman" w:eastAsia="宋体" w:cs="Times New Roman"/>
                <w:snapToGrid w:val="0"/>
                <w:color w:val="auto"/>
                <w:kern w:val="21"/>
                <w:szCs w:val="21"/>
              </w:rPr>
            </w:pPr>
          </w:p>
        </w:tc>
        <w:tc>
          <w:tcPr>
            <w:tcW w:w="1417" w:type="dxa"/>
            <w:vAlign w:val="center"/>
          </w:tcPr>
          <w:p w14:paraId="08F187FB">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0.79</w:t>
            </w:r>
            <w:r>
              <w:rPr>
                <w:rFonts w:hint="default" w:ascii="Times New Roman" w:hAnsi="Times New Roman" w:eastAsia="宋体" w:cs="Times New Roman"/>
                <w:b w:val="0"/>
                <w:bCs w:val="0"/>
                <w:color w:val="auto"/>
                <w:highlight w:val="none"/>
                <w:vertAlign w:val="baseline"/>
                <w:lang w:val="en-US" w:eastAsia="zh-CN"/>
              </w:rPr>
              <w:t>t/a</w:t>
            </w:r>
          </w:p>
        </w:tc>
        <w:tc>
          <w:tcPr>
            <w:tcW w:w="1698" w:type="dxa"/>
            <w:vAlign w:val="center"/>
          </w:tcPr>
          <w:p w14:paraId="584DD6EF">
            <w:pPr>
              <w:pStyle w:val="34"/>
              <w:spacing w:line="240" w:lineRule="auto"/>
              <w:rPr>
                <w:rFonts w:hint="default" w:ascii="Times New Roman" w:hAnsi="Times New Roman" w:eastAsia="宋体" w:cs="Times New Roman"/>
                <w:snapToGrid w:val="0"/>
                <w:color w:val="auto"/>
                <w:kern w:val="21"/>
                <w:szCs w:val="21"/>
              </w:rPr>
            </w:pPr>
          </w:p>
        </w:tc>
        <w:tc>
          <w:tcPr>
            <w:tcW w:w="1808" w:type="dxa"/>
            <w:vAlign w:val="center"/>
          </w:tcPr>
          <w:p w14:paraId="4A2B1F6B">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0.79</w:t>
            </w:r>
            <w:r>
              <w:rPr>
                <w:rFonts w:hint="default" w:ascii="Times New Roman" w:hAnsi="Times New Roman" w:eastAsia="宋体" w:cs="Times New Roman"/>
                <w:b w:val="0"/>
                <w:bCs w:val="0"/>
                <w:color w:val="auto"/>
                <w:highlight w:val="none"/>
                <w:vertAlign w:val="baseline"/>
                <w:lang w:val="en-US" w:eastAsia="zh-CN"/>
              </w:rPr>
              <w:t>t/a</w:t>
            </w:r>
          </w:p>
        </w:tc>
        <w:tc>
          <w:tcPr>
            <w:tcW w:w="1701" w:type="dxa"/>
            <w:vAlign w:val="center"/>
          </w:tcPr>
          <w:p w14:paraId="32988020">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b w:val="0"/>
                <w:bCs w:val="0"/>
                <w:color w:val="auto"/>
                <w:vertAlign w:val="baseline"/>
                <w:lang w:val="en-US" w:eastAsia="zh-CN"/>
              </w:rPr>
              <w:t>0.79</w:t>
            </w:r>
            <w:r>
              <w:rPr>
                <w:rFonts w:hint="default" w:ascii="Times New Roman" w:hAnsi="Times New Roman" w:eastAsia="宋体" w:cs="Times New Roman"/>
                <w:b w:val="0"/>
                <w:bCs w:val="0"/>
                <w:color w:val="auto"/>
                <w:highlight w:val="none"/>
                <w:vertAlign w:val="baseline"/>
                <w:lang w:val="en-US" w:eastAsia="zh-CN"/>
              </w:rPr>
              <w:t>t/a</w:t>
            </w:r>
          </w:p>
        </w:tc>
      </w:tr>
      <w:tr w14:paraId="2FA609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50" w:type="dxa"/>
            <w:vMerge w:val="restart"/>
            <w:vAlign w:val="center"/>
          </w:tcPr>
          <w:p w14:paraId="4EF5029E">
            <w:pPr>
              <w:pStyle w:val="34"/>
              <w:spacing w:line="240" w:lineRule="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一般工业</w:t>
            </w:r>
          </w:p>
          <w:p w14:paraId="3E540359">
            <w:pPr>
              <w:pStyle w:val="34"/>
              <w:spacing w:line="240" w:lineRule="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固体废物</w:t>
            </w:r>
          </w:p>
        </w:tc>
        <w:tc>
          <w:tcPr>
            <w:tcW w:w="1650" w:type="dxa"/>
            <w:vAlign w:val="center"/>
          </w:tcPr>
          <w:p w14:paraId="153C7E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highlight w:val="none"/>
                <w:vertAlign w:val="baseline"/>
                <w:lang w:val="en-US" w:eastAsia="zh-CN"/>
              </w:rPr>
              <w:t>废包装材料</w:t>
            </w:r>
          </w:p>
        </w:tc>
        <w:tc>
          <w:tcPr>
            <w:tcW w:w="1606" w:type="dxa"/>
            <w:vAlign w:val="center"/>
          </w:tcPr>
          <w:p w14:paraId="6D1D8E16">
            <w:pPr>
              <w:pStyle w:val="34"/>
              <w:spacing w:line="240" w:lineRule="auto"/>
              <w:rPr>
                <w:rFonts w:hint="default" w:ascii="Times New Roman" w:hAnsi="Times New Roman" w:eastAsia="宋体" w:cs="Times New Roman"/>
                <w:snapToGrid w:val="0"/>
                <w:color w:val="auto"/>
                <w:kern w:val="21"/>
                <w:szCs w:val="21"/>
              </w:rPr>
            </w:pPr>
          </w:p>
        </w:tc>
        <w:tc>
          <w:tcPr>
            <w:tcW w:w="1276" w:type="dxa"/>
            <w:vAlign w:val="center"/>
          </w:tcPr>
          <w:p w14:paraId="08C0B500">
            <w:pPr>
              <w:pStyle w:val="34"/>
              <w:spacing w:line="240" w:lineRule="auto"/>
              <w:rPr>
                <w:rFonts w:hint="default" w:ascii="Times New Roman" w:hAnsi="Times New Roman" w:eastAsia="宋体" w:cs="Times New Roman"/>
                <w:snapToGrid w:val="0"/>
                <w:color w:val="auto"/>
                <w:kern w:val="21"/>
                <w:szCs w:val="21"/>
              </w:rPr>
            </w:pPr>
          </w:p>
        </w:tc>
        <w:tc>
          <w:tcPr>
            <w:tcW w:w="1533" w:type="dxa"/>
            <w:vAlign w:val="center"/>
          </w:tcPr>
          <w:p w14:paraId="0C1C1859">
            <w:pPr>
              <w:pStyle w:val="34"/>
              <w:spacing w:line="240" w:lineRule="auto"/>
              <w:rPr>
                <w:rFonts w:hint="default" w:ascii="Times New Roman" w:hAnsi="Times New Roman" w:eastAsia="宋体" w:cs="Times New Roman"/>
                <w:snapToGrid w:val="0"/>
                <w:color w:val="auto"/>
                <w:kern w:val="21"/>
                <w:szCs w:val="21"/>
              </w:rPr>
            </w:pPr>
          </w:p>
        </w:tc>
        <w:tc>
          <w:tcPr>
            <w:tcW w:w="1417" w:type="dxa"/>
            <w:vAlign w:val="center"/>
          </w:tcPr>
          <w:p w14:paraId="7878EC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highlight w:val="none"/>
                <w:vertAlign w:val="baseline"/>
                <w:lang w:val="en-US" w:eastAsia="zh-CN"/>
              </w:rPr>
              <w:t>5t/a</w:t>
            </w:r>
          </w:p>
        </w:tc>
        <w:tc>
          <w:tcPr>
            <w:tcW w:w="1698" w:type="dxa"/>
            <w:vAlign w:val="center"/>
          </w:tcPr>
          <w:p w14:paraId="6A74FC1A">
            <w:pPr>
              <w:pStyle w:val="34"/>
              <w:spacing w:line="240" w:lineRule="auto"/>
              <w:rPr>
                <w:rFonts w:hint="default" w:ascii="Times New Roman" w:hAnsi="Times New Roman" w:eastAsia="宋体" w:cs="Times New Roman"/>
                <w:snapToGrid w:val="0"/>
                <w:color w:val="auto"/>
                <w:kern w:val="21"/>
                <w:szCs w:val="21"/>
              </w:rPr>
            </w:pPr>
          </w:p>
        </w:tc>
        <w:tc>
          <w:tcPr>
            <w:tcW w:w="1808" w:type="dxa"/>
            <w:vAlign w:val="center"/>
          </w:tcPr>
          <w:p w14:paraId="757207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highlight w:val="none"/>
                <w:vertAlign w:val="baseline"/>
                <w:lang w:val="en-US" w:eastAsia="zh-CN"/>
              </w:rPr>
              <w:t>5t/a</w:t>
            </w:r>
          </w:p>
        </w:tc>
        <w:tc>
          <w:tcPr>
            <w:tcW w:w="1701" w:type="dxa"/>
            <w:vAlign w:val="center"/>
          </w:tcPr>
          <w:p w14:paraId="61FF23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b w:val="0"/>
                <w:bCs w:val="0"/>
                <w:color w:val="auto"/>
                <w:highlight w:val="none"/>
                <w:vertAlign w:val="baseline"/>
                <w:lang w:val="en-US" w:eastAsia="zh-CN"/>
              </w:rPr>
              <w:t>5t/a</w:t>
            </w:r>
          </w:p>
        </w:tc>
      </w:tr>
      <w:tr w14:paraId="450D11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50" w:type="dxa"/>
            <w:vMerge w:val="continue"/>
            <w:vAlign w:val="center"/>
          </w:tcPr>
          <w:p w14:paraId="31730FE6">
            <w:pPr>
              <w:pStyle w:val="34"/>
              <w:spacing w:line="240" w:lineRule="auto"/>
              <w:rPr>
                <w:rFonts w:hint="default" w:ascii="Times New Roman" w:hAnsi="Times New Roman" w:eastAsia="宋体" w:cs="Times New Roman"/>
                <w:snapToGrid w:val="0"/>
                <w:color w:val="auto"/>
                <w:kern w:val="21"/>
                <w:szCs w:val="21"/>
              </w:rPr>
            </w:pPr>
          </w:p>
        </w:tc>
        <w:tc>
          <w:tcPr>
            <w:tcW w:w="1650" w:type="dxa"/>
            <w:vAlign w:val="center"/>
          </w:tcPr>
          <w:p w14:paraId="071C90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锡焊渣</w:t>
            </w:r>
          </w:p>
        </w:tc>
        <w:tc>
          <w:tcPr>
            <w:tcW w:w="1606" w:type="dxa"/>
            <w:vAlign w:val="center"/>
          </w:tcPr>
          <w:p w14:paraId="07F6E4C5">
            <w:pPr>
              <w:pStyle w:val="34"/>
              <w:spacing w:line="240" w:lineRule="auto"/>
              <w:rPr>
                <w:rFonts w:hint="default" w:ascii="Times New Roman" w:hAnsi="Times New Roman" w:eastAsia="宋体" w:cs="Times New Roman"/>
                <w:snapToGrid w:val="0"/>
                <w:color w:val="auto"/>
                <w:kern w:val="21"/>
                <w:szCs w:val="21"/>
              </w:rPr>
            </w:pPr>
          </w:p>
        </w:tc>
        <w:tc>
          <w:tcPr>
            <w:tcW w:w="1276" w:type="dxa"/>
            <w:vAlign w:val="center"/>
          </w:tcPr>
          <w:p w14:paraId="789ECEDD">
            <w:pPr>
              <w:pStyle w:val="34"/>
              <w:spacing w:line="240" w:lineRule="auto"/>
              <w:rPr>
                <w:rFonts w:hint="default" w:ascii="Times New Roman" w:hAnsi="Times New Roman" w:eastAsia="宋体" w:cs="Times New Roman"/>
                <w:snapToGrid w:val="0"/>
                <w:color w:val="auto"/>
                <w:kern w:val="21"/>
                <w:szCs w:val="21"/>
              </w:rPr>
            </w:pPr>
          </w:p>
        </w:tc>
        <w:tc>
          <w:tcPr>
            <w:tcW w:w="1533" w:type="dxa"/>
            <w:vAlign w:val="center"/>
          </w:tcPr>
          <w:p w14:paraId="19F9B7D4">
            <w:pPr>
              <w:pStyle w:val="34"/>
              <w:spacing w:line="240" w:lineRule="auto"/>
              <w:rPr>
                <w:rFonts w:hint="default" w:ascii="Times New Roman" w:hAnsi="Times New Roman" w:eastAsia="宋体" w:cs="Times New Roman"/>
                <w:snapToGrid w:val="0"/>
                <w:color w:val="auto"/>
                <w:kern w:val="21"/>
                <w:szCs w:val="21"/>
              </w:rPr>
            </w:pPr>
          </w:p>
        </w:tc>
        <w:tc>
          <w:tcPr>
            <w:tcW w:w="1417" w:type="dxa"/>
            <w:vAlign w:val="center"/>
          </w:tcPr>
          <w:p w14:paraId="49C0B5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0.15t/a</w:t>
            </w:r>
          </w:p>
        </w:tc>
        <w:tc>
          <w:tcPr>
            <w:tcW w:w="1698" w:type="dxa"/>
            <w:vAlign w:val="center"/>
          </w:tcPr>
          <w:p w14:paraId="01FF1954">
            <w:pPr>
              <w:pStyle w:val="34"/>
              <w:spacing w:line="240" w:lineRule="auto"/>
              <w:rPr>
                <w:rFonts w:hint="default" w:ascii="Times New Roman" w:hAnsi="Times New Roman" w:eastAsia="宋体" w:cs="Times New Roman"/>
                <w:snapToGrid w:val="0"/>
                <w:color w:val="auto"/>
                <w:kern w:val="21"/>
                <w:szCs w:val="21"/>
              </w:rPr>
            </w:pPr>
          </w:p>
        </w:tc>
        <w:tc>
          <w:tcPr>
            <w:tcW w:w="1808" w:type="dxa"/>
            <w:vAlign w:val="center"/>
          </w:tcPr>
          <w:p w14:paraId="7402856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0.15t/a</w:t>
            </w:r>
          </w:p>
        </w:tc>
        <w:tc>
          <w:tcPr>
            <w:tcW w:w="1701" w:type="dxa"/>
            <w:vAlign w:val="center"/>
          </w:tcPr>
          <w:p w14:paraId="62AAFE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b w:val="0"/>
                <w:bCs w:val="0"/>
                <w:color w:val="auto"/>
                <w:highlight w:val="none"/>
                <w:vertAlign w:val="baseline"/>
                <w:lang w:val="en-US" w:eastAsia="zh-CN"/>
              </w:rPr>
              <w:t>0.15t/a</w:t>
            </w:r>
          </w:p>
        </w:tc>
      </w:tr>
      <w:tr w14:paraId="77F4FF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50" w:type="dxa"/>
            <w:vMerge w:val="continue"/>
            <w:vAlign w:val="center"/>
          </w:tcPr>
          <w:p w14:paraId="266FC487">
            <w:pPr>
              <w:pStyle w:val="34"/>
              <w:spacing w:line="240" w:lineRule="auto"/>
              <w:rPr>
                <w:rFonts w:hint="default" w:ascii="Times New Roman" w:hAnsi="Times New Roman" w:eastAsia="宋体" w:cs="Times New Roman"/>
                <w:snapToGrid w:val="0"/>
                <w:color w:val="auto"/>
                <w:kern w:val="21"/>
                <w:szCs w:val="21"/>
              </w:rPr>
            </w:pPr>
          </w:p>
        </w:tc>
        <w:tc>
          <w:tcPr>
            <w:tcW w:w="1650" w:type="dxa"/>
            <w:vAlign w:val="center"/>
          </w:tcPr>
          <w:p w14:paraId="40C69A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vertAlign w:val="baseline"/>
                <w:lang w:val="en-US" w:eastAsia="zh-CN"/>
              </w:rPr>
              <w:t>检验不良品</w:t>
            </w:r>
          </w:p>
        </w:tc>
        <w:tc>
          <w:tcPr>
            <w:tcW w:w="1606" w:type="dxa"/>
            <w:vAlign w:val="center"/>
          </w:tcPr>
          <w:p w14:paraId="7A994D69">
            <w:pPr>
              <w:pStyle w:val="34"/>
              <w:spacing w:line="240" w:lineRule="auto"/>
              <w:rPr>
                <w:rFonts w:hint="default" w:ascii="Times New Roman" w:hAnsi="Times New Roman" w:eastAsia="宋体" w:cs="Times New Roman"/>
                <w:snapToGrid w:val="0"/>
                <w:color w:val="auto"/>
                <w:kern w:val="21"/>
                <w:szCs w:val="21"/>
              </w:rPr>
            </w:pPr>
          </w:p>
        </w:tc>
        <w:tc>
          <w:tcPr>
            <w:tcW w:w="1276" w:type="dxa"/>
            <w:vAlign w:val="center"/>
          </w:tcPr>
          <w:p w14:paraId="79C4258D">
            <w:pPr>
              <w:pStyle w:val="34"/>
              <w:spacing w:line="240" w:lineRule="auto"/>
              <w:rPr>
                <w:rFonts w:hint="default" w:ascii="Times New Roman" w:hAnsi="Times New Roman" w:eastAsia="宋体" w:cs="Times New Roman"/>
                <w:snapToGrid w:val="0"/>
                <w:color w:val="auto"/>
                <w:kern w:val="21"/>
                <w:szCs w:val="21"/>
              </w:rPr>
            </w:pPr>
          </w:p>
        </w:tc>
        <w:tc>
          <w:tcPr>
            <w:tcW w:w="1533" w:type="dxa"/>
            <w:vAlign w:val="center"/>
          </w:tcPr>
          <w:p w14:paraId="54422C97">
            <w:pPr>
              <w:pStyle w:val="34"/>
              <w:spacing w:line="240" w:lineRule="auto"/>
              <w:rPr>
                <w:rFonts w:hint="default" w:ascii="Times New Roman" w:hAnsi="Times New Roman" w:eastAsia="宋体" w:cs="Times New Roman"/>
                <w:snapToGrid w:val="0"/>
                <w:color w:val="auto"/>
                <w:kern w:val="21"/>
                <w:szCs w:val="21"/>
              </w:rPr>
            </w:pPr>
          </w:p>
        </w:tc>
        <w:tc>
          <w:tcPr>
            <w:tcW w:w="1417" w:type="dxa"/>
            <w:vAlign w:val="center"/>
          </w:tcPr>
          <w:p w14:paraId="6B6760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vertAlign w:val="baseline"/>
                <w:lang w:val="en-US" w:eastAsia="zh-CN"/>
              </w:rPr>
              <w:t>1.08</w:t>
            </w:r>
            <w:r>
              <w:rPr>
                <w:rFonts w:hint="default" w:ascii="Times New Roman" w:hAnsi="Times New Roman" w:eastAsia="宋体" w:cs="Times New Roman"/>
                <w:b w:val="0"/>
                <w:bCs w:val="0"/>
                <w:color w:val="auto"/>
                <w:highlight w:val="none"/>
                <w:vertAlign w:val="baseline"/>
                <w:lang w:val="en-US" w:eastAsia="zh-CN"/>
              </w:rPr>
              <w:t>t/a</w:t>
            </w:r>
          </w:p>
        </w:tc>
        <w:tc>
          <w:tcPr>
            <w:tcW w:w="1698" w:type="dxa"/>
            <w:vAlign w:val="center"/>
          </w:tcPr>
          <w:p w14:paraId="5F1CC07D">
            <w:pPr>
              <w:pStyle w:val="34"/>
              <w:spacing w:line="240" w:lineRule="auto"/>
              <w:rPr>
                <w:rFonts w:hint="default" w:ascii="Times New Roman" w:hAnsi="Times New Roman" w:eastAsia="宋体" w:cs="Times New Roman"/>
                <w:snapToGrid w:val="0"/>
                <w:color w:val="auto"/>
                <w:kern w:val="21"/>
                <w:szCs w:val="21"/>
              </w:rPr>
            </w:pPr>
          </w:p>
        </w:tc>
        <w:tc>
          <w:tcPr>
            <w:tcW w:w="1808" w:type="dxa"/>
            <w:vAlign w:val="center"/>
          </w:tcPr>
          <w:p w14:paraId="0592DBA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vertAlign w:val="baseline"/>
                <w:lang w:val="en-US" w:eastAsia="zh-CN"/>
              </w:rPr>
              <w:t>1.08</w:t>
            </w:r>
            <w:r>
              <w:rPr>
                <w:rFonts w:hint="default" w:ascii="Times New Roman" w:hAnsi="Times New Roman" w:eastAsia="宋体" w:cs="Times New Roman"/>
                <w:b w:val="0"/>
                <w:bCs w:val="0"/>
                <w:color w:val="auto"/>
                <w:highlight w:val="none"/>
                <w:vertAlign w:val="baseline"/>
                <w:lang w:val="en-US" w:eastAsia="zh-CN"/>
              </w:rPr>
              <w:t>t/a</w:t>
            </w:r>
          </w:p>
        </w:tc>
        <w:tc>
          <w:tcPr>
            <w:tcW w:w="1701" w:type="dxa"/>
            <w:vAlign w:val="center"/>
          </w:tcPr>
          <w:p w14:paraId="2B06E0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b w:val="0"/>
                <w:bCs w:val="0"/>
                <w:color w:val="auto"/>
                <w:vertAlign w:val="baseline"/>
                <w:lang w:val="en-US" w:eastAsia="zh-CN"/>
              </w:rPr>
              <w:t>1.08</w:t>
            </w:r>
            <w:r>
              <w:rPr>
                <w:rFonts w:hint="default" w:ascii="Times New Roman" w:hAnsi="Times New Roman" w:eastAsia="宋体" w:cs="Times New Roman"/>
                <w:b w:val="0"/>
                <w:bCs w:val="0"/>
                <w:color w:val="auto"/>
                <w:highlight w:val="none"/>
                <w:vertAlign w:val="baseline"/>
                <w:lang w:val="en-US" w:eastAsia="zh-CN"/>
              </w:rPr>
              <w:t>t/a</w:t>
            </w:r>
          </w:p>
        </w:tc>
      </w:tr>
      <w:tr w14:paraId="71637C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50" w:type="dxa"/>
            <w:vMerge w:val="restart"/>
            <w:vAlign w:val="center"/>
          </w:tcPr>
          <w:p w14:paraId="43CD7817">
            <w:pPr>
              <w:pStyle w:val="34"/>
              <w:spacing w:line="240" w:lineRule="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危险废物</w:t>
            </w:r>
          </w:p>
        </w:tc>
        <w:tc>
          <w:tcPr>
            <w:tcW w:w="1650" w:type="dxa"/>
            <w:vAlign w:val="center"/>
          </w:tcPr>
          <w:p w14:paraId="221FA3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vertAlign w:val="baseline"/>
                <w:lang w:val="en-US" w:eastAsia="zh-CN"/>
              </w:rPr>
              <w:t>废胶、废桶</w:t>
            </w:r>
          </w:p>
        </w:tc>
        <w:tc>
          <w:tcPr>
            <w:tcW w:w="1606" w:type="dxa"/>
            <w:vAlign w:val="center"/>
          </w:tcPr>
          <w:p w14:paraId="49041C21">
            <w:pPr>
              <w:pStyle w:val="34"/>
              <w:spacing w:line="240" w:lineRule="auto"/>
              <w:rPr>
                <w:rFonts w:hint="default" w:ascii="Times New Roman" w:hAnsi="Times New Roman" w:eastAsia="宋体" w:cs="Times New Roman"/>
                <w:snapToGrid w:val="0"/>
                <w:color w:val="auto"/>
                <w:kern w:val="21"/>
                <w:szCs w:val="21"/>
              </w:rPr>
            </w:pPr>
          </w:p>
        </w:tc>
        <w:tc>
          <w:tcPr>
            <w:tcW w:w="1276" w:type="dxa"/>
            <w:vAlign w:val="center"/>
          </w:tcPr>
          <w:p w14:paraId="70A0C50C">
            <w:pPr>
              <w:pStyle w:val="34"/>
              <w:spacing w:line="240" w:lineRule="auto"/>
              <w:rPr>
                <w:rFonts w:hint="default" w:ascii="Times New Roman" w:hAnsi="Times New Roman" w:eastAsia="宋体" w:cs="Times New Roman"/>
                <w:snapToGrid w:val="0"/>
                <w:color w:val="auto"/>
                <w:kern w:val="21"/>
                <w:szCs w:val="21"/>
              </w:rPr>
            </w:pPr>
          </w:p>
        </w:tc>
        <w:tc>
          <w:tcPr>
            <w:tcW w:w="1533" w:type="dxa"/>
            <w:vAlign w:val="center"/>
          </w:tcPr>
          <w:p w14:paraId="03591F2C">
            <w:pPr>
              <w:pStyle w:val="34"/>
              <w:spacing w:line="240" w:lineRule="auto"/>
              <w:rPr>
                <w:rFonts w:hint="default" w:ascii="Times New Roman" w:hAnsi="Times New Roman" w:eastAsia="宋体" w:cs="Times New Roman"/>
                <w:snapToGrid w:val="0"/>
                <w:color w:val="auto"/>
                <w:kern w:val="21"/>
                <w:szCs w:val="21"/>
              </w:rPr>
            </w:pPr>
          </w:p>
        </w:tc>
        <w:tc>
          <w:tcPr>
            <w:tcW w:w="1417" w:type="dxa"/>
            <w:vAlign w:val="center"/>
          </w:tcPr>
          <w:p w14:paraId="0C925C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vertAlign w:val="baseline"/>
                <w:lang w:val="en-US" w:eastAsia="zh-CN"/>
              </w:rPr>
              <w:t>1.7</w:t>
            </w:r>
            <w:r>
              <w:rPr>
                <w:rFonts w:hint="default" w:ascii="Times New Roman" w:hAnsi="Times New Roman" w:eastAsia="宋体" w:cs="Times New Roman"/>
                <w:b w:val="0"/>
                <w:bCs w:val="0"/>
                <w:color w:val="auto"/>
                <w:highlight w:val="none"/>
                <w:vertAlign w:val="baseline"/>
                <w:lang w:val="en-US" w:eastAsia="zh-CN"/>
              </w:rPr>
              <w:t>t/a</w:t>
            </w:r>
          </w:p>
        </w:tc>
        <w:tc>
          <w:tcPr>
            <w:tcW w:w="1698" w:type="dxa"/>
            <w:vAlign w:val="center"/>
          </w:tcPr>
          <w:p w14:paraId="2B1E9296">
            <w:pPr>
              <w:pStyle w:val="34"/>
              <w:spacing w:line="240" w:lineRule="auto"/>
              <w:rPr>
                <w:rFonts w:hint="default" w:ascii="Times New Roman" w:hAnsi="Times New Roman" w:eastAsia="宋体" w:cs="Times New Roman"/>
                <w:snapToGrid w:val="0"/>
                <w:color w:val="auto"/>
                <w:kern w:val="21"/>
                <w:szCs w:val="21"/>
              </w:rPr>
            </w:pPr>
          </w:p>
        </w:tc>
        <w:tc>
          <w:tcPr>
            <w:tcW w:w="1808" w:type="dxa"/>
            <w:vAlign w:val="center"/>
          </w:tcPr>
          <w:p w14:paraId="55CE2F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vertAlign w:val="baseline"/>
                <w:lang w:val="en-US" w:eastAsia="zh-CN"/>
              </w:rPr>
              <w:t>1.7</w:t>
            </w:r>
            <w:r>
              <w:rPr>
                <w:rFonts w:hint="default" w:ascii="Times New Roman" w:hAnsi="Times New Roman" w:eastAsia="宋体" w:cs="Times New Roman"/>
                <w:b w:val="0"/>
                <w:bCs w:val="0"/>
                <w:color w:val="auto"/>
                <w:highlight w:val="none"/>
                <w:vertAlign w:val="baseline"/>
                <w:lang w:val="en-US" w:eastAsia="zh-CN"/>
              </w:rPr>
              <w:t>t/a</w:t>
            </w:r>
          </w:p>
        </w:tc>
        <w:tc>
          <w:tcPr>
            <w:tcW w:w="1701" w:type="dxa"/>
            <w:vAlign w:val="center"/>
          </w:tcPr>
          <w:p w14:paraId="34A38A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b w:val="0"/>
                <w:bCs w:val="0"/>
                <w:color w:val="auto"/>
                <w:vertAlign w:val="baseline"/>
                <w:lang w:val="en-US" w:eastAsia="zh-CN"/>
              </w:rPr>
              <w:t>1.7</w:t>
            </w:r>
            <w:r>
              <w:rPr>
                <w:rFonts w:hint="default" w:ascii="Times New Roman" w:hAnsi="Times New Roman" w:eastAsia="宋体" w:cs="Times New Roman"/>
                <w:b w:val="0"/>
                <w:bCs w:val="0"/>
                <w:color w:val="auto"/>
                <w:highlight w:val="none"/>
                <w:vertAlign w:val="baseline"/>
                <w:lang w:val="en-US" w:eastAsia="zh-CN"/>
              </w:rPr>
              <w:t>t/a</w:t>
            </w:r>
          </w:p>
        </w:tc>
      </w:tr>
      <w:tr w14:paraId="0769F7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50" w:type="dxa"/>
            <w:vMerge w:val="continue"/>
            <w:vAlign w:val="center"/>
          </w:tcPr>
          <w:p w14:paraId="190EF7D9">
            <w:pPr>
              <w:pStyle w:val="34"/>
              <w:spacing w:line="240" w:lineRule="auto"/>
              <w:rPr>
                <w:rFonts w:hint="default" w:ascii="Times New Roman" w:hAnsi="Times New Roman" w:eastAsia="宋体" w:cs="Times New Roman"/>
                <w:snapToGrid w:val="0"/>
                <w:color w:val="auto"/>
                <w:kern w:val="21"/>
                <w:szCs w:val="21"/>
              </w:rPr>
            </w:pPr>
          </w:p>
        </w:tc>
        <w:tc>
          <w:tcPr>
            <w:tcW w:w="1650" w:type="dxa"/>
            <w:vAlign w:val="center"/>
          </w:tcPr>
          <w:p w14:paraId="0011A3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vertAlign w:val="baseline"/>
                <w:lang w:val="en-US" w:eastAsia="zh-CN"/>
              </w:rPr>
              <w:t>废酒精</w:t>
            </w:r>
          </w:p>
        </w:tc>
        <w:tc>
          <w:tcPr>
            <w:tcW w:w="1606" w:type="dxa"/>
            <w:vAlign w:val="center"/>
          </w:tcPr>
          <w:p w14:paraId="10F595EB">
            <w:pPr>
              <w:pStyle w:val="34"/>
              <w:spacing w:line="240" w:lineRule="auto"/>
              <w:rPr>
                <w:rFonts w:hint="default" w:ascii="Times New Roman" w:hAnsi="Times New Roman" w:eastAsia="宋体" w:cs="Times New Roman"/>
                <w:snapToGrid w:val="0"/>
                <w:color w:val="auto"/>
                <w:kern w:val="21"/>
                <w:szCs w:val="21"/>
              </w:rPr>
            </w:pPr>
          </w:p>
        </w:tc>
        <w:tc>
          <w:tcPr>
            <w:tcW w:w="1276" w:type="dxa"/>
            <w:vAlign w:val="center"/>
          </w:tcPr>
          <w:p w14:paraId="70E86B7F">
            <w:pPr>
              <w:pStyle w:val="34"/>
              <w:spacing w:line="240" w:lineRule="auto"/>
              <w:rPr>
                <w:rFonts w:hint="default" w:ascii="Times New Roman" w:hAnsi="Times New Roman" w:eastAsia="宋体" w:cs="Times New Roman"/>
                <w:snapToGrid w:val="0"/>
                <w:color w:val="auto"/>
                <w:kern w:val="21"/>
                <w:szCs w:val="21"/>
              </w:rPr>
            </w:pPr>
          </w:p>
        </w:tc>
        <w:tc>
          <w:tcPr>
            <w:tcW w:w="1533" w:type="dxa"/>
            <w:vAlign w:val="center"/>
          </w:tcPr>
          <w:p w14:paraId="4FE270CA">
            <w:pPr>
              <w:pStyle w:val="34"/>
              <w:spacing w:line="240" w:lineRule="auto"/>
              <w:rPr>
                <w:rFonts w:hint="default" w:ascii="Times New Roman" w:hAnsi="Times New Roman" w:eastAsia="宋体" w:cs="Times New Roman"/>
                <w:snapToGrid w:val="0"/>
                <w:color w:val="auto"/>
                <w:kern w:val="21"/>
                <w:szCs w:val="21"/>
              </w:rPr>
            </w:pPr>
          </w:p>
        </w:tc>
        <w:tc>
          <w:tcPr>
            <w:tcW w:w="1417" w:type="dxa"/>
            <w:vAlign w:val="center"/>
          </w:tcPr>
          <w:p w14:paraId="40DC11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vertAlign w:val="baseline"/>
                <w:lang w:val="en-US" w:eastAsia="zh-CN"/>
              </w:rPr>
              <w:t>1.016</w:t>
            </w:r>
            <w:r>
              <w:rPr>
                <w:rFonts w:hint="default" w:ascii="Times New Roman" w:hAnsi="Times New Roman" w:eastAsia="宋体" w:cs="Times New Roman"/>
                <w:b w:val="0"/>
                <w:bCs w:val="0"/>
                <w:color w:val="auto"/>
                <w:highlight w:val="none"/>
                <w:vertAlign w:val="baseline"/>
                <w:lang w:val="en-US" w:eastAsia="zh-CN"/>
              </w:rPr>
              <w:t>t/a</w:t>
            </w:r>
          </w:p>
        </w:tc>
        <w:tc>
          <w:tcPr>
            <w:tcW w:w="1698" w:type="dxa"/>
            <w:vAlign w:val="center"/>
          </w:tcPr>
          <w:p w14:paraId="5E63E3A2">
            <w:pPr>
              <w:pStyle w:val="34"/>
              <w:spacing w:line="240" w:lineRule="auto"/>
              <w:rPr>
                <w:rFonts w:hint="default" w:ascii="Times New Roman" w:hAnsi="Times New Roman" w:eastAsia="宋体" w:cs="Times New Roman"/>
                <w:snapToGrid w:val="0"/>
                <w:color w:val="auto"/>
                <w:kern w:val="21"/>
                <w:szCs w:val="21"/>
              </w:rPr>
            </w:pPr>
          </w:p>
        </w:tc>
        <w:tc>
          <w:tcPr>
            <w:tcW w:w="1808" w:type="dxa"/>
            <w:vAlign w:val="center"/>
          </w:tcPr>
          <w:p w14:paraId="716A95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vertAlign w:val="baseline"/>
                <w:lang w:val="en-US" w:eastAsia="zh-CN"/>
              </w:rPr>
              <w:t>1.016</w:t>
            </w:r>
            <w:r>
              <w:rPr>
                <w:rFonts w:hint="default" w:ascii="Times New Roman" w:hAnsi="Times New Roman" w:eastAsia="宋体" w:cs="Times New Roman"/>
                <w:b w:val="0"/>
                <w:bCs w:val="0"/>
                <w:color w:val="auto"/>
                <w:highlight w:val="none"/>
                <w:vertAlign w:val="baseline"/>
                <w:lang w:val="en-US" w:eastAsia="zh-CN"/>
              </w:rPr>
              <w:t>t/a</w:t>
            </w:r>
          </w:p>
        </w:tc>
        <w:tc>
          <w:tcPr>
            <w:tcW w:w="1701" w:type="dxa"/>
            <w:vAlign w:val="center"/>
          </w:tcPr>
          <w:p w14:paraId="182F11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b w:val="0"/>
                <w:bCs w:val="0"/>
                <w:color w:val="auto"/>
                <w:vertAlign w:val="baseline"/>
                <w:lang w:val="en-US" w:eastAsia="zh-CN"/>
              </w:rPr>
              <w:t>1.016</w:t>
            </w:r>
            <w:r>
              <w:rPr>
                <w:rFonts w:hint="default" w:ascii="Times New Roman" w:hAnsi="Times New Roman" w:eastAsia="宋体" w:cs="Times New Roman"/>
                <w:b w:val="0"/>
                <w:bCs w:val="0"/>
                <w:color w:val="auto"/>
                <w:highlight w:val="none"/>
                <w:vertAlign w:val="baseline"/>
                <w:lang w:val="en-US" w:eastAsia="zh-CN"/>
              </w:rPr>
              <w:t>t/a</w:t>
            </w:r>
          </w:p>
        </w:tc>
      </w:tr>
      <w:tr w14:paraId="662B3C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50" w:type="dxa"/>
            <w:vMerge w:val="continue"/>
            <w:vAlign w:val="center"/>
          </w:tcPr>
          <w:p w14:paraId="3648D970">
            <w:pPr>
              <w:pStyle w:val="34"/>
              <w:spacing w:line="240" w:lineRule="auto"/>
              <w:rPr>
                <w:rFonts w:hint="default" w:ascii="Times New Roman" w:hAnsi="Times New Roman" w:eastAsia="宋体" w:cs="Times New Roman"/>
                <w:snapToGrid w:val="0"/>
                <w:color w:val="auto"/>
                <w:kern w:val="21"/>
                <w:szCs w:val="21"/>
              </w:rPr>
            </w:pPr>
          </w:p>
        </w:tc>
        <w:tc>
          <w:tcPr>
            <w:tcW w:w="1650" w:type="dxa"/>
            <w:vAlign w:val="center"/>
          </w:tcPr>
          <w:p w14:paraId="703F41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vertAlign w:val="baseline"/>
                <w:lang w:val="en-US" w:eastAsia="zh-CN"/>
              </w:rPr>
              <w:t>废脱漆剂</w:t>
            </w:r>
          </w:p>
        </w:tc>
        <w:tc>
          <w:tcPr>
            <w:tcW w:w="1606" w:type="dxa"/>
            <w:vAlign w:val="center"/>
          </w:tcPr>
          <w:p w14:paraId="1A76FD89">
            <w:pPr>
              <w:pStyle w:val="34"/>
              <w:spacing w:line="240" w:lineRule="auto"/>
              <w:rPr>
                <w:rFonts w:hint="default" w:ascii="Times New Roman" w:hAnsi="Times New Roman" w:eastAsia="宋体" w:cs="Times New Roman"/>
                <w:snapToGrid w:val="0"/>
                <w:color w:val="auto"/>
                <w:kern w:val="21"/>
                <w:szCs w:val="21"/>
              </w:rPr>
            </w:pPr>
          </w:p>
        </w:tc>
        <w:tc>
          <w:tcPr>
            <w:tcW w:w="1276" w:type="dxa"/>
            <w:vAlign w:val="center"/>
          </w:tcPr>
          <w:p w14:paraId="489E250D">
            <w:pPr>
              <w:pStyle w:val="34"/>
              <w:spacing w:line="240" w:lineRule="auto"/>
              <w:rPr>
                <w:rFonts w:hint="default" w:ascii="Times New Roman" w:hAnsi="Times New Roman" w:eastAsia="宋体" w:cs="Times New Roman"/>
                <w:snapToGrid w:val="0"/>
                <w:color w:val="auto"/>
                <w:kern w:val="21"/>
                <w:szCs w:val="21"/>
              </w:rPr>
            </w:pPr>
          </w:p>
        </w:tc>
        <w:tc>
          <w:tcPr>
            <w:tcW w:w="1533" w:type="dxa"/>
            <w:vAlign w:val="center"/>
          </w:tcPr>
          <w:p w14:paraId="35753AA8">
            <w:pPr>
              <w:pStyle w:val="34"/>
              <w:spacing w:line="240" w:lineRule="auto"/>
              <w:rPr>
                <w:rFonts w:hint="default" w:ascii="Times New Roman" w:hAnsi="Times New Roman" w:eastAsia="宋体" w:cs="Times New Roman"/>
                <w:snapToGrid w:val="0"/>
                <w:color w:val="auto"/>
                <w:kern w:val="21"/>
                <w:szCs w:val="21"/>
              </w:rPr>
            </w:pPr>
          </w:p>
        </w:tc>
        <w:tc>
          <w:tcPr>
            <w:tcW w:w="1417" w:type="dxa"/>
            <w:vAlign w:val="center"/>
          </w:tcPr>
          <w:p w14:paraId="75E274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0.008</w:t>
            </w:r>
            <w:r>
              <w:rPr>
                <w:rFonts w:hint="default" w:ascii="Times New Roman" w:hAnsi="Times New Roman" w:eastAsia="宋体" w:cs="Times New Roman"/>
                <w:b w:val="0"/>
                <w:bCs w:val="0"/>
                <w:color w:val="auto"/>
                <w:highlight w:val="none"/>
                <w:vertAlign w:val="baseline"/>
                <w:lang w:val="en-US" w:eastAsia="zh-CN"/>
              </w:rPr>
              <w:t>t/a</w:t>
            </w:r>
          </w:p>
        </w:tc>
        <w:tc>
          <w:tcPr>
            <w:tcW w:w="1698" w:type="dxa"/>
            <w:vAlign w:val="center"/>
          </w:tcPr>
          <w:p w14:paraId="6650AB43">
            <w:pPr>
              <w:pStyle w:val="34"/>
              <w:spacing w:line="240" w:lineRule="auto"/>
              <w:rPr>
                <w:rFonts w:hint="default" w:ascii="Times New Roman" w:hAnsi="Times New Roman" w:eastAsia="宋体" w:cs="Times New Roman"/>
                <w:snapToGrid w:val="0"/>
                <w:color w:val="auto"/>
                <w:kern w:val="21"/>
                <w:szCs w:val="21"/>
              </w:rPr>
            </w:pPr>
          </w:p>
        </w:tc>
        <w:tc>
          <w:tcPr>
            <w:tcW w:w="1808" w:type="dxa"/>
            <w:vAlign w:val="center"/>
          </w:tcPr>
          <w:p w14:paraId="29FD06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0.008</w:t>
            </w:r>
            <w:r>
              <w:rPr>
                <w:rFonts w:hint="default" w:ascii="Times New Roman" w:hAnsi="Times New Roman" w:eastAsia="宋体" w:cs="Times New Roman"/>
                <w:b w:val="0"/>
                <w:bCs w:val="0"/>
                <w:color w:val="auto"/>
                <w:highlight w:val="none"/>
                <w:vertAlign w:val="baseline"/>
                <w:lang w:val="en-US" w:eastAsia="zh-CN"/>
              </w:rPr>
              <w:t>t/a</w:t>
            </w:r>
          </w:p>
        </w:tc>
        <w:tc>
          <w:tcPr>
            <w:tcW w:w="1701" w:type="dxa"/>
            <w:vAlign w:val="center"/>
          </w:tcPr>
          <w:p w14:paraId="35207A0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b w:val="0"/>
                <w:bCs w:val="0"/>
                <w:color w:val="auto"/>
                <w:vertAlign w:val="baseline"/>
                <w:lang w:val="en-US" w:eastAsia="zh-CN"/>
              </w:rPr>
              <w:t>0.008</w:t>
            </w:r>
            <w:r>
              <w:rPr>
                <w:rFonts w:hint="default" w:ascii="Times New Roman" w:hAnsi="Times New Roman" w:eastAsia="宋体" w:cs="Times New Roman"/>
                <w:b w:val="0"/>
                <w:bCs w:val="0"/>
                <w:color w:val="auto"/>
                <w:highlight w:val="none"/>
                <w:vertAlign w:val="baseline"/>
                <w:lang w:val="en-US" w:eastAsia="zh-CN"/>
              </w:rPr>
              <w:t>t/a</w:t>
            </w:r>
          </w:p>
        </w:tc>
      </w:tr>
      <w:tr w14:paraId="7D05D6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50" w:type="dxa"/>
            <w:vMerge w:val="continue"/>
            <w:vAlign w:val="center"/>
          </w:tcPr>
          <w:p w14:paraId="7B8395CF">
            <w:pPr>
              <w:pStyle w:val="34"/>
              <w:spacing w:line="240" w:lineRule="auto"/>
              <w:rPr>
                <w:rFonts w:hint="default" w:ascii="Times New Roman" w:hAnsi="Times New Roman" w:eastAsia="宋体" w:cs="Times New Roman"/>
                <w:snapToGrid w:val="0"/>
                <w:color w:val="auto"/>
                <w:kern w:val="21"/>
                <w:szCs w:val="21"/>
              </w:rPr>
            </w:pPr>
          </w:p>
        </w:tc>
        <w:tc>
          <w:tcPr>
            <w:tcW w:w="1650" w:type="dxa"/>
            <w:vAlign w:val="center"/>
          </w:tcPr>
          <w:p w14:paraId="0C56C1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b w:val="0"/>
                <w:bCs w:val="0"/>
                <w:color w:val="auto"/>
                <w:vertAlign w:val="baseline"/>
                <w:lang w:val="en-US" w:eastAsia="zh-CN"/>
              </w:rPr>
              <w:t>废清洗剂</w:t>
            </w:r>
          </w:p>
        </w:tc>
        <w:tc>
          <w:tcPr>
            <w:tcW w:w="1606" w:type="dxa"/>
            <w:vAlign w:val="center"/>
          </w:tcPr>
          <w:p w14:paraId="51FE3706">
            <w:pPr>
              <w:pStyle w:val="34"/>
              <w:spacing w:line="240" w:lineRule="auto"/>
              <w:rPr>
                <w:rFonts w:hint="default" w:ascii="Times New Roman" w:hAnsi="Times New Roman" w:eastAsia="宋体" w:cs="Times New Roman"/>
                <w:snapToGrid w:val="0"/>
                <w:color w:val="auto"/>
                <w:kern w:val="21"/>
                <w:szCs w:val="21"/>
              </w:rPr>
            </w:pPr>
          </w:p>
        </w:tc>
        <w:tc>
          <w:tcPr>
            <w:tcW w:w="1276" w:type="dxa"/>
            <w:vAlign w:val="center"/>
          </w:tcPr>
          <w:p w14:paraId="0138809C">
            <w:pPr>
              <w:pStyle w:val="34"/>
              <w:spacing w:line="240" w:lineRule="auto"/>
              <w:rPr>
                <w:rFonts w:hint="default" w:ascii="Times New Roman" w:hAnsi="Times New Roman" w:eastAsia="宋体" w:cs="Times New Roman"/>
                <w:snapToGrid w:val="0"/>
                <w:color w:val="auto"/>
                <w:kern w:val="21"/>
                <w:szCs w:val="21"/>
              </w:rPr>
            </w:pPr>
          </w:p>
        </w:tc>
        <w:tc>
          <w:tcPr>
            <w:tcW w:w="1533" w:type="dxa"/>
            <w:vAlign w:val="center"/>
          </w:tcPr>
          <w:p w14:paraId="4F2E78A0">
            <w:pPr>
              <w:pStyle w:val="34"/>
              <w:spacing w:line="240" w:lineRule="auto"/>
              <w:rPr>
                <w:rFonts w:hint="default" w:ascii="Times New Roman" w:hAnsi="Times New Roman" w:eastAsia="宋体" w:cs="Times New Roman"/>
                <w:snapToGrid w:val="0"/>
                <w:color w:val="auto"/>
                <w:kern w:val="21"/>
                <w:szCs w:val="21"/>
              </w:rPr>
            </w:pPr>
          </w:p>
        </w:tc>
        <w:tc>
          <w:tcPr>
            <w:tcW w:w="1417" w:type="dxa"/>
            <w:vAlign w:val="center"/>
          </w:tcPr>
          <w:p w14:paraId="538C57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0.32</w:t>
            </w:r>
            <w:r>
              <w:rPr>
                <w:rFonts w:hint="default" w:ascii="Times New Roman" w:hAnsi="Times New Roman" w:eastAsia="宋体" w:cs="Times New Roman"/>
                <w:b w:val="0"/>
                <w:bCs w:val="0"/>
                <w:color w:val="auto"/>
                <w:highlight w:val="none"/>
                <w:vertAlign w:val="baseline"/>
                <w:lang w:val="en-US" w:eastAsia="zh-CN"/>
              </w:rPr>
              <w:t>t/a</w:t>
            </w:r>
          </w:p>
        </w:tc>
        <w:tc>
          <w:tcPr>
            <w:tcW w:w="1698" w:type="dxa"/>
            <w:vAlign w:val="center"/>
          </w:tcPr>
          <w:p w14:paraId="34CFAB70">
            <w:pPr>
              <w:pStyle w:val="34"/>
              <w:spacing w:line="240" w:lineRule="auto"/>
              <w:rPr>
                <w:rFonts w:hint="default" w:ascii="Times New Roman" w:hAnsi="Times New Roman" w:eastAsia="宋体" w:cs="Times New Roman"/>
                <w:snapToGrid w:val="0"/>
                <w:color w:val="auto"/>
                <w:kern w:val="21"/>
                <w:szCs w:val="21"/>
              </w:rPr>
            </w:pPr>
          </w:p>
        </w:tc>
        <w:tc>
          <w:tcPr>
            <w:tcW w:w="1808" w:type="dxa"/>
            <w:vAlign w:val="center"/>
          </w:tcPr>
          <w:p w14:paraId="736E9A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0.32</w:t>
            </w:r>
            <w:r>
              <w:rPr>
                <w:rFonts w:hint="default" w:ascii="Times New Roman" w:hAnsi="Times New Roman" w:eastAsia="宋体" w:cs="Times New Roman"/>
                <w:b w:val="0"/>
                <w:bCs w:val="0"/>
                <w:color w:val="auto"/>
                <w:highlight w:val="none"/>
                <w:vertAlign w:val="baseline"/>
                <w:lang w:val="en-US" w:eastAsia="zh-CN"/>
              </w:rPr>
              <w:t>t/a</w:t>
            </w:r>
          </w:p>
        </w:tc>
        <w:tc>
          <w:tcPr>
            <w:tcW w:w="1701" w:type="dxa"/>
            <w:vAlign w:val="center"/>
          </w:tcPr>
          <w:p w14:paraId="62FFDA2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b w:val="0"/>
                <w:bCs w:val="0"/>
                <w:color w:val="auto"/>
                <w:vertAlign w:val="baseline"/>
                <w:lang w:val="en-US" w:eastAsia="zh-CN"/>
              </w:rPr>
              <w:t>0.32</w:t>
            </w:r>
            <w:r>
              <w:rPr>
                <w:rFonts w:hint="default" w:ascii="Times New Roman" w:hAnsi="Times New Roman" w:eastAsia="宋体" w:cs="Times New Roman"/>
                <w:b w:val="0"/>
                <w:bCs w:val="0"/>
                <w:color w:val="auto"/>
                <w:highlight w:val="none"/>
                <w:vertAlign w:val="baseline"/>
                <w:lang w:val="en-US" w:eastAsia="zh-CN"/>
              </w:rPr>
              <w:t>t/a</w:t>
            </w:r>
          </w:p>
        </w:tc>
      </w:tr>
      <w:tr w14:paraId="4F8E67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50" w:type="dxa"/>
            <w:vMerge w:val="continue"/>
            <w:vAlign w:val="center"/>
          </w:tcPr>
          <w:p w14:paraId="106D6472">
            <w:pPr>
              <w:pStyle w:val="34"/>
              <w:spacing w:line="240" w:lineRule="auto"/>
              <w:rPr>
                <w:rFonts w:hint="default" w:ascii="Times New Roman" w:hAnsi="Times New Roman" w:eastAsia="宋体" w:cs="Times New Roman"/>
                <w:snapToGrid w:val="0"/>
                <w:color w:val="auto"/>
                <w:kern w:val="21"/>
                <w:szCs w:val="21"/>
              </w:rPr>
            </w:pPr>
          </w:p>
        </w:tc>
        <w:tc>
          <w:tcPr>
            <w:tcW w:w="1650" w:type="dxa"/>
            <w:vAlign w:val="center"/>
          </w:tcPr>
          <w:p w14:paraId="5E0E93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废活性炭</w:t>
            </w:r>
          </w:p>
        </w:tc>
        <w:tc>
          <w:tcPr>
            <w:tcW w:w="1606" w:type="dxa"/>
            <w:vAlign w:val="center"/>
          </w:tcPr>
          <w:p w14:paraId="4D4E8F09">
            <w:pPr>
              <w:pStyle w:val="34"/>
              <w:spacing w:line="240" w:lineRule="auto"/>
              <w:rPr>
                <w:rFonts w:hint="default" w:ascii="Times New Roman" w:hAnsi="Times New Roman" w:eastAsia="宋体" w:cs="Times New Roman"/>
                <w:snapToGrid w:val="0"/>
                <w:color w:val="auto"/>
                <w:kern w:val="21"/>
                <w:szCs w:val="21"/>
              </w:rPr>
            </w:pPr>
          </w:p>
        </w:tc>
        <w:tc>
          <w:tcPr>
            <w:tcW w:w="1276" w:type="dxa"/>
            <w:vAlign w:val="center"/>
          </w:tcPr>
          <w:p w14:paraId="15F15D27">
            <w:pPr>
              <w:pStyle w:val="34"/>
              <w:spacing w:line="240" w:lineRule="auto"/>
              <w:rPr>
                <w:rFonts w:hint="default" w:ascii="Times New Roman" w:hAnsi="Times New Roman" w:eastAsia="宋体" w:cs="Times New Roman"/>
                <w:snapToGrid w:val="0"/>
                <w:color w:val="auto"/>
                <w:kern w:val="21"/>
                <w:szCs w:val="21"/>
              </w:rPr>
            </w:pPr>
          </w:p>
        </w:tc>
        <w:tc>
          <w:tcPr>
            <w:tcW w:w="1533" w:type="dxa"/>
            <w:vAlign w:val="center"/>
          </w:tcPr>
          <w:p w14:paraId="79A402D3">
            <w:pPr>
              <w:pStyle w:val="34"/>
              <w:spacing w:line="240" w:lineRule="auto"/>
              <w:rPr>
                <w:rFonts w:hint="default" w:ascii="Times New Roman" w:hAnsi="Times New Roman" w:eastAsia="宋体" w:cs="Times New Roman"/>
                <w:snapToGrid w:val="0"/>
                <w:color w:val="auto"/>
                <w:kern w:val="21"/>
                <w:szCs w:val="21"/>
              </w:rPr>
            </w:pPr>
          </w:p>
        </w:tc>
        <w:tc>
          <w:tcPr>
            <w:tcW w:w="1417" w:type="dxa"/>
            <w:vAlign w:val="center"/>
          </w:tcPr>
          <w:p w14:paraId="630186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0.8</w:t>
            </w:r>
            <w:r>
              <w:rPr>
                <w:rFonts w:hint="default" w:ascii="Times New Roman" w:hAnsi="Times New Roman" w:eastAsia="宋体" w:cs="Times New Roman"/>
                <w:b w:val="0"/>
                <w:bCs w:val="0"/>
                <w:color w:val="auto"/>
                <w:highlight w:val="none"/>
                <w:vertAlign w:val="baseline"/>
                <w:lang w:val="en-US" w:eastAsia="zh-CN"/>
              </w:rPr>
              <w:t>t/a</w:t>
            </w:r>
          </w:p>
        </w:tc>
        <w:tc>
          <w:tcPr>
            <w:tcW w:w="1698" w:type="dxa"/>
            <w:vAlign w:val="center"/>
          </w:tcPr>
          <w:p w14:paraId="5BF8C637">
            <w:pPr>
              <w:pStyle w:val="34"/>
              <w:spacing w:line="240" w:lineRule="auto"/>
              <w:rPr>
                <w:rFonts w:hint="default" w:ascii="Times New Roman" w:hAnsi="Times New Roman" w:eastAsia="宋体" w:cs="Times New Roman"/>
                <w:snapToGrid w:val="0"/>
                <w:color w:val="auto"/>
                <w:kern w:val="21"/>
                <w:szCs w:val="21"/>
              </w:rPr>
            </w:pPr>
          </w:p>
        </w:tc>
        <w:tc>
          <w:tcPr>
            <w:tcW w:w="1808" w:type="dxa"/>
            <w:vAlign w:val="center"/>
          </w:tcPr>
          <w:p w14:paraId="6B863B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vertAlign w:val="baseline"/>
                <w:lang w:val="en-US" w:eastAsia="zh-CN"/>
              </w:rPr>
            </w:pPr>
            <w:r>
              <w:rPr>
                <w:rFonts w:hint="default" w:ascii="Times New Roman" w:hAnsi="Times New Roman" w:eastAsia="宋体" w:cs="Times New Roman"/>
                <w:b w:val="0"/>
                <w:bCs w:val="0"/>
                <w:color w:val="auto"/>
                <w:vertAlign w:val="baseline"/>
                <w:lang w:val="en-US" w:eastAsia="zh-CN"/>
              </w:rPr>
              <w:t>0.8</w:t>
            </w:r>
            <w:r>
              <w:rPr>
                <w:rFonts w:hint="default" w:ascii="Times New Roman" w:hAnsi="Times New Roman" w:eastAsia="宋体" w:cs="Times New Roman"/>
                <w:b w:val="0"/>
                <w:bCs w:val="0"/>
                <w:color w:val="auto"/>
                <w:highlight w:val="none"/>
                <w:vertAlign w:val="baseline"/>
                <w:lang w:val="en-US" w:eastAsia="zh-CN"/>
              </w:rPr>
              <w:t>t/a</w:t>
            </w:r>
          </w:p>
        </w:tc>
        <w:tc>
          <w:tcPr>
            <w:tcW w:w="1701" w:type="dxa"/>
            <w:vAlign w:val="center"/>
          </w:tcPr>
          <w:p w14:paraId="2DCC06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b w:val="0"/>
                <w:bCs w:val="0"/>
                <w:color w:val="auto"/>
                <w:vertAlign w:val="baseline"/>
                <w:lang w:val="en-US" w:eastAsia="zh-CN"/>
              </w:rPr>
              <w:t>0.8</w:t>
            </w:r>
            <w:r>
              <w:rPr>
                <w:rFonts w:hint="default" w:ascii="Times New Roman" w:hAnsi="Times New Roman" w:eastAsia="宋体" w:cs="Times New Roman"/>
                <w:b w:val="0"/>
                <w:bCs w:val="0"/>
                <w:color w:val="auto"/>
                <w:highlight w:val="none"/>
                <w:vertAlign w:val="baseline"/>
                <w:lang w:val="en-US" w:eastAsia="zh-CN"/>
              </w:rPr>
              <w:t>t/a</w:t>
            </w:r>
          </w:p>
        </w:tc>
      </w:tr>
    </w:tbl>
    <w:p w14:paraId="0F22FA9D">
      <w:pPr>
        <w:pStyle w:val="34"/>
        <w:spacing w:before="192" w:beforeLines="80" w:after="24"/>
        <w:jc w:val="left"/>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kern w:val="21"/>
          <w:szCs w:val="21"/>
        </w:rPr>
        <w:t>注：</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6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szCs w:val="21"/>
        </w:rPr>
        <w:t>⑥</w:t>
      </w:r>
      <w:r>
        <w:rPr>
          <w:rFonts w:hint="default" w:ascii="Times New Roman" w:hAnsi="Times New Roman" w:eastAsia="宋体" w:cs="Times New Roman"/>
          <w:snapToGrid w:val="0"/>
          <w:color w:val="auto"/>
          <w:spacing w:val="-16"/>
          <w:kern w:val="21"/>
          <w:szCs w:val="21"/>
        </w:rPr>
        <w:fldChar w:fldCharType="end"/>
      </w:r>
      <w:r>
        <w:rPr>
          <w:rFonts w:hint="default" w:ascii="Times New Roman" w:hAnsi="Times New Roman" w:eastAsia="宋体" w:cs="Times New Roman"/>
          <w:snapToGrid w:val="0"/>
          <w:color w:val="auto"/>
          <w:spacing w:val="-1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1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①</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3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③</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4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④</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5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szCs w:val="21"/>
        </w:rPr>
        <w:t>⑤</w:t>
      </w:r>
      <w:r>
        <w:rPr>
          <w:rFonts w:hint="default" w:ascii="Times New Roman" w:hAnsi="Times New Roman" w:eastAsia="宋体" w:cs="Times New Roman"/>
          <w:snapToGrid w:val="0"/>
          <w:color w:val="auto"/>
          <w:spacing w:val="-16"/>
          <w:kern w:val="21"/>
          <w:szCs w:val="21"/>
        </w:rPr>
        <w:fldChar w:fldCharType="end"/>
      </w:r>
      <w:r>
        <w:rPr>
          <w:rFonts w:hint="default" w:ascii="Times New Roman" w:hAnsi="Times New Roman" w:eastAsia="宋体" w:cs="Times New Roman"/>
          <w:snapToGrid w:val="0"/>
          <w:color w:val="auto"/>
          <w:spacing w:val="-1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7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⑦</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6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szCs w:val="21"/>
        </w:rPr>
        <w:t>⑥</w:t>
      </w:r>
      <w:r>
        <w:rPr>
          <w:rFonts w:hint="default" w:ascii="Times New Roman" w:hAnsi="Times New Roman" w:eastAsia="宋体" w:cs="Times New Roman"/>
          <w:snapToGrid w:val="0"/>
          <w:color w:val="auto"/>
          <w:spacing w:val="-16"/>
          <w:kern w:val="21"/>
          <w:szCs w:val="21"/>
        </w:rPr>
        <w:fldChar w:fldCharType="end"/>
      </w:r>
      <w:r>
        <w:rPr>
          <w:rFonts w:hint="default" w:ascii="Times New Roman" w:hAnsi="Times New Roman" w:eastAsia="宋体" w:cs="Times New Roman"/>
          <w:snapToGrid w:val="0"/>
          <w:color w:val="auto"/>
          <w:spacing w:val="-1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1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①</w:t>
      </w:r>
      <w:r>
        <w:rPr>
          <w:rFonts w:hint="default" w:ascii="Times New Roman" w:hAnsi="Times New Roman" w:eastAsia="宋体" w:cs="Times New Roman"/>
          <w:snapToGrid w:val="0"/>
          <w:color w:val="auto"/>
          <w:spacing w:val="-6"/>
          <w:kern w:val="21"/>
          <w:szCs w:val="21"/>
        </w:rPr>
        <w:fldChar w:fldCharType="end"/>
      </w:r>
    </w:p>
    <w:p w14:paraId="059403BD">
      <w:pPr>
        <w:rPr>
          <w:rFonts w:hint="default" w:ascii="Times New Roman" w:hAnsi="Times New Roman" w:eastAsia="宋体" w:cs="Times New Roman"/>
          <w:color w:val="auto"/>
        </w:rPr>
      </w:pPr>
    </w:p>
    <w:p w14:paraId="7C1A6E06">
      <w:pPr>
        <w:rPr>
          <w:rFonts w:hint="default" w:ascii="Times New Roman" w:hAnsi="Times New Roman" w:eastAsia="宋体" w:cs="Times New Roman"/>
          <w:color w:val="auto"/>
        </w:rPr>
        <w:sectPr>
          <w:footerReference r:id="rId9" w:type="default"/>
          <w:pgSz w:w="16838" w:h="11906" w:orient="landscape"/>
          <w:pgMar w:top="1701" w:right="1531" w:bottom="1701" w:left="1531" w:header="851" w:footer="851" w:gutter="0"/>
          <w:pgNumType w:fmt="decimal"/>
          <w:cols w:space="720" w:num="1"/>
          <w:docGrid w:linePitch="312" w:charSpace="0"/>
        </w:sectPr>
      </w:pPr>
    </w:p>
    <w:p w14:paraId="245D1186">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宋体" w:cs="Times New Roman"/>
          <w:b/>
          <w:bCs/>
          <w:color w:val="auto"/>
          <w:sz w:val="24"/>
          <w:szCs w:val="24"/>
          <w:lang w:val="en-US" w:eastAsia="zh-CN"/>
        </w:rPr>
      </w:pPr>
      <w:bookmarkStart w:id="11" w:name="_Toc14447"/>
      <w:r>
        <w:rPr>
          <w:rFonts w:hint="default" w:ascii="Times New Roman" w:hAnsi="Times New Roman" w:eastAsia="宋体" w:cs="Times New Roman"/>
          <w:b/>
          <w:bCs/>
          <w:color w:val="auto"/>
          <w:sz w:val="24"/>
          <w:szCs w:val="24"/>
          <w:lang w:val="en-US" w:eastAsia="zh-CN"/>
        </w:rPr>
        <w:t>附件1 专家意见</w:t>
      </w:r>
      <w:r>
        <w:rPr>
          <w:rFonts w:hint="eastAsia" w:ascii="Times New Roman" w:hAnsi="Times New Roman" w:eastAsia="宋体" w:cs="Times New Roman"/>
          <w:b/>
          <w:bCs/>
          <w:color w:val="auto"/>
          <w:sz w:val="24"/>
          <w:szCs w:val="24"/>
          <w:lang w:val="en-US" w:eastAsia="zh-CN"/>
        </w:rPr>
        <w:t>、</w:t>
      </w:r>
      <w:r>
        <w:rPr>
          <w:rFonts w:hint="default" w:ascii="Times New Roman" w:hAnsi="Times New Roman" w:eastAsia="宋体" w:cs="Times New Roman"/>
          <w:b/>
          <w:bCs/>
          <w:color w:val="auto"/>
          <w:sz w:val="24"/>
          <w:szCs w:val="24"/>
          <w:lang w:val="en-US" w:eastAsia="zh-CN"/>
        </w:rPr>
        <w:t>签到表</w:t>
      </w:r>
      <w:r>
        <w:rPr>
          <w:rFonts w:hint="eastAsia" w:ascii="Times New Roman" w:hAnsi="Times New Roman" w:eastAsia="宋体" w:cs="Times New Roman"/>
          <w:b/>
          <w:bCs/>
          <w:color w:val="auto"/>
          <w:sz w:val="24"/>
          <w:szCs w:val="24"/>
          <w:lang w:val="en-US" w:eastAsia="zh-CN"/>
        </w:rPr>
        <w:t>及修改说明</w:t>
      </w:r>
      <w:bookmarkEnd w:id="11"/>
    </w:p>
    <w:p w14:paraId="159249A6">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宋体" w:cs="Times New Roman"/>
          <w:b/>
          <w:bCs/>
          <w:color w:val="auto"/>
          <w:sz w:val="24"/>
          <w:szCs w:val="24"/>
          <w:lang w:val="en-US" w:eastAsia="zh-CN"/>
        </w:rPr>
      </w:pPr>
      <w:bookmarkStart w:id="12" w:name="_Toc25358"/>
      <w:r>
        <w:rPr>
          <w:rFonts w:hint="default" w:ascii="Times New Roman" w:hAnsi="Times New Roman" w:eastAsia="宋体" w:cs="Times New Roman"/>
          <w:color w:val="auto"/>
          <w:lang w:eastAsia="zh-CN"/>
        </w:rPr>
        <w:drawing>
          <wp:inline distT="0" distB="0" distL="0" distR="0">
            <wp:extent cx="5608320" cy="7776845"/>
            <wp:effectExtent l="0" t="0" r="11430" b="13970"/>
            <wp:docPr id="1118" name="图片 100" descr="d116585d86725c5a1418881652ce8a4"/>
            <wp:cNvGraphicFramePr/>
            <a:graphic xmlns:a="http://schemas.openxmlformats.org/drawingml/2006/main">
              <a:graphicData uri="http://schemas.openxmlformats.org/drawingml/2006/picture">
                <pic:pic xmlns:pic="http://schemas.openxmlformats.org/drawingml/2006/picture">
                  <pic:nvPicPr>
                    <pic:cNvPr id="1118" name="图片 100" descr="d116585d86725c5a1418881652ce8a4"/>
                    <pic:cNvPicPr/>
                  </pic:nvPicPr>
                  <pic:blipFill>
                    <a:blip r:embed="rId27" cstate="print"/>
                    <a:srcRect/>
                    <a:stretch>
                      <a:fillRect/>
                    </a:stretch>
                  </pic:blipFill>
                  <pic:spPr>
                    <a:xfrm>
                      <a:off x="0" y="0"/>
                      <a:ext cx="5608320" cy="7776845"/>
                    </a:xfrm>
                    <a:prstGeom prst="rect">
                      <a:avLst/>
                    </a:prstGeom>
                  </pic:spPr>
                </pic:pic>
              </a:graphicData>
            </a:graphic>
          </wp:inline>
        </w:drawing>
      </w:r>
      <w:r>
        <w:rPr>
          <w:rFonts w:hint="default" w:ascii="Times New Roman" w:hAnsi="Times New Roman" w:eastAsia="宋体" w:cs="Times New Roman"/>
          <w:color w:val="auto"/>
          <w:lang w:eastAsia="zh-CN"/>
        </w:rPr>
        <w:drawing>
          <wp:inline distT="0" distB="0" distL="0" distR="0">
            <wp:extent cx="5612765" cy="8144510"/>
            <wp:effectExtent l="0" t="0" r="6985" b="8890"/>
            <wp:docPr id="1119" name="图片 102" descr="1749773609358"/>
            <wp:cNvGraphicFramePr/>
            <a:graphic xmlns:a="http://schemas.openxmlformats.org/drawingml/2006/main">
              <a:graphicData uri="http://schemas.openxmlformats.org/drawingml/2006/picture">
                <pic:pic xmlns:pic="http://schemas.openxmlformats.org/drawingml/2006/picture">
                  <pic:nvPicPr>
                    <pic:cNvPr id="1119" name="图片 102" descr="1749773609358"/>
                    <pic:cNvPicPr/>
                  </pic:nvPicPr>
                  <pic:blipFill>
                    <a:blip r:embed="rId28" cstate="print"/>
                    <a:srcRect/>
                    <a:stretch>
                      <a:fillRect/>
                    </a:stretch>
                  </pic:blipFill>
                  <pic:spPr>
                    <a:xfrm>
                      <a:off x="0" y="0"/>
                      <a:ext cx="5612765" cy="8144510"/>
                    </a:xfrm>
                    <a:prstGeom prst="rect">
                      <a:avLst/>
                    </a:prstGeom>
                  </pic:spPr>
                </pic:pic>
              </a:graphicData>
            </a:graphic>
          </wp:inline>
        </w:drawing>
      </w:r>
      <w:r>
        <w:rPr>
          <w:rFonts w:hint="default" w:ascii="Times New Roman" w:hAnsi="Times New Roman" w:eastAsia="宋体" w:cs="Times New Roman"/>
          <w:color w:val="auto"/>
          <w:lang w:eastAsia="zh-CN"/>
        </w:rPr>
        <w:drawing>
          <wp:inline distT="0" distB="0" distL="0" distR="0">
            <wp:extent cx="5603875" cy="8101330"/>
            <wp:effectExtent l="0" t="0" r="15875" b="13970"/>
            <wp:docPr id="1120" name="图片 205" descr="1f931c83bcdb4b73e8178e0b3a0a290"/>
            <wp:cNvGraphicFramePr/>
            <a:graphic xmlns:a="http://schemas.openxmlformats.org/drawingml/2006/main">
              <a:graphicData uri="http://schemas.openxmlformats.org/drawingml/2006/picture">
                <pic:pic xmlns:pic="http://schemas.openxmlformats.org/drawingml/2006/picture">
                  <pic:nvPicPr>
                    <pic:cNvPr id="1120" name="图片 205" descr="1f931c83bcdb4b73e8178e0b3a0a290"/>
                    <pic:cNvPicPr/>
                  </pic:nvPicPr>
                  <pic:blipFill>
                    <a:blip r:embed="rId29" cstate="print"/>
                    <a:srcRect/>
                    <a:stretch>
                      <a:fillRect/>
                    </a:stretch>
                  </pic:blipFill>
                  <pic:spPr>
                    <a:xfrm>
                      <a:off x="0" y="0"/>
                      <a:ext cx="5603875" cy="8101330"/>
                    </a:xfrm>
                    <a:prstGeom prst="rect">
                      <a:avLst/>
                    </a:prstGeom>
                  </pic:spPr>
                </pic:pic>
              </a:graphicData>
            </a:graphic>
          </wp:inline>
        </w:drawing>
      </w:r>
      <w:r>
        <w:drawing>
          <wp:inline distT="0" distB="0" distL="0" distR="0">
            <wp:extent cx="5857240" cy="8401050"/>
            <wp:effectExtent l="0" t="0" r="10160" b="0"/>
            <wp:docPr id="1121" name="图片 4"/>
            <wp:cNvGraphicFramePr/>
            <a:graphic xmlns:a="http://schemas.openxmlformats.org/drawingml/2006/main">
              <a:graphicData uri="http://schemas.openxmlformats.org/drawingml/2006/picture">
                <pic:pic xmlns:pic="http://schemas.openxmlformats.org/drawingml/2006/picture">
                  <pic:nvPicPr>
                    <pic:cNvPr id="1121" name="图片 4"/>
                    <pic:cNvPicPr/>
                  </pic:nvPicPr>
                  <pic:blipFill>
                    <a:blip r:embed="rId30" cstate="print"/>
                    <a:srcRect/>
                    <a:stretch>
                      <a:fillRect/>
                    </a:stretch>
                  </pic:blipFill>
                  <pic:spPr>
                    <a:xfrm>
                      <a:off x="0" y="0"/>
                      <a:ext cx="5857240" cy="8401050"/>
                    </a:xfrm>
                    <a:prstGeom prst="rect">
                      <a:avLst/>
                    </a:prstGeom>
                    <a:ln>
                      <a:noFill/>
                    </a:ln>
                  </pic:spPr>
                </pic:pic>
              </a:graphicData>
            </a:graphic>
          </wp:inline>
        </w:drawing>
      </w:r>
      <w:r>
        <w:rPr>
          <w:rFonts w:hint="default" w:ascii="Times New Roman" w:hAnsi="Times New Roman" w:eastAsia="宋体" w:cs="Times New Roman"/>
          <w:b/>
          <w:bCs/>
          <w:color w:val="auto"/>
          <w:sz w:val="24"/>
          <w:szCs w:val="24"/>
          <w:lang w:val="en-US" w:eastAsia="zh-CN"/>
        </w:rPr>
        <w:br w:type="page"/>
      </w:r>
      <w:bookmarkEnd w:id="12"/>
    </w:p>
    <w:p w14:paraId="3DA7BD33">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宋体" w:cs="Times New Roman"/>
          <w:b/>
          <w:bCs/>
          <w:color w:val="auto"/>
          <w:sz w:val="24"/>
          <w:szCs w:val="24"/>
          <w:lang w:val="en-US" w:eastAsia="zh-CN"/>
        </w:rPr>
      </w:pPr>
      <w:bookmarkStart w:id="13" w:name="_Toc19804"/>
      <w:r>
        <w:rPr>
          <w:rFonts w:hint="default" w:ascii="Times New Roman" w:hAnsi="Times New Roman" w:eastAsia="宋体" w:cs="Times New Roman"/>
          <w:b/>
          <w:bCs/>
          <w:color w:val="auto"/>
          <w:sz w:val="24"/>
          <w:szCs w:val="24"/>
          <w:lang w:val="en-US" w:eastAsia="zh-CN"/>
        </w:rPr>
        <w:t>附件2 环评委托书</w:t>
      </w:r>
      <w:bookmarkEnd w:id="13"/>
    </w:p>
    <w:p w14:paraId="58219362">
      <w:pPr>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color w:val="auto"/>
        </w:rPr>
        <w:drawing>
          <wp:inline distT="0" distB="0" distL="0" distR="0">
            <wp:extent cx="5400040" cy="7283450"/>
            <wp:effectExtent l="0" t="0" r="10160" b="12065"/>
            <wp:docPr id="1122" name="图片 1"/>
            <wp:cNvGraphicFramePr/>
            <a:graphic xmlns:a="http://schemas.openxmlformats.org/drawingml/2006/main">
              <a:graphicData uri="http://schemas.openxmlformats.org/drawingml/2006/picture">
                <pic:pic xmlns:pic="http://schemas.openxmlformats.org/drawingml/2006/picture">
                  <pic:nvPicPr>
                    <pic:cNvPr id="1122" name="图片 1"/>
                    <pic:cNvPicPr/>
                  </pic:nvPicPr>
                  <pic:blipFill>
                    <a:blip r:embed="rId31" cstate="print"/>
                    <a:srcRect/>
                    <a:stretch>
                      <a:fillRect/>
                    </a:stretch>
                  </pic:blipFill>
                  <pic:spPr>
                    <a:xfrm>
                      <a:off x="0" y="0"/>
                      <a:ext cx="5400040" cy="7283450"/>
                    </a:xfrm>
                    <a:prstGeom prst="rect">
                      <a:avLst/>
                    </a:prstGeom>
                    <a:ln>
                      <a:noFill/>
                    </a:ln>
                  </pic:spPr>
                </pic:pic>
              </a:graphicData>
            </a:graphic>
          </wp:inline>
        </w:drawing>
      </w:r>
      <w:r>
        <w:rPr>
          <w:rFonts w:hint="default" w:ascii="Times New Roman" w:hAnsi="Times New Roman" w:eastAsia="宋体" w:cs="Times New Roman"/>
          <w:b/>
          <w:bCs/>
          <w:color w:val="auto"/>
          <w:sz w:val="24"/>
          <w:szCs w:val="24"/>
          <w:lang w:val="en-US" w:eastAsia="zh-CN"/>
        </w:rPr>
        <w:br w:type="page"/>
      </w:r>
    </w:p>
    <w:p w14:paraId="4DCAF7E0">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宋体" w:cs="Times New Roman"/>
          <w:b/>
          <w:bCs/>
          <w:color w:val="auto"/>
          <w:sz w:val="24"/>
          <w:szCs w:val="24"/>
          <w:lang w:val="en-US" w:eastAsia="zh-CN"/>
        </w:rPr>
      </w:pPr>
      <w:bookmarkStart w:id="14" w:name="_Toc2011"/>
      <w:r>
        <w:rPr>
          <w:rFonts w:hint="default" w:ascii="Times New Roman" w:hAnsi="Times New Roman" w:eastAsia="宋体" w:cs="Times New Roman"/>
          <w:b/>
          <w:bCs/>
          <w:color w:val="auto"/>
          <w:sz w:val="24"/>
          <w:szCs w:val="24"/>
          <w:lang w:val="en-US" w:eastAsia="zh-CN"/>
        </w:rPr>
        <w:t>附件3 建设单位营业执照</w:t>
      </w:r>
      <w:bookmarkEnd w:id="14"/>
    </w:p>
    <w:p w14:paraId="5115CC5C">
      <w:pP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drawing>
          <wp:inline distT="0" distB="0" distL="0" distR="0">
            <wp:extent cx="7854315" cy="5400040"/>
            <wp:effectExtent l="0" t="0" r="10160" b="13334"/>
            <wp:docPr id="1123" name="图片 53" descr="营业执照"/>
            <wp:cNvGraphicFramePr/>
            <a:graphic xmlns:a="http://schemas.openxmlformats.org/drawingml/2006/main">
              <a:graphicData uri="http://schemas.openxmlformats.org/drawingml/2006/picture">
                <pic:pic xmlns:pic="http://schemas.openxmlformats.org/drawingml/2006/picture">
                  <pic:nvPicPr>
                    <pic:cNvPr id="1123" name="图片 53" descr="营业执照"/>
                    <pic:cNvPicPr/>
                  </pic:nvPicPr>
                  <pic:blipFill>
                    <a:blip r:embed="rId32" cstate="print"/>
                    <a:srcRect/>
                    <a:stretch>
                      <a:fillRect/>
                    </a:stretch>
                  </pic:blipFill>
                  <pic:spPr>
                    <a:xfrm rot="16200000">
                      <a:off x="0" y="0"/>
                      <a:ext cx="7854315" cy="5400040"/>
                    </a:xfrm>
                    <a:prstGeom prst="rect">
                      <a:avLst/>
                    </a:prstGeom>
                  </pic:spPr>
                </pic:pic>
              </a:graphicData>
            </a:graphic>
          </wp:inline>
        </w:drawing>
      </w:r>
      <w:r>
        <w:rPr>
          <w:rFonts w:hint="default" w:ascii="Times New Roman" w:hAnsi="Times New Roman" w:eastAsia="宋体" w:cs="Times New Roman"/>
          <w:b/>
          <w:bCs/>
          <w:color w:val="auto"/>
          <w:sz w:val="24"/>
          <w:szCs w:val="24"/>
          <w:lang w:val="en-US" w:eastAsia="zh-CN"/>
        </w:rPr>
        <w:br w:type="page"/>
      </w:r>
    </w:p>
    <w:p w14:paraId="68F3F01B">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宋体" w:cs="Times New Roman"/>
          <w:b/>
          <w:bCs/>
          <w:color w:val="auto"/>
          <w:sz w:val="24"/>
          <w:szCs w:val="24"/>
          <w:lang w:val="en-US" w:eastAsia="zh-CN"/>
        </w:rPr>
      </w:pPr>
      <w:bookmarkStart w:id="15" w:name="_Toc1109"/>
      <w:r>
        <w:rPr>
          <w:rFonts w:hint="default" w:ascii="Times New Roman" w:hAnsi="Times New Roman" w:eastAsia="宋体" w:cs="Times New Roman"/>
          <w:b/>
          <w:bCs/>
          <w:color w:val="auto"/>
          <w:sz w:val="24"/>
          <w:szCs w:val="24"/>
          <w:lang w:val="en-US" w:eastAsia="zh-CN"/>
        </w:rPr>
        <w:t>附件4 备案文件</w:t>
      </w:r>
      <w:bookmarkEnd w:id="15"/>
    </w:p>
    <w:p w14:paraId="50581FAD">
      <w:pPr>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drawing>
          <wp:inline distT="0" distB="0" distL="0" distR="0">
            <wp:extent cx="5400040" cy="7594600"/>
            <wp:effectExtent l="0" t="0" r="10160" b="5715"/>
            <wp:docPr id="1124" name="图片 51" descr="备案文件1"/>
            <wp:cNvGraphicFramePr/>
            <a:graphic xmlns:a="http://schemas.openxmlformats.org/drawingml/2006/main">
              <a:graphicData uri="http://schemas.openxmlformats.org/drawingml/2006/picture">
                <pic:pic xmlns:pic="http://schemas.openxmlformats.org/drawingml/2006/picture">
                  <pic:nvPicPr>
                    <pic:cNvPr id="1124" name="图片 51" descr="备案文件1"/>
                    <pic:cNvPicPr/>
                  </pic:nvPicPr>
                  <pic:blipFill>
                    <a:blip r:embed="rId33" cstate="print"/>
                    <a:srcRect/>
                    <a:stretch>
                      <a:fillRect/>
                    </a:stretch>
                  </pic:blipFill>
                  <pic:spPr>
                    <a:xfrm>
                      <a:off x="0" y="0"/>
                      <a:ext cx="5400040" cy="7594600"/>
                    </a:xfrm>
                    <a:prstGeom prst="rect">
                      <a:avLst/>
                    </a:prstGeom>
                  </pic:spPr>
                </pic:pic>
              </a:graphicData>
            </a:graphic>
          </wp:inline>
        </w:drawing>
      </w:r>
      <w:r>
        <w:rPr>
          <w:rFonts w:hint="default" w:ascii="Times New Roman" w:hAnsi="Times New Roman" w:eastAsia="宋体" w:cs="Times New Roman"/>
          <w:b/>
          <w:bCs/>
          <w:color w:val="auto"/>
          <w:lang w:val="en-US" w:eastAsia="zh-CN"/>
        </w:rPr>
        <w:drawing>
          <wp:inline distT="0" distB="0" distL="0" distR="0">
            <wp:extent cx="5400040" cy="7603490"/>
            <wp:effectExtent l="0" t="0" r="10160" b="16510"/>
            <wp:docPr id="1125" name="图片 52" descr="备案文件-第二页"/>
            <wp:cNvGraphicFramePr/>
            <a:graphic xmlns:a="http://schemas.openxmlformats.org/drawingml/2006/main">
              <a:graphicData uri="http://schemas.openxmlformats.org/drawingml/2006/picture">
                <pic:pic xmlns:pic="http://schemas.openxmlformats.org/drawingml/2006/picture">
                  <pic:nvPicPr>
                    <pic:cNvPr id="1125" name="图片 52" descr="备案文件-第二页"/>
                    <pic:cNvPicPr/>
                  </pic:nvPicPr>
                  <pic:blipFill>
                    <a:blip r:embed="rId34" cstate="print"/>
                    <a:srcRect/>
                    <a:stretch>
                      <a:fillRect/>
                    </a:stretch>
                  </pic:blipFill>
                  <pic:spPr>
                    <a:xfrm>
                      <a:off x="0" y="0"/>
                      <a:ext cx="5400040" cy="7603490"/>
                    </a:xfrm>
                    <a:prstGeom prst="rect">
                      <a:avLst/>
                    </a:prstGeom>
                  </pic:spPr>
                </pic:pic>
              </a:graphicData>
            </a:graphic>
          </wp:inline>
        </w:drawing>
      </w:r>
      <w:r>
        <w:drawing>
          <wp:inline distT="0" distB="0" distL="0" distR="0">
            <wp:extent cx="5290185" cy="7781925"/>
            <wp:effectExtent l="0" t="0" r="0" b="0"/>
            <wp:docPr id="1126" name="Image1"/>
            <wp:cNvGraphicFramePr/>
            <a:graphic xmlns:a="http://schemas.openxmlformats.org/drawingml/2006/main">
              <a:graphicData uri="http://schemas.openxmlformats.org/drawingml/2006/picture">
                <pic:pic xmlns:pic="http://schemas.openxmlformats.org/drawingml/2006/picture">
                  <pic:nvPicPr>
                    <pic:cNvPr id="1126" name="Image1"/>
                    <pic:cNvPicPr/>
                  </pic:nvPicPr>
                  <pic:blipFill>
                    <a:blip r:embed="rId35" cstate="print"/>
                    <a:srcRect/>
                    <a:stretch>
                      <a:fillRect/>
                    </a:stretch>
                  </pic:blipFill>
                  <pic:spPr>
                    <a:xfrm>
                      <a:off x="0" y="0"/>
                      <a:ext cx="5290185" cy="7781925"/>
                    </a:xfrm>
                    <a:prstGeom prst="rect">
                      <a:avLst/>
                    </a:prstGeom>
                  </pic:spPr>
                </pic:pic>
              </a:graphicData>
            </a:graphic>
          </wp:inline>
        </w:drawing>
      </w:r>
      <w:r>
        <w:drawing>
          <wp:inline distT="0" distB="0" distL="0" distR="0">
            <wp:extent cx="5607050" cy="8581390"/>
            <wp:effectExtent l="0" t="0" r="0" b="0"/>
            <wp:docPr id="1127" name="Image1"/>
            <wp:cNvGraphicFramePr/>
            <a:graphic xmlns:a="http://schemas.openxmlformats.org/drawingml/2006/main">
              <a:graphicData uri="http://schemas.openxmlformats.org/drawingml/2006/picture">
                <pic:pic xmlns:pic="http://schemas.openxmlformats.org/drawingml/2006/picture">
                  <pic:nvPicPr>
                    <pic:cNvPr id="1127" name="Image1"/>
                    <pic:cNvPicPr/>
                  </pic:nvPicPr>
                  <pic:blipFill>
                    <a:blip r:embed="rId36" cstate="print"/>
                    <a:srcRect/>
                    <a:stretch>
                      <a:fillRect/>
                    </a:stretch>
                  </pic:blipFill>
                  <pic:spPr>
                    <a:xfrm>
                      <a:off x="0" y="0"/>
                      <a:ext cx="5607050" cy="8581390"/>
                    </a:xfrm>
                    <a:prstGeom prst="rect">
                      <a:avLst/>
                    </a:prstGeom>
                  </pic:spPr>
                </pic:pic>
              </a:graphicData>
            </a:graphic>
          </wp:inline>
        </w:drawing>
      </w:r>
      <w:r>
        <w:rPr>
          <w:rFonts w:hint="default" w:ascii="Times New Roman" w:hAnsi="Times New Roman" w:eastAsia="宋体" w:cs="Times New Roman"/>
          <w:b/>
          <w:bCs/>
          <w:color w:val="auto"/>
          <w:lang w:val="en-US" w:eastAsia="zh-CN"/>
        </w:rPr>
        <w:br w:type="page"/>
      </w:r>
    </w:p>
    <w:p w14:paraId="2B4EF0F4">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宋体" w:cs="Times New Roman"/>
          <w:b/>
          <w:bCs/>
          <w:color w:val="auto"/>
          <w:sz w:val="24"/>
          <w:szCs w:val="24"/>
          <w:lang w:val="en-US" w:eastAsia="zh-CN"/>
        </w:rPr>
      </w:pPr>
      <w:bookmarkStart w:id="16" w:name="_Toc626"/>
      <w:r>
        <w:rPr>
          <w:rFonts w:hint="default" w:ascii="Times New Roman" w:hAnsi="Times New Roman" w:eastAsia="宋体" w:cs="Times New Roman"/>
          <w:b/>
          <w:bCs/>
          <w:color w:val="auto"/>
          <w:sz w:val="24"/>
          <w:szCs w:val="24"/>
          <w:lang w:val="en-US" w:eastAsia="zh-CN"/>
        </w:rPr>
        <w:t>附件5 湖南省生态环境厅关于《衡阳高新技术产业开发区调区扩区规划环境影响报告书》审查意见的函</w:t>
      </w:r>
      <w:bookmarkEnd w:id="16"/>
    </w:p>
    <w:p w14:paraId="7306E7C2">
      <w:pPr>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color w:val="auto"/>
        </w:rPr>
        <w:drawing>
          <wp:inline distT="0" distB="0" distL="0" distR="0">
            <wp:extent cx="5400040" cy="7451090"/>
            <wp:effectExtent l="0" t="0" r="10160" b="16510"/>
            <wp:docPr id="1128" name="图片 3"/>
            <wp:cNvGraphicFramePr/>
            <a:graphic xmlns:a="http://schemas.openxmlformats.org/drawingml/2006/main">
              <a:graphicData uri="http://schemas.openxmlformats.org/drawingml/2006/picture">
                <pic:pic xmlns:pic="http://schemas.openxmlformats.org/drawingml/2006/picture">
                  <pic:nvPicPr>
                    <pic:cNvPr id="1128" name="图片 3"/>
                    <pic:cNvPicPr/>
                  </pic:nvPicPr>
                  <pic:blipFill>
                    <a:blip r:embed="rId37" cstate="print"/>
                    <a:srcRect/>
                    <a:stretch>
                      <a:fillRect/>
                    </a:stretch>
                  </pic:blipFill>
                  <pic:spPr>
                    <a:xfrm>
                      <a:off x="0" y="0"/>
                      <a:ext cx="5400040" cy="7451090"/>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400040" cy="7593330"/>
            <wp:effectExtent l="0" t="0" r="10160" b="7620"/>
            <wp:docPr id="1129" name="图片 4"/>
            <wp:cNvGraphicFramePr/>
            <a:graphic xmlns:a="http://schemas.openxmlformats.org/drawingml/2006/main">
              <a:graphicData uri="http://schemas.openxmlformats.org/drawingml/2006/picture">
                <pic:pic xmlns:pic="http://schemas.openxmlformats.org/drawingml/2006/picture">
                  <pic:nvPicPr>
                    <pic:cNvPr id="1129" name="图片 4"/>
                    <pic:cNvPicPr/>
                  </pic:nvPicPr>
                  <pic:blipFill>
                    <a:blip r:embed="rId38" cstate="print"/>
                    <a:srcRect/>
                    <a:stretch>
                      <a:fillRect/>
                    </a:stretch>
                  </pic:blipFill>
                  <pic:spPr>
                    <a:xfrm>
                      <a:off x="0" y="0"/>
                      <a:ext cx="5400040" cy="7593330"/>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400040" cy="7698105"/>
            <wp:effectExtent l="0" t="0" r="10160" b="17145"/>
            <wp:docPr id="1130" name="图片 5"/>
            <wp:cNvGraphicFramePr/>
            <a:graphic xmlns:a="http://schemas.openxmlformats.org/drawingml/2006/main">
              <a:graphicData uri="http://schemas.openxmlformats.org/drawingml/2006/picture">
                <pic:pic xmlns:pic="http://schemas.openxmlformats.org/drawingml/2006/picture">
                  <pic:nvPicPr>
                    <pic:cNvPr id="1130" name="图片 5"/>
                    <pic:cNvPicPr/>
                  </pic:nvPicPr>
                  <pic:blipFill>
                    <a:blip r:embed="rId39" cstate="print"/>
                    <a:srcRect/>
                    <a:stretch>
                      <a:fillRect/>
                    </a:stretch>
                  </pic:blipFill>
                  <pic:spPr>
                    <a:xfrm>
                      <a:off x="0" y="0"/>
                      <a:ext cx="5400040" cy="7698105"/>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400040" cy="7753350"/>
            <wp:effectExtent l="0" t="0" r="10160" b="0"/>
            <wp:docPr id="1131" name="图片 6"/>
            <wp:cNvGraphicFramePr/>
            <a:graphic xmlns:a="http://schemas.openxmlformats.org/drawingml/2006/main">
              <a:graphicData uri="http://schemas.openxmlformats.org/drawingml/2006/picture">
                <pic:pic xmlns:pic="http://schemas.openxmlformats.org/drawingml/2006/picture">
                  <pic:nvPicPr>
                    <pic:cNvPr id="1131" name="图片 6"/>
                    <pic:cNvPicPr/>
                  </pic:nvPicPr>
                  <pic:blipFill>
                    <a:blip r:embed="rId40" cstate="print"/>
                    <a:srcRect/>
                    <a:stretch>
                      <a:fillRect/>
                    </a:stretch>
                  </pic:blipFill>
                  <pic:spPr>
                    <a:xfrm>
                      <a:off x="0" y="0"/>
                      <a:ext cx="5400040" cy="7753350"/>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400040" cy="7496175"/>
            <wp:effectExtent l="0" t="0" r="10160" b="9525"/>
            <wp:docPr id="1132" name="图片 7"/>
            <wp:cNvGraphicFramePr/>
            <a:graphic xmlns:a="http://schemas.openxmlformats.org/drawingml/2006/main">
              <a:graphicData uri="http://schemas.openxmlformats.org/drawingml/2006/picture">
                <pic:pic xmlns:pic="http://schemas.openxmlformats.org/drawingml/2006/picture">
                  <pic:nvPicPr>
                    <pic:cNvPr id="1132" name="图片 7"/>
                    <pic:cNvPicPr/>
                  </pic:nvPicPr>
                  <pic:blipFill>
                    <a:blip r:embed="rId41" cstate="print"/>
                    <a:srcRect/>
                    <a:stretch>
                      <a:fillRect/>
                    </a:stretch>
                  </pic:blipFill>
                  <pic:spPr>
                    <a:xfrm>
                      <a:off x="0" y="0"/>
                      <a:ext cx="5400040" cy="7496175"/>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400040" cy="7091045"/>
            <wp:effectExtent l="0" t="0" r="10160" b="14605"/>
            <wp:docPr id="1133" name="图片 8"/>
            <wp:cNvGraphicFramePr/>
            <a:graphic xmlns:a="http://schemas.openxmlformats.org/drawingml/2006/main">
              <a:graphicData uri="http://schemas.openxmlformats.org/drawingml/2006/picture">
                <pic:pic xmlns:pic="http://schemas.openxmlformats.org/drawingml/2006/picture">
                  <pic:nvPicPr>
                    <pic:cNvPr id="1133" name="图片 8"/>
                    <pic:cNvPicPr/>
                  </pic:nvPicPr>
                  <pic:blipFill>
                    <a:blip r:embed="rId42" cstate="print"/>
                    <a:srcRect/>
                    <a:stretch>
                      <a:fillRect/>
                    </a:stretch>
                  </pic:blipFill>
                  <pic:spPr>
                    <a:xfrm>
                      <a:off x="0" y="0"/>
                      <a:ext cx="5400040" cy="7091045"/>
                    </a:xfrm>
                    <a:prstGeom prst="rect">
                      <a:avLst/>
                    </a:prstGeom>
                    <a:ln>
                      <a:noFill/>
                    </a:ln>
                  </pic:spPr>
                </pic:pic>
              </a:graphicData>
            </a:graphic>
          </wp:inline>
        </w:drawing>
      </w:r>
      <w:r>
        <w:rPr>
          <w:rFonts w:hint="default" w:ascii="Times New Roman" w:hAnsi="Times New Roman" w:eastAsia="宋体" w:cs="Times New Roman"/>
          <w:b/>
          <w:bCs/>
          <w:color w:val="auto"/>
          <w:sz w:val="24"/>
          <w:szCs w:val="24"/>
          <w:lang w:val="en-US" w:eastAsia="zh-CN"/>
        </w:rPr>
        <w:br w:type="page"/>
      </w:r>
    </w:p>
    <w:p w14:paraId="2F26D7CD">
      <w:pPr>
        <w:outlineLvl w:val="0"/>
        <w:rPr>
          <w:rFonts w:hint="default" w:ascii="Times New Roman" w:hAnsi="Times New Roman" w:eastAsia="宋体" w:cs="Times New Roman"/>
          <w:b/>
          <w:bCs/>
          <w:color w:val="auto"/>
          <w:sz w:val="24"/>
          <w:szCs w:val="24"/>
          <w:lang w:val="en-US" w:eastAsia="zh-CN"/>
        </w:rPr>
      </w:pPr>
      <w:bookmarkStart w:id="17" w:name="_Toc1837"/>
      <w:r>
        <w:rPr>
          <w:rFonts w:hint="default" w:ascii="Times New Roman" w:hAnsi="Times New Roman" w:eastAsia="宋体" w:cs="Times New Roman"/>
          <w:b/>
          <w:bCs/>
          <w:color w:val="auto"/>
          <w:sz w:val="24"/>
          <w:szCs w:val="24"/>
          <w:lang w:val="en-US" w:eastAsia="zh-CN"/>
        </w:rPr>
        <w:t>附件6 杭州铂科电子科技产业生产基地项目招商引资监管协议</w:t>
      </w:r>
      <w:bookmarkEnd w:id="17"/>
    </w:p>
    <w:p w14:paraId="5392823E">
      <w:pPr>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color w:val="auto"/>
        </w:rPr>
        <w:drawing>
          <wp:inline distT="0" distB="0" distL="0" distR="0">
            <wp:extent cx="5039995" cy="7077075"/>
            <wp:effectExtent l="0" t="0" r="8255" b="9525"/>
            <wp:docPr id="1134" name="图片 5"/>
            <wp:cNvGraphicFramePr/>
            <a:graphic xmlns:a="http://schemas.openxmlformats.org/drawingml/2006/main">
              <a:graphicData uri="http://schemas.openxmlformats.org/drawingml/2006/picture">
                <pic:pic xmlns:pic="http://schemas.openxmlformats.org/drawingml/2006/picture">
                  <pic:nvPicPr>
                    <pic:cNvPr id="1134" name="图片 5"/>
                    <pic:cNvPicPr/>
                  </pic:nvPicPr>
                  <pic:blipFill>
                    <a:blip r:embed="rId43" cstate="print"/>
                    <a:srcRect/>
                    <a:stretch>
                      <a:fillRect/>
                    </a:stretch>
                  </pic:blipFill>
                  <pic:spPr>
                    <a:xfrm>
                      <a:off x="0" y="0"/>
                      <a:ext cx="5039995" cy="7077075"/>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039995" cy="6838950"/>
            <wp:effectExtent l="0" t="0" r="8255" b="0"/>
            <wp:docPr id="1135" name="图片 6"/>
            <wp:cNvGraphicFramePr/>
            <a:graphic xmlns:a="http://schemas.openxmlformats.org/drawingml/2006/main">
              <a:graphicData uri="http://schemas.openxmlformats.org/drawingml/2006/picture">
                <pic:pic xmlns:pic="http://schemas.openxmlformats.org/drawingml/2006/picture">
                  <pic:nvPicPr>
                    <pic:cNvPr id="1135" name="图片 6"/>
                    <pic:cNvPicPr/>
                  </pic:nvPicPr>
                  <pic:blipFill>
                    <a:blip r:embed="rId44" cstate="print"/>
                    <a:srcRect/>
                    <a:stretch>
                      <a:fillRect/>
                    </a:stretch>
                  </pic:blipFill>
                  <pic:spPr>
                    <a:xfrm>
                      <a:off x="0" y="0"/>
                      <a:ext cx="5039995" cy="6838950"/>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039995" cy="6880225"/>
            <wp:effectExtent l="0" t="0" r="8255" b="15875"/>
            <wp:docPr id="1136" name="图片 7"/>
            <wp:cNvGraphicFramePr/>
            <a:graphic xmlns:a="http://schemas.openxmlformats.org/drawingml/2006/main">
              <a:graphicData uri="http://schemas.openxmlformats.org/drawingml/2006/picture">
                <pic:pic xmlns:pic="http://schemas.openxmlformats.org/drawingml/2006/picture">
                  <pic:nvPicPr>
                    <pic:cNvPr id="1136" name="图片 7"/>
                    <pic:cNvPicPr/>
                  </pic:nvPicPr>
                  <pic:blipFill>
                    <a:blip r:embed="rId45" cstate="print"/>
                    <a:srcRect/>
                    <a:stretch>
                      <a:fillRect/>
                    </a:stretch>
                  </pic:blipFill>
                  <pic:spPr>
                    <a:xfrm>
                      <a:off x="0" y="0"/>
                      <a:ext cx="5039995" cy="6880225"/>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039995" cy="6911975"/>
            <wp:effectExtent l="0" t="0" r="8255" b="2540"/>
            <wp:docPr id="1137" name="图片 8"/>
            <wp:cNvGraphicFramePr/>
            <a:graphic xmlns:a="http://schemas.openxmlformats.org/drawingml/2006/main">
              <a:graphicData uri="http://schemas.openxmlformats.org/drawingml/2006/picture">
                <pic:pic xmlns:pic="http://schemas.openxmlformats.org/drawingml/2006/picture">
                  <pic:nvPicPr>
                    <pic:cNvPr id="1137" name="图片 8"/>
                    <pic:cNvPicPr/>
                  </pic:nvPicPr>
                  <pic:blipFill>
                    <a:blip r:embed="rId46" cstate="print"/>
                    <a:srcRect/>
                    <a:stretch>
                      <a:fillRect/>
                    </a:stretch>
                  </pic:blipFill>
                  <pic:spPr>
                    <a:xfrm>
                      <a:off x="0" y="0"/>
                      <a:ext cx="5039995" cy="6911975"/>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039995" cy="6872605"/>
            <wp:effectExtent l="0" t="0" r="8255" b="4445"/>
            <wp:docPr id="1138" name="图片 9"/>
            <wp:cNvGraphicFramePr/>
            <a:graphic xmlns:a="http://schemas.openxmlformats.org/drawingml/2006/main">
              <a:graphicData uri="http://schemas.openxmlformats.org/drawingml/2006/picture">
                <pic:pic xmlns:pic="http://schemas.openxmlformats.org/drawingml/2006/picture">
                  <pic:nvPicPr>
                    <pic:cNvPr id="1138" name="图片 9"/>
                    <pic:cNvPicPr/>
                  </pic:nvPicPr>
                  <pic:blipFill>
                    <a:blip r:embed="rId47" cstate="print"/>
                    <a:srcRect/>
                    <a:stretch>
                      <a:fillRect/>
                    </a:stretch>
                  </pic:blipFill>
                  <pic:spPr>
                    <a:xfrm>
                      <a:off x="0" y="0"/>
                      <a:ext cx="5039995" cy="6872605"/>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039995" cy="7128510"/>
            <wp:effectExtent l="0" t="0" r="8255" b="15240"/>
            <wp:docPr id="1139" name="图片 10"/>
            <wp:cNvGraphicFramePr/>
            <a:graphic xmlns:a="http://schemas.openxmlformats.org/drawingml/2006/main">
              <a:graphicData uri="http://schemas.openxmlformats.org/drawingml/2006/picture">
                <pic:pic xmlns:pic="http://schemas.openxmlformats.org/drawingml/2006/picture">
                  <pic:nvPicPr>
                    <pic:cNvPr id="1139" name="图片 10"/>
                    <pic:cNvPicPr/>
                  </pic:nvPicPr>
                  <pic:blipFill>
                    <a:blip r:embed="rId48" cstate="print"/>
                    <a:srcRect/>
                    <a:stretch>
                      <a:fillRect/>
                    </a:stretch>
                  </pic:blipFill>
                  <pic:spPr>
                    <a:xfrm>
                      <a:off x="0" y="0"/>
                      <a:ext cx="5039995" cy="7128510"/>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039995" cy="6844030"/>
            <wp:effectExtent l="0" t="0" r="8255" b="13970"/>
            <wp:docPr id="1140" name="图片 11"/>
            <wp:cNvGraphicFramePr/>
            <a:graphic xmlns:a="http://schemas.openxmlformats.org/drawingml/2006/main">
              <a:graphicData uri="http://schemas.openxmlformats.org/drawingml/2006/picture">
                <pic:pic xmlns:pic="http://schemas.openxmlformats.org/drawingml/2006/picture">
                  <pic:nvPicPr>
                    <pic:cNvPr id="1140" name="图片 11"/>
                    <pic:cNvPicPr/>
                  </pic:nvPicPr>
                  <pic:blipFill>
                    <a:blip r:embed="rId49" cstate="print"/>
                    <a:srcRect/>
                    <a:stretch>
                      <a:fillRect/>
                    </a:stretch>
                  </pic:blipFill>
                  <pic:spPr>
                    <a:xfrm>
                      <a:off x="0" y="0"/>
                      <a:ext cx="5039995" cy="6844030"/>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039995" cy="6857365"/>
            <wp:effectExtent l="0" t="0" r="8255" b="635"/>
            <wp:docPr id="1141" name="图片 12"/>
            <wp:cNvGraphicFramePr/>
            <a:graphic xmlns:a="http://schemas.openxmlformats.org/drawingml/2006/main">
              <a:graphicData uri="http://schemas.openxmlformats.org/drawingml/2006/picture">
                <pic:pic xmlns:pic="http://schemas.openxmlformats.org/drawingml/2006/picture">
                  <pic:nvPicPr>
                    <pic:cNvPr id="1141" name="图片 12"/>
                    <pic:cNvPicPr/>
                  </pic:nvPicPr>
                  <pic:blipFill>
                    <a:blip r:embed="rId50" cstate="print"/>
                    <a:srcRect/>
                    <a:stretch>
                      <a:fillRect/>
                    </a:stretch>
                  </pic:blipFill>
                  <pic:spPr>
                    <a:xfrm>
                      <a:off x="0" y="0"/>
                      <a:ext cx="5039995" cy="6857365"/>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039995" cy="7030720"/>
            <wp:effectExtent l="0" t="0" r="8255" b="17780"/>
            <wp:docPr id="1142" name="图片 13"/>
            <wp:cNvGraphicFramePr/>
            <a:graphic xmlns:a="http://schemas.openxmlformats.org/drawingml/2006/main">
              <a:graphicData uri="http://schemas.openxmlformats.org/drawingml/2006/picture">
                <pic:pic xmlns:pic="http://schemas.openxmlformats.org/drawingml/2006/picture">
                  <pic:nvPicPr>
                    <pic:cNvPr id="1142" name="图片 13"/>
                    <pic:cNvPicPr/>
                  </pic:nvPicPr>
                  <pic:blipFill>
                    <a:blip r:embed="rId51" cstate="print"/>
                    <a:srcRect/>
                    <a:stretch>
                      <a:fillRect/>
                    </a:stretch>
                  </pic:blipFill>
                  <pic:spPr>
                    <a:xfrm>
                      <a:off x="0" y="0"/>
                      <a:ext cx="5039995" cy="7030720"/>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039995" cy="6899910"/>
            <wp:effectExtent l="0" t="0" r="8255" b="15240"/>
            <wp:docPr id="1143" name="图片 14"/>
            <wp:cNvGraphicFramePr/>
            <a:graphic xmlns:a="http://schemas.openxmlformats.org/drawingml/2006/main">
              <a:graphicData uri="http://schemas.openxmlformats.org/drawingml/2006/picture">
                <pic:pic xmlns:pic="http://schemas.openxmlformats.org/drawingml/2006/picture">
                  <pic:nvPicPr>
                    <pic:cNvPr id="1143" name="图片 14"/>
                    <pic:cNvPicPr/>
                  </pic:nvPicPr>
                  <pic:blipFill>
                    <a:blip r:embed="rId52" cstate="print"/>
                    <a:srcRect/>
                    <a:stretch>
                      <a:fillRect/>
                    </a:stretch>
                  </pic:blipFill>
                  <pic:spPr>
                    <a:xfrm>
                      <a:off x="0" y="0"/>
                      <a:ext cx="5039995" cy="6899910"/>
                    </a:xfrm>
                    <a:prstGeom prst="rect">
                      <a:avLst/>
                    </a:prstGeom>
                    <a:ln>
                      <a:noFill/>
                    </a:ln>
                  </pic:spPr>
                </pic:pic>
              </a:graphicData>
            </a:graphic>
          </wp:inline>
        </w:drawing>
      </w:r>
      <w:r>
        <w:rPr>
          <w:rFonts w:hint="default" w:ascii="Times New Roman" w:hAnsi="Times New Roman" w:eastAsia="宋体" w:cs="Times New Roman"/>
          <w:b/>
          <w:bCs/>
          <w:color w:val="auto"/>
          <w:lang w:val="en-US" w:eastAsia="zh-CN"/>
        </w:rPr>
        <w:br w:type="page"/>
      </w:r>
    </w:p>
    <w:p w14:paraId="353FB0AF">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宋体" w:cs="Times New Roman"/>
          <w:b/>
          <w:bCs/>
          <w:color w:val="auto"/>
          <w:sz w:val="24"/>
          <w:szCs w:val="24"/>
          <w:lang w:val="en-US" w:eastAsia="zh-CN"/>
        </w:rPr>
      </w:pPr>
      <w:bookmarkStart w:id="18" w:name="_Toc11963"/>
      <w:r>
        <w:rPr>
          <w:rFonts w:hint="default" w:ascii="Times New Roman" w:hAnsi="Times New Roman" w:eastAsia="宋体" w:cs="Times New Roman"/>
          <w:b/>
          <w:bCs/>
          <w:color w:val="auto"/>
          <w:sz w:val="24"/>
          <w:szCs w:val="24"/>
          <w:lang w:val="en-US" w:eastAsia="zh-CN"/>
        </w:rPr>
        <w:t>附件7 化学品物质安全性数据表</w:t>
      </w:r>
      <w:bookmarkEnd w:id="18"/>
    </w:p>
    <w:p w14:paraId="1DC7136A">
      <w:pPr>
        <w:tabs>
          <w:tab w:val="left" w:pos="0"/>
        </w:tabs>
        <w:outlineLvl w:val="9"/>
        <w:rPr>
          <w:rFonts w:hint="default" w:ascii="Times New Roman" w:hAnsi="Times New Roman" w:eastAsia="宋体" w:cs="Times New Roman"/>
          <w:b/>
          <w:bCs/>
          <w:color w:val="auto"/>
          <w:sz w:val="24"/>
          <w:szCs w:val="32"/>
          <w:lang w:val="en-US" w:eastAsia="zh-CN"/>
        </w:rPr>
      </w:pPr>
      <w:r>
        <w:rPr>
          <w:rFonts w:hint="default" w:ascii="Times New Roman" w:hAnsi="Times New Roman" w:eastAsia="宋体" w:cs="Times New Roman"/>
          <w:b/>
          <w:bCs/>
          <w:color w:val="auto"/>
          <w:sz w:val="24"/>
          <w:szCs w:val="36"/>
          <w:lang w:val="en-US" w:eastAsia="zh-CN"/>
        </w:rPr>
        <w:t>自流灌封胶（</w:t>
      </w:r>
      <w:r>
        <w:rPr>
          <w:rFonts w:hint="default" w:ascii="Times New Roman" w:hAnsi="Times New Roman" w:eastAsia="宋体" w:cs="Times New Roman"/>
          <w:b/>
          <w:bCs/>
          <w:color w:val="auto"/>
          <w:sz w:val="24"/>
          <w:szCs w:val="32"/>
          <w:lang w:val="en-US" w:eastAsia="zh-CN"/>
        </w:rPr>
        <w:t>硅酮胶</w:t>
      </w:r>
      <w:r>
        <w:rPr>
          <w:rFonts w:hint="default" w:ascii="Times New Roman" w:hAnsi="Times New Roman" w:eastAsia="宋体" w:cs="Times New Roman"/>
          <w:b/>
          <w:bCs/>
          <w:color w:val="auto"/>
          <w:sz w:val="24"/>
          <w:szCs w:val="36"/>
          <w:lang w:val="en-US" w:eastAsia="zh-CN"/>
        </w:rPr>
        <w:t>）</w:t>
      </w:r>
    </w:p>
    <w:p w14:paraId="0392F52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0" distR="0">
            <wp:extent cx="5039995" cy="6985635"/>
            <wp:effectExtent l="0" t="0" r="8255" b="5080"/>
            <wp:docPr id="1144" name="图片 15"/>
            <wp:cNvGraphicFramePr/>
            <a:graphic xmlns:a="http://schemas.openxmlformats.org/drawingml/2006/main">
              <a:graphicData uri="http://schemas.openxmlformats.org/drawingml/2006/picture">
                <pic:pic xmlns:pic="http://schemas.openxmlformats.org/drawingml/2006/picture">
                  <pic:nvPicPr>
                    <pic:cNvPr id="1144" name="图片 15"/>
                    <pic:cNvPicPr/>
                  </pic:nvPicPr>
                  <pic:blipFill>
                    <a:blip r:embed="rId53" cstate="print"/>
                    <a:srcRect l="6247"/>
                    <a:stretch>
                      <a:fillRect/>
                    </a:stretch>
                  </pic:blipFill>
                  <pic:spPr>
                    <a:xfrm>
                      <a:off x="0" y="0"/>
                      <a:ext cx="5039995" cy="6985635"/>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039995" cy="7418070"/>
            <wp:effectExtent l="0" t="0" r="8255" b="11430"/>
            <wp:docPr id="1145" name="图片 16"/>
            <wp:cNvGraphicFramePr/>
            <a:graphic xmlns:a="http://schemas.openxmlformats.org/drawingml/2006/main">
              <a:graphicData uri="http://schemas.openxmlformats.org/drawingml/2006/picture">
                <pic:pic xmlns:pic="http://schemas.openxmlformats.org/drawingml/2006/picture">
                  <pic:nvPicPr>
                    <pic:cNvPr id="1145" name="图片 16"/>
                    <pic:cNvPicPr/>
                  </pic:nvPicPr>
                  <pic:blipFill>
                    <a:blip r:embed="rId54" cstate="print"/>
                    <a:srcRect l="10363"/>
                    <a:stretch>
                      <a:fillRect/>
                    </a:stretch>
                  </pic:blipFill>
                  <pic:spPr>
                    <a:xfrm>
                      <a:off x="0" y="0"/>
                      <a:ext cx="5039995" cy="7418070"/>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039995" cy="7254875"/>
            <wp:effectExtent l="0" t="0" r="8255" b="1905"/>
            <wp:docPr id="1146" name="图片 17"/>
            <wp:cNvGraphicFramePr/>
            <a:graphic xmlns:a="http://schemas.openxmlformats.org/drawingml/2006/main">
              <a:graphicData uri="http://schemas.openxmlformats.org/drawingml/2006/picture">
                <pic:pic xmlns:pic="http://schemas.openxmlformats.org/drawingml/2006/picture">
                  <pic:nvPicPr>
                    <pic:cNvPr id="1146" name="图片 17"/>
                    <pic:cNvPicPr/>
                  </pic:nvPicPr>
                  <pic:blipFill>
                    <a:blip r:embed="rId55" cstate="print"/>
                    <a:srcRect/>
                    <a:stretch>
                      <a:fillRect/>
                    </a:stretch>
                  </pic:blipFill>
                  <pic:spPr>
                    <a:xfrm>
                      <a:off x="0" y="0"/>
                      <a:ext cx="5039995" cy="7255509"/>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039995" cy="7190740"/>
            <wp:effectExtent l="0" t="0" r="8255" b="10160"/>
            <wp:docPr id="1147" name="图片 18"/>
            <wp:cNvGraphicFramePr/>
            <a:graphic xmlns:a="http://schemas.openxmlformats.org/drawingml/2006/main">
              <a:graphicData uri="http://schemas.openxmlformats.org/drawingml/2006/picture">
                <pic:pic xmlns:pic="http://schemas.openxmlformats.org/drawingml/2006/picture">
                  <pic:nvPicPr>
                    <pic:cNvPr id="1147" name="图片 18"/>
                    <pic:cNvPicPr/>
                  </pic:nvPicPr>
                  <pic:blipFill>
                    <a:blip r:embed="rId56" cstate="print"/>
                    <a:srcRect l="6367"/>
                    <a:stretch>
                      <a:fillRect/>
                    </a:stretch>
                  </pic:blipFill>
                  <pic:spPr>
                    <a:xfrm>
                      <a:off x="0" y="0"/>
                      <a:ext cx="5039995" cy="7190740"/>
                    </a:xfrm>
                    <a:prstGeom prst="rect">
                      <a:avLst/>
                    </a:prstGeom>
                    <a:ln>
                      <a:noFill/>
                    </a:ln>
                  </pic:spPr>
                </pic:pic>
              </a:graphicData>
            </a:graphic>
          </wp:inline>
        </w:drawing>
      </w:r>
    </w:p>
    <w:p w14:paraId="3A1D0361">
      <w:pPr>
        <w:rPr>
          <w:rFonts w:hint="default" w:ascii="Times New Roman" w:hAnsi="Times New Roman" w:eastAsia="宋体" w:cs="Times New Roman"/>
          <w:color w:val="auto"/>
        </w:rPr>
      </w:pPr>
      <w:r>
        <w:rPr>
          <w:rFonts w:hint="default" w:ascii="Times New Roman" w:hAnsi="Times New Roman" w:eastAsia="宋体" w:cs="Times New Roman"/>
          <w:color w:val="auto"/>
        </w:rPr>
        <w:br w:type="page"/>
      </w:r>
    </w:p>
    <w:p w14:paraId="741FAB3B">
      <w:pPr>
        <w:tabs>
          <w:tab w:val="left" w:pos="0"/>
        </w:tabs>
        <w:outlineLvl w:val="9"/>
        <w:rPr>
          <w:rFonts w:hint="default" w:ascii="Times New Roman" w:hAnsi="Times New Roman" w:eastAsia="宋体" w:cs="Times New Roman"/>
          <w:b/>
          <w:bCs/>
          <w:color w:val="auto"/>
          <w:sz w:val="24"/>
          <w:szCs w:val="36"/>
          <w:lang w:val="en-US" w:eastAsia="zh-CN"/>
        </w:rPr>
      </w:pPr>
      <w:r>
        <w:rPr>
          <w:rFonts w:hint="default" w:ascii="Times New Roman" w:hAnsi="Times New Roman" w:eastAsia="宋体" w:cs="Times New Roman"/>
          <w:b/>
          <w:bCs/>
          <w:color w:val="auto"/>
          <w:sz w:val="24"/>
          <w:szCs w:val="36"/>
          <w:lang w:val="en-US" w:eastAsia="zh-CN"/>
        </w:rPr>
        <w:t>水基清洗剂</w:t>
      </w:r>
    </w:p>
    <w:p w14:paraId="5F435922">
      <w:pPr>
        <w:tabs>
          <w:tab w:val="left" w:pos="0"/>
        </w:tabs>
        <w:spacing w:line="240" w:lineRule="auto"/>
        <w:jc w:val="center"/>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0" distR="0">
            <wp:extent cx="5400040" cy="7529830"/>
            <wp:effectExtent l="0" t="0" r="10160" b="13970"/>
            <wp:docPr id="1148" name="图片 2"/>
            <wp:cNvGraphicFramePr/>
            <a:graphic xmlns:a="http://schemas.openxmlformats.org/drawingml/2006/main">
              <a:graphicData uri="http://schemas.openxmlformats.org/drawingml/2006/picture">
                <pic:pic xmlns:pic="http://schemas.openxmlformats.org/drawingml/2006/picture">
                  <pic:nvPicPr>
                    <pic:cNvPr id="1148" name="图片 2"/>
                    <pic:cNvPicPr/>
                  </pic:nvPicPr>
                  <pic:blipFill>
                    <a:blip r:embed="rId57" cstate="print"/>
                    <a:srcRect/>
                    <a:stretch>
                      <a:fillRect/>
                    </a:stretch>
                  </pic:blipFill>
                  <pic:spPr>
                    <a:xfrm>
                      <a:off x="0" y="0"/>
                      <a:ext cx="5400040" cy="7529830"/>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400040" cy="7689215"/>
            <wp:effectExtent l="0" t="0" r="10160" b="6985"/>
            <wp:docPr id="1149" name="图片 3"/>
            <wp:cNvGraphicFramePr/>
            <a:graphic xmlns:a="http://schemas.openxmlformats.org/drawingml/2006/main">
              <a:graphicData uri="http://schemas.openxmlformats.org/drawingml/2006/picture">
                <pic:pic xmlns:pic="http://schemas.openxmlformats.org/drawingml/2006/picture">
                  <pic:nvPicPr>
                    <pic:cNvPr id="1149" name="图片 3"/>
                    <pic:cNvPicPr/>
                  </pic:nvPicPr>
                  <pic:blipFill>
                    <a:blip r:embed="rId58" cstate="print"/>
                    <a:srcRect/>
                    <a:stretch>
                      <a:fillRect/>
                    </a:stretch>
                  </pic:blipFill>
                  <pic:spPr>
                    <a:xfrm>
                      <a:off x="0" y="0"/>
                      <a:ext cx="5400040" cy="7689215"/>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400040" cy="7279640"/>
            <wp:effectExtent l="0" t="0" r="10160" b="16510"/>
            <wp:docPr id="1150" name="图片 4"/>
            <wp:cNvGraphicFramePr/>
            <a:graphic xmlns:a="http://schemas.openxmlformats.org/drawingml/2006/main">
              <a:graphicData uri="http://schemas.openxmlformats.org/drawingml/2006/picture">
                <pic:pic xmlns:pic="http://schemas.openxmlformats.org/drawingml/2006/picture">
                  <pic:nvPicPr>
                    <pic:cNvPr id="1150" name="图片 4"/>
                    <pic:cNvPicPr/>
                  </pic:nvPicPr>
                  <pic:blipFill>
                    <a:blip r:embed="rId59" cstate="print"/>
                    <a:srcRect b="3295"/>
                    <a:stretch>
                      <a:fillRect/>
                    </a:stretch>
                  </pic:blipFill>
                  <pic:spPr>
                    <a:xfrm>
                      <a:off x="0" y="0"/>
                      <a:ext cx="5400040" cy="7279640"/>
                    </a:xfrm>
                    <a:prstGeom prst="rect">
                      <a:avLst/>
                    </a:prstGeom>
                    <a:ln>
                      <a:noFill/>
                    </a:ln>
                  </pic:spPr>
                </pic:pic>
              </a:graphicData>
            </a:graphic>
          </wp:inline>
        </w:drawing>
      </w:r>
    </w:p>
    <w:p w14:paraId="4B06CB1A">
      <w:pPr>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br w:type="page"/>
      </w:r>
    </w:p>
    <w:p w14:paraId="74DCE399">
      <w:pPr>
        <w:tabs>
          <w:tab w:val="left" w:pos="0"/>
        </w:tabs>
        <w:outlineLvl w:val="9"/>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三防UV胶</w:t>
      </w:r>
    </w:p>
    <w:p w14:paraId="5290BECC">
      <w:pPr>
        <w:jc w:val="center"/>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rPr>
        <w:drawing>
          <wp:inline distT="0" distB="0" distL="0" distR="0">
            <wp:extent cx="5400040" cy="7210425"/>
            <wp:effectExtent l="0" t="0" r="10160" b="9525"/>
            <wp:docPr id="1151" name="图片 14"/>
            <wp:cNvGraphicFramePr/>
            <a:graphic xmlns:a="http://schemas.openxmlformats.org/drawingml/2006/main">
              <a:graphicData uri="http://schemas.openxmlformats.org/drawingml/2006/picture">
                <pic:pic xmlns:pic="http://schemas.openxmlformats.org/drawingml/2006/picture">
                  <pic:nvPicPr>
                    <pic:cNvPr id="1151" name="图片 14"/>
                    <pic:cNvPicPr/>
                  </pic:nvPicPr>
                  <pic:blipFill>
                    <a:blip r:embed="rId60" cstate="print"/>
                    <a:srcRect/>
                    <a:stretch>
                      <a:fillRect/>
                    </a:stretch>
                  </pic:blipFill>
                  <pic:spPr>
                    <a:xfrm>
                      <a:off x="0" y="0"/>
                      <a:ext cx="5400040" cy="7210425"/>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400040" cy="7136765"/>
            <wp:effectExtent l="0" t="0" r="10160" b="6985"/>
            <wp:docPr id="1152" name="图片 15"/>
            <wp:cNvGraphicFramePr/>
            <a:graphic xmlns:a="http://schemas.openxmlformats.org/drawingml/2006/main">
              <a:graphicData uri="http://schemas.openxmlformats.org/drawingml/2006/picture">
                <pic:pic xmlns:pic="http://schemas.openxmlformats.org/drawingml/2006/picture">
                  <pic:nvPicPr>
                    <pic:cNvPr id="1152" name="图片 15"/>
                    <pic:cNvPicPr/>
                  </pic:nvPicPr>
                  <pic:blipFill>
                    <a:blip r:embed="rId61" cstate="print"/>
                    <a:srcRect/>
                    <a:stretch>
                      <a:fillRect/>
                    </a:stretch>
                  </pic:blipFill>
                  <pic:spPr>
                    <a:xfrm>
                      <a:off x="0" y="0"/>
                      <a:ext cx="5400040" cy="7136765"/>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400040" cy="7107555"/>
            <wp:effectExtent l="0" t="0" r="10160" b="17145"/>
            <wp:docPr id="1153" name="图片 16"/>
            <wp:cNvGraphicFramePr/>
            <a:graphic xmlns:a="http://schemas.openxmlformats.org/drawingml/2006/main">
              <a:graphicData uri="http://schemas.openxmlformats.org/drawingml/2006/picture">
                <pic:pic xmlns:pic="http://schemas.openxmlformats.org/drawingml/2006/picture">
                  <pic:nvPicPr>
                    <pic:cNvPr id="1153" name="图片 16"/>
                    <pic:cNvPicPr/>
                  </pic:nvPicPr>
                  <pic:blipFill>
                    <a:blip r:embed="rId62" cstate="print"/>
                    <a:srcRect/>
                    <a:stretch>
                      <a:fillRect/>
                    </a:stretch>
                  </pic:blipFill>
                  <pic:spPr>
                    <a:xfrm>
                      <a:off x="0" y="0"/>
                      <a:ext cx="5400040" cy="7107555"/>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400040" cy="7193280"/>
            <wp:effectExtent l="0" t="0" r="10160" b="7620"/>
            <wp:docPr id="1154" name="图片 17"/>
            <wp:cNvGraphicFramePr/>
            <a:graphic xmlns:a="http://schemas.openxmlformats.org/drawingml/2006/main">
              <a:graphicData uri="http://schemas.openxmlformats.org/drawingml/2006/picture">
                <pic:pic xmlns:pic="http://schemas.openxmlformats.org/drawingml/2006/picture">
                  <pic:nvPicPr>
                    <pic:cNvPr id="1154" name="图片 17"/>
                    <pic:cNvPicPr/>
                  </pic:nvPicPr>
                  <pic:blipFill>
                    <a:blip r:embed="rId63" cstate="print"/>
                    <a:srcRect/>
                    <a:stretch>
                      <a:fillRect/>
                    </a:stretch>
                  </pic:blipFill>
                  <pic:spPr>
                    <a:xfrm>
                      <a:off x="0" y="0"/>
                      <a:ext cx="5400040" cy="7193280"/>
                    </a:xfrm>
                    <a:prstGeom prst="rect">
                      <a:avLst/>
                    </a:prstGeom>
                    <a:ln>
                      <a:noFill/>
                    </a:ln>
                  </pic:spPr>
                </pic:pic>
              </a:graphicData>
            </a:graphic>
          </wp:inline>
        </w:drawing>
      </w:r>
      <w:r>
        <w:rPr>
          <w:rFonts w:hint="default" w:ascii="Times New Roman" w:hAnsi="Times New Roman" w:eastAsia="宋体" w:cs="Times New Roman"/>
          <w:color w:val="auto"/>
          <w:sz w:val="24"/>
          <w:szCs w:val="36"/>
          <w:lang w:val="en-US" w:eastAsia="zh-CN"/>
        </w:rPr>
        <w:br w:type="page"/>
      </w:r>
    </w:p>
    <w:p w14:paraId="448968C2">
      <w:pPr>
        <w:tabs>
          <w:tab w:val="left" w:pos="0"/>
        </w:tabs>
        <w:outlineLvl w:val="9"/>
        <w:rPr>
          <w:rFonts w:hint="default" w:ascii="Times New Roman" w:hAnsi="Times New Roman" w:eastAsia="宋体" w:cs="Times New Roman"/>
          <w:b/>
          <w:bCs/>
          <w:color w:val="auto"/>
          <w:sz w:val="24"/>
          <w:szCs w:val="36"/>
          <w:lang w:val="en-US" w:eastAsia="zh-CN"/>
        </w:rPr>
      </w:pPr>
      <w:r>
        <w:rPr>
          <w:rFonts w:hint="default" w:ascii="Times New Roman" w:hAnsi="Times New Roman" w:eastAsia="宋体" w:cs="Times New Roman"/>
          <w:b/>
          <w:bCs/>
          <w:color w:val="auto"/>
          <w:sz w:val="24"/>
          <w:szCs w:val="36"/>
          <w:lang w:val="en-US" w:eastAsia="zh-CN"/>
        </w:rPr>
        <w:t>脱漆剂</w:t>
      </w:r>
    </w:p>
    <w:p w14:paraId="49567811">
      <w:pPr>
        <w:tabs>
          <w:tab w:val="left" w:pos="0"/>
        </w:tabs>
        <w:spacing w:line="240" w:lineRule="auto"/>
        <w:jc w:val="center"/>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0" distR="0">
            <wp:extent cx="5400040" cy="7557770"/>
            <wp:effectExtent l="0" t="0" r="10160" b="5080"/>
            <wp:docPr id="1155" name="图片 18"/>
            <wp:cNvGraphicFramePr/>
            <a:graphic xmlns:a="http://schemas.openxmlformats.org/drawingml/2006/main">
              <a:graphicData uri="http://schemas.openxmlformats.org/drawingml/2006/picture">
                <pic:pic xmlns:pic="http://schemas.openxmlformats.org/drawingml/2006/picture">
                  <pic:nvPicPr>
                    <pic:cNvPr id="1155" name="图片 18"/>
                    <pic:cNvPicPr/>
                  </pic:nvPicPr>
                  <pic:blipFill>
                    <a:blip r:embed="rId64" cstate="print"/>
                    <a:srcRect/>
                    <a:stretch>
                      <a:fillRect/>
                    </a:stretch>
                  </pic:blipFill>
                  <pic:spPr>
                    <a:xfrm>
                      <a:off x="0" y="0"/>
                      <a:ext cx="5400040" cy="7557770"/>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400040" cy="7782560"/>
            <wp:effectExtent l="0" t="0" r="10160" b="8890"/>
            <wp:docPr id="1156" name="图片 19"/>
            <wp:cNvGraphicFramePr/>
            <a:graphic xmlns:a="http://schemas.openxmlformats.org/drawingml/2006/main">
              <a:graphicData uri="http://schemas.openxmlformats.org/drawingml/2006/picture">
                <pic:pic xmlns:pic="http://schemas.openxmlformats.org/drawingml/2006/picture">
                  <pic:nvPicPr>
                    <pic:cNvPr id="1156" name="图片 19"/>
                    <pic:cNvPicPr/>
                  </pic:nvPicPr>
                  <pic:blipFill>
                    <a:blip r:embed="rId65" cstate="print"/>
                    <a:srcRect/>
                    <a:stretch>
                      <a:fillRect/>
                    </a:stretch>
                  </pic:blipFill>
                  <pic:spPr>
                    <a:xfrm>
                      <a:off x="0" y="0"/>
                      <a:ext cx="5400040" cy="7782560"/>
                    </a:xfrm>
                    <a:prstGeom prst="rect">
                      <a:avLst/>
                    </a:prstGeom>
                    <a:ln>
                      <a:noFill/>
                    </a:ln>
                  </pic:spPr>
                </pic:pic>
              </a:graphicData>
            </a:graphic>
          </wp:inline>
        </w:drawing>
      </w:r>
    </w:p>
    <w:p w14:paraId="2D581B26">
      <w:pPr>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br w:type="page"/>
      </w:r>
    </w:p>
    <w:p w14:paraId="285CE444">
      <w:pPr>
        <w:tabs>
          <w:tab w:val="left" w:pos="0"/>
        </w:tabs>
        <w:outlineLvl w:val="9"/>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UV三防漆</w:t>
      </w:r>
    </w:p>
    <w:p w14:paraId="6E0807F0">
      <w:pPr>
        <w:jc w:val="center"/>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rPr>
        <w:drawing>
          <wp:inline distT="0" distB="0" distL="0" distR="0">
            <wp:extent cx="5400040" cy="7649210"/>
            <wp:effectExtent l="0" t="0" r="10160" b="8890"/>
            <wp:docPr id="1157" name="图片 20"/>
            <wp:cNvGraphicFramePr/>
            <a:graphic xmlns:a="http://schemas.openxmlformats.org/drawingml/2006/main">
              <a:graphicData uri="http://schemas.openxmlformats.org/drawingml/2006/picture">
                <pic:pic xmlns:pic="http://schemas.openxmlformats.org/drawingml/2006/picture">
                  <pic:nvPicPr>
                    <pic:cNvPr id="1157" name="图片 20"/>
                    <pic:cNvPicPr/>
                  </pic:nvPicPr>
                  <pic:blipFill>
                    <a:blip r:embed="rId66" cstate="print"/>
                    <a:srcRect/>
                    <a:stretch>
                      <a:fillRect/>
                    </a:stretch>
                  </pic:blipFill>
                  <pic:spPr>
                    <a:xfrm>
                      <a:off x="0" y="0"/>
                      <a:ext cx="5400040" cy="7649210"/>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400040" cy="7585075"/>
            <wp:effectExtent l="0" t="0" r="10160" b="15875"/>
            <wp:docPr id="1158" name="图片 21"/>
            <wp:cNvGraphicFramePr/>
            <a:graphic xmlns:a="http://schemas.openxmlformats.org/drawingml/2006/main">
              <a:graphicData uri="http://schemas.openxmlformats.org/drawingml/2006/picture">
                <pic:pic xmlns:pic="http://schemas.openxmlformats.org/drawingml/2006/picture">
                  <pic:nvPicPr>
                    <pic:cNvPr id="1158" name="图片 21"/>
                    <pic:cNvPicPr/>
                  </pic:nvPicPr>
                  <pic:blipFill>
                    <a:blip r:embed="rId67" cstate="print"/>
                    <a:srcRect/>
                    <a:stretch>
                      <a:fillRect/>
                    </a:stretch>
                  </pic:blipFill>
                  <pic:spPr>
                    <a:xfrm>
                      <a:off x="0" y="0"/>
                      <a:ext cx="5400040" cy="7585075"/>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400040" cy="7802880"/>
            <wp:effectExtent l="0" t="0" r="10160" b="7620"/>
            <wp:docPr id="1159" name="图片 22"/>
            <wp:cNvGraphicFramePr/>
            <a:graphic xmlns:a="http://schemas.openxmlformats.org/drawingml/2006/main">
              <a:graphicData uri="http://schemas.openxmlformats.org/drawingml/2006/picture">
                <pic:pic xmlns:pic="http://schemas.openxmlformats.org/drawingml/2006/picture">
                  <pic:nvPicPr>
                    <pic:cNvPr id="1159" name="图片 22"/>
                    <pic:cNvPicPr/>
                  </pic:nvPicPr>
                  <pic:blipFill>
                    <a:blip r:embed="rId68" cstate="print"/>
                    <a:srcRect/>
                    <a:stretch>
                      <a:fillRect/>
                    </a:stretch>
                  </pic:blipFill>
                  <pic:spPr>
                    <a:xfrm>
                      <a:off x="0" y="0"/>
                      <a:ext cx="5400040" cy="7802880"/>
                    </a:xfrm>
                    <a:prstGeom prst="rect">
                      <a:avLst/>
                    </a:prstGeom>
                    <a:ln>
                      <a:noFill/>
                    </a:ln>
                  </pic:spPr>
                </pic:pic>
              </a:graphicData>
            </a:graphic>
          </wp:inline>
        </w:drawing>
      </w:r>
      <w:r>
        <w:rPr>
          <w:rFonts w:hint="default" w:ascii="Times New Roman" w:hAnsi="Times New Roman" w:eastAsia="宋体" w:cs="Times New Roman"/>
          <w:color w:val="auto"/>
          <w:sz w:val="24"/>
          <w:szCs w:val="36"/>
          <w:lang w:val="en-US" w:eastAsia="zh-CN"/>
        </w:rPr>
        <w:br w:type="page"/>
      </w:r>
    </w:p>
    <w:p w14:paraId="737E6475">
      <w:pPr>
        <w:tabs>
          <w:tab w:val="left" w:pos="0"/>
        </w:tabs>
        <w:outlineLvl w:val="9"/>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sz w:val="24"/>
          <w:szCs w:val="36"/>
          <w:lang w:val="en-US" w:eastAsia="zh-CN"/>
        </w:rPr>
        <w:t>导热硅脂</w:t>
      </w:r>
    </w:p>
    <w:p w14:paraId="323B81A4">
      <w:pPr>
        <w:jc w:val="center"/>
        <w:rPr>
          <w:rFonts w:hint="default" w:ascii="Times New Roman" w:hAnsi="Times New Roman" w:eastAsia="宋体" w:cs="Times New Roman"/>
          <w:color w:val="auto"/>
          <w:sz w:val="24"/>
          <w:szCs w:val="36"/>
          <w:lang w:val="en-US" w:eastAsia="zh-CN"/>
        </w:rPr>
      </w:pPr>
      <w:r>
        <w:rPr>
          <w:rFonts w:hint="default" w:ascii="Times New Roman" w:hAnsi="Times New Roman" w:eastAsia="宋体" w:cs="Times New Roman"/>
          <w:color w:val="auto"/>
        </w:rPr>
        <w:drawing>
          <wp:inline distT="0" distB="0" distL="0" distR="0">
            <wp:extent cx="5400040" cy="7959090"/>
            <wp:effectExtent l="0" t="0" r="10160" b="3175"/>
            <wp:docPr id="1160" name="图片 10"/>
            <wp:cNvGraphicFramePr/>
            <a:graphic xmlns:a="http://schemas.openxmlformats.org/drawingml/2006/main">
              <a:graphicData uri="http://schemas.openxmlformats.org/drawingml/2006/picture">
                <pic:pic xmlns:pic="http://schemas.openxmlformats.org/drawingml/2006/picture">
                  <pic:nvPicPr>
                    <pic:cNvPr id="1160" name="图片 10"/>
                    <pic:cNvPicPr/>
                  </pic:nvPicPr>
                  <pic:blipFill>
                    <a:blip r:embed="rId69" cstate="print"/>
                    <a:srcRect/>
                    <a:stretch>
                      <a:fillRect/>
                    </a:stretch>
                  </pic:blipFill>
                  <pic:spPr>
                    <a:xfrm>
                      <a:off x="0" y="0"/>
                      <a:ext cx="5400040" cy="7959090"/>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400040" cy="7815580"/>
            <wp:effectExtent l="0" t="0" r="10160" b="13970"/>
            <wp:docPr id="1161" name="图片 11"/>
            <wp:cNvGraphicFramePr/>
            <a:graphic xmlns:a="http://schemas.openxmlformats.org/drawingml/2006/main">
              <a:graphicData uri="http://schemas.openxmlformats.org/drawingml/2006/picture">
                <pic:pic xmlns:pic="http://schemas.openxmlformats.org/drawingml/2006/picture">
                  <pic:nvPicPr>
                    <pic:cNvPr id="1161" name="图片 11"/>
                    <pic:cNvPicPr/>
                  </pic:nvPicPr>
                  <pic:blipFill>
                    <a:blip r:embed="rId70" cstate="print"/>
                    <a:srcRect/>
                    <a:stretch>
                      <a:fillRect/>
                    </a:stretch>
                  </pic:blipFill>
                  <pic:spPr>
                    <a:xfrm>
                      <a:off x="0" y="0"/>
                      <a:ext cx="5400040" cy="7815580"/>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400040" cy="7790815"/>
            <wp:effectExtent l="0" t="0" r="10160" b="0"/>
            <wp:docPr id="1162" name="图片 12"/>
            <wp:cNvGraphicFramePr/>
            <a:graphic xmlns:a="http://schemas.openxmlformats.org/drawingml/2006/main">
              <a:graphicData uri="http://schemas.openxmlformats.org/drawingml/2006/picture">
                <pic:pic xmlns:pic="http://schemas.openxmlformats.org/drawingml/2006/picture">
                  <pic:nvPicPr>
                    <pic:cNvPr id="1162" name="图片 12"/>
                    <pic:cNvPicPr/>
                  </pic:nvPicPr>
                  <pic:blipFill>
                    <a:blip r:embed="rId71" cstate="print"/>
                    <a:srcRect/>
                    <a:stretch>
                      <a:fillRect/>
                    </a:stretch>
                  </pic:blipFill>
                  <pic:spPr>
                    <a:xfrm>
                      <a:off x="0" y="0"/>
                      <a:ext cx="5400040" cy="7790815"/>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400040" cy="7215505"/>
            <wp:effectExtent l="0" t="0" r="10160" b="4445"/>
            <wp:docPr id="1163" name="图片 13"/>
            <wp:cNvGraphicFramePr/>
            <a:graphic xmlns:a="http://schemas.openxmlformats.org/drawingml/2006/main">
              <a:graphicData uri="http://schemas.openxmlformats.org/drawingml/2006/picture">
                <pic:pic xmlns:pic="http://schemas.openxmlformats.org/drawingml/2006/picture">
                  <pic:nvPicPr>
                    <pic:cNvPr id="1163" name="图片 13"/>
                    <pic:cNvPicPr/>
                  </pic:nvPicPr>
                  <pic:blipFill>
                    <a:blip r:embed="rId72" cstate="print"/>
                    <a:srcRect/>
                    <a:stretch>
                      <a:fillRect/>
                    </a:stretch>
                  </pic:blipFill>
                  <pic:spPr>
                    <a:xfrm>
                      <a:off x="0" y="0"/>
                      <a:ext cx="5400040" cy="7215505"/>
                    </a:xfrm>
                    <a:prstGeom prst="rect">
                      <a:avLst/>
                    </a:prstGeom>
                    <a:ln>
                      <a:noFill/>
                    </a:ln>
                  </pic:spPr>
                </pic:pic>
              </a:graphicData>
            </a:graphic>
          </wp:inline>
        </w:drawing>
      </w:r>
      <w:r>
        <w:rPr>
          <w:rFonts w:hint="default" w:ascii="Times New Roman" w:hAnsi="Times New Roman" w:eastAsia="宋体" w:cs="Times New Roman"/>
          <w:color w:val="auto"/>
          <w:sz w:val="24"/>
          <w:szCs w:val="36"/>
          <w:lang w:val="en-US" w:eastAsia="zh-CN"/>
        </w:rPr>
        <w:br w:type="page"/>
      </w:r>
    </w:p>
    <w:p w14:paraId="34AA12AC">
      <w:pPr>
        <w:tabs>
          <w:tab w:val="left" w:pos="0"/>
        </w:tabs>
        <w:outlineLvl w:val="9"/>
        <w:rPr>
          <w:rFonts w:hint="default" w:ascii="Times New Roman" w:hAnsi="Times New Roman" w:eastAsia="宋体" w:cs="Times New Roman"/>
          <w:b/>
          <w:bCs/>
          <w:color w:val="auto"/>
          <w:sz w:val="24"/>
          <w:szCs w:val="36"/>
          <w:lang w:val="en-US" w:eastAsia="zh-CN"/>
        </w:rPr>
      </w:pPr>
      <w:r>
        <w:rPr>
          <w:rFonts w:hint="default" w:ascii="Times New Roman" w:hAnsi="Times New Roman" w:eastAsia="宋体" w:cs="Times New Roman"/>
          <w:b/>
          <w:bCs/>
          <w:color w:val="auto"/>
          <w:sz w:val="24"/>
          <w:szCs w:val="36"/>
          <w:lang w:val="en-US" w:eastAsia="zh-CN"/>
        </w:rPr>
        <w:t>双组份导热凝胶</w:t>
      </w:r>
    </w:p>
    <w:p w14:paraId="491BA200">
      <w:pPr>
        <w:tabs>
          <w:tab w:val="left" w:pos="0"/>
        </w:tabs>
        <w:spacing w:line="240" w:lineRule="auto"/>
        <w:jc w:val="center"/>
        <w:outlineLvl w:val="9"/>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drawing>
          <wp:inline distT="0" distB="0" distL="0" distR="0">
            <wp:extent cx="5400040" cy="7364730"/>
            <wp:effectExtent l="0" t="0" r="10160" b="7620"/>
            <wp:docPr id="1164" name="图片 6"/>
            <wp:cNvGraphicFramePr/>
            <a:graphic xmlns:a="http://schemas.openxmlformats.org/drawingml/2006/main">
              <a:graphicData uri="http://schemas.openxmlformats.org/drawingml/2006/picture">
                <pic:pic xmlns:pic="http://schemas.openxmlformats.org/drawingml/2006/picture">
                  <pic:nvPicPr>
                    <pic:cNvPr id="1164" name="图片 6"/>
                    <pic:cNvPicPr/>
                  </pic:nvPicPr>
                  <pic:blipFill>
                    <a:blip r:embed="rId73" cstate="print"/>
                    <a:srcRect/>
                    <a:stretch>
                      <a:fillRect/>
                    </a:stretch>
                  </pic:blipFill>
                  <pic:spPr>
                    <a:xfrm>
                      <a:off x="0" y="0"/>
                      <a:ext cx="5400040" cy="7364730"/>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400040" cy="7083425"/>
            <wp:effectExtent l="0" t="0" r="10160" b="1905"/>
            <wp:docPr id="1165" name="图片 7"/>
            <wp:cNvGraphicFramePr/>
            <a:graphic xmlns:a="http://schemas.openxmlformats.org/drawingml/2006/main">
              <a:graphicData uri="http://schemas.openxmlformats.org/drawingml/2006/picture">
                <pic:pic xmlns:pic="http://schemas.openxmlformats.org/drawingml/2006/picture">
                  <pic:nvPicPr>
                    <pic:cNvPr id="1165" name="图片 7"/>
                    <pic:cNvPicPr/>
                  </pic:nvPicPr>
                  <pic:blipFill>
                    <a:blip r:embed="rId74" cstate="print"/>
                    <a:srcRect/>
                    <a:stretch>
                      <a:fillRect/>
                    </a:stretch>
                  </pic:blipFill>
                  <pic:spPr>
                    <a:xfrm>
                      <a:off x="0" y="0"/>
                      <a:ext cx="5400040" cy="7084059"/>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400040" cy="7124700"/>
            <wp:effectExtent l="0" t="0" r="10160" b="0"/>
            <wp:docPr id="1166" name="图片 8"/>
            <wp:cNvGraphicFramePr/>
            <a:graphic xmlns:a="http://schemas.openxmlformats.org/drawingml/2006/main">
              <a:graphicData uri="http://schemas.openxmlformats.org/drawingml/2006/picture">
                <pic:pic xmlns:pic="http://schemas.openxmlformats.org/drawingml/2006/picture">
                  <pic:nvPicPr>
                    <pic:cNvPr id="1166" name="图片 8"/>
                    <pic:cNvPicPr/>
                  </pic:nvPicPr>
                  <pic:blipFill>
                    <a:blip r:embed="rId75" cstate="print"/>
                    <a:srcRect/>
                    <a:stretch>
                      <a:fillRect/>
                    </a:stretch>
                  </pic:blipFill>
                  <pic:spPr>
                    <a:xfrm>
                      <a:off x="0" y="0"/>
                      <a:ext cx="5400040" cy="7124700"/>
                    </a:xfrm>
                    <a:prstGeom prst="rect">
                      <a:avLst/>
                    </a:prstGeom>
                    <a:ln>
                      <a:noFill/>
                    </a:ln>
                  </pic:spPr>
                </pic:pic>
              </a:graphicData>
            </a:graphic>
          </wp:inline>
        </w:drawing>
      </w:r>
      <w:r>
        <w:rPr>
          <w:rFonts w:hint="default" w:ascii="Times New Roman" w:hAnsi="Times New Roman" w:eastAsia="宋体" w:cs="Times New Roman"/>
          <w:color w:val="auto"/>
        </w:rPr>
        <w:drawing>
          <wp:inline distT="0" distB="0" distL="0" distR="0">
            <wp:extent cx="5400040" cy="7019925"/>
            <wp:effectExtent l="0" t="0" r="10160" b="9525"/>
            <wp:docPr id="1167" name="图片 9"/>
            <wp:cNvGraphicFramePr/>
            <a:graphic xmlns:a="http://schemas.openxmlformats.org/drawingml/2006/main">
              <a:graphicData uri="http://schemas.openxmlformats.org/drawingml/2006/picture">
                <pic:pic xmlns:pic="http://schemas.openxmlformats.org/drawingml/2006/picture">
                  <pic:nvPicPr>
                    <pic:cNvPr id="1167" name="图片 9"/>
                    <pic:cNvPicPr/>
                  </pic:nvPicPr>
                  <pic:blipFill>
                    <a:blip r:embed="rId76" cstate="print"/>
                    <a:srcRect/>
                    <a:stretch>
                      <a:fillRect/>
                    </a:stretch>
                  </pic:blipFill>
                  <pic:spPr>
                    <a:xfrm>
                      <a:off x="0" y="0"/>
                      <a:ext cx="5400040" cy="7019925"/>
                    </a:xfrm>
                    <a:prstGeom prst="rect">
                      <a:avLst/>
                    </a:prstGeom>
                    <a:ln>
                      <a:noFill/>
                    </a:ln>
                  </pic:spPr>
                </pic:pic>
              </a:graphicData>
            </a:graphic>
          </wp:inline>
        </w:drawing>
      </w:r>
    </w:p>
    <w:p w14:paraId="25029BA3">
      <w:pPr>
        <w:pStyle w:val="2"/>
        <w:spacing w:line="240" w:lineRule="auto"/>
        <w:ind w:left="0" w:leftChars="0" w:firstLine="0" w:firstLineChars="0"/>
        <w:jc w:val="both"/>
        <w:outlineLvl w:val="9"/>
        <w:rPr>
          <w:rFonts w:hint="default" w:ascii="Times New Roman" w:hAnsi="Times New Roman" w:eastAsia="宋体" w:cs="Times New Roman"/>
          <w:b/>
          <w:bCs/>
          <w:color w:val="auto"/>
          <w:lang w:val="en-US" w:eastAsia="zh-CN"/>
        </w:rPr>
        <w:sectPr>
          <w:footerReference r:id="rId10" w:type="default"/>
          <w:pgSz w:w="11906" w:h="16838"/>
          <w:pgMar w:top="1701" w:right="1531" w:bottom="1701" w:left="1531" w:header="851" w:footer="851" w:gutter="0"/>
          <w:pgNumType w:fmt="decimal"/>
          <w:cols w:space="720" w:num="1"/>
          <w:docGrid w:linePitch="312" w:charSpace="0"/>
        </w:sectPr>
      </w:pPr>
    </w:p>
    <w:p w14:paraId="120A23EE">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宋体" w:cs="Times New Roman"/>
          <w:b/>
          <w:bCs/>
          <w:color w:val="auto"/>
          <w:sz w:val="24"/>
          <w:szCs w:val="24"/>
          <w:lang w:val="en-US" w:eastAsia="zh-CN"/>
        </w:rPr>
      </w:pPr>
      <w:bookmarkStart w:id="19" w:name="_Toc15874"/>
      <w:r>
        <w:rPr>
          <w:rFonts w:hint="default" w:ascii="Times New Roman" w:hAnsi="Times New Roman" w:eastAsia="宋体" w:cs="Times New Roman"/>
          <w:b/>
          <w:bCs/>
          <w:color w:val="auto"/>
          <w:sz w:val="24"/>
          <w:szCs w:val="24"/>
          <w:lang w:val="en-US" w:eastAsia="zh-CN"/>
        </w:rPr>
        <w:t>附图1 项目地理位置图</w:t>
      </w:r>
      <w:bookmarkEnd w:id="19"/>
    </w:p>
    <w:p w14:paraId="03B6BF5C">
      <w:pPr>
        <w:keepNext w:val="0"/>
        <w:keepLines w:val="0"/>
        <w:pageBreakBefore w:val="0"/>
        <w:widowControl w:val="0"/>
        <w:tabs>
          <w:tab w:val="left" w:pos="0"/>
        </w:tabs>
        <w:kinsoku/>
        <w:wordWrap/>
        <w:overflowPunct/>
        <w:topLinePunct w:val="0"/>
        <w:autoSpaceDE/>
        <w:autoSpaceDN/>
        <w:bidi w:val="0"/>
        <w:adjustRightInd/>
        <w:snapToGrid w:val="0"/>
        <w:spacing w:line="240" w:lineRule="auto"/>
        <w:ind w:left="0" w:leftChars="0" w:firstLine="0" w:firstLineChars="0"/>
        <w:textAlignment w:val="auto"/>
        <w:outlineLvl w:val="9"/>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2"/>
          <w:szCs w:val="28"/>
          <w:u w:val="none" w:color="auto"/>
          <w:lang w:val="en-US" w:eastAsia="zh-CN"/>
        </w:rPr>
        <w:drawing>
          <wp:anchor distT="0" distB="0" distL="0" distR="0" simplePos="0" relativeHeight="251660288" behindDoc="0" locked="0" layoutInCell="1" allowOverlap="1">
            <wp:simplePos x="0" y="0"/>
            <wp:positionH relativeFrom="column">
              <wp:posOffset>7876540</wp:posOffset>
            </wp:positionH>
            <wp:positionV relativeFrom="paragraph">
              <wp:posOffset>124460</wp:posOffset>
            </wp:positionV>
            <wp:extent cx="621030" cy="826135"/>
            <wp:effectExtent l="0" t="0" r="7620" b="12065"/>
            <wp:wrapNone/>
            <wp:docPr id="1168" name="图片 141" descr="衡阳市珠晖区"/>
            <wp:cNvGraphicFramePr/>
            <a:graphic xmlns:a="http://schemas.openxmlformats.org/drawingml/2006/main">
              <a:graphicData uri="http://schemas.openxmlformats.org/drawingml/2006/picture">
                <pic:pic xmlns:pic="http://schemas.openxmlformats.org/drawingml/2006/picture">
                  <pic:nvPicPr>
                    <pic:cNvPr id="1168" name="图片 141" descr="衡阳市珠晖区"/>
                    <pic:cNvPicPr/>
                  </pic:nvPicPr>
                  <pic:blipFill>
                    <a:blip r:embed="rId77" cstate="print"/>
                    <a:srcRect/>
                    <a:stretch>
                      <a:fillRect/>
                    </a:stretch>
                  </pic:blipFill>
                  <pic:spPr>
                    <a:xfrm>
                      <a:off x="0" y="0"/>
                      <a:ext cx="621030" cy="826135"/>
                    </a:xfrm>
                    <a:prstGeom prst="rect">
                      <a:avLst/>
                    </a:prstGeom>
                  </pic:spPr>
                </pic:pic>
              </a:graphicData>
            </a:graphic>
          </wp:anchor>
        </w:drawing>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4900930</wp:posOffset>
                </wp:positionH>
                <wp:positionV relativeFrom="paragraph">
                  <wp:posOffset>3368675</wp:posOffset>
                </wp:positionV>
                <wp:extent cx="914400" cy="319405"/>
                <wp:effectExtent l="0" t="0" r="0" b="0"/>
                <wp:wrapNone/>
                <wp:docPr id="1169" name="文本框 136"/>
                <wp:cNvGraphicFramePr/>
                <a:graphic xmlns:a="http://schemas.openxmlformats.org/drawingml/2006/main">
                  <a:graphicData uri="http://schemas.microsoft.com/office/word/2010/wordprocessingShape">
                    <wps:wsp>
                      <wps:cNvSpPr/>
                      <wps:spPr>
                        <a:xfrm>
                          <a:off x="0" y="0"/>
                          <a:ext cx="914400" cy="319404"/>
                        </a:xfrm>
                        <a:prstGeom prst="rect">
                          <a:avLst/>
                        </a:prstGeom>
                        <a:ln>
                          <a:noFill/>
                        </a:ln>
                      </wps:spPr>
                      <wps:txbx>
                        <w:txbxContent>
                          <w:p w14:paraId="4E4C0427">
                            <w:pPr>
                              <w:rPr>
                                <w:rFonts w:hint="default" w:eastAsia="宋体"/>
                                <w:b/>
                                <w:bCs/>
                                <w:color w:val="FF0000"/>
                                <w:sz w:val="24"/>
                                <w:szCs w:val="32"/>
                                <w:highlight w:val="none"/>
                                <w:lang w:val="en-US" w:eastAsia="zh-CN"/>
                              </w:rPr>
                            </w:pPr>
                            <w:r>
                              <w:rPr>
                                <w:rFonts w:hint="eastAsia"/>
                                <w:b/>
                                <w:bCs/>
                                <w:color w:val="FF0000"/>
                                <w:sz w:val="24"/>
                                <w:szCs w:val="32"/>
                                <w:highlight w:val="none"/>
                                <w:lang w:val="en-US" w:eastAsia="zh-CN"/>
                              </w:rPr>
                              <w:t>项目地址</w:t>
                            </w:r>
                          </w:p>
                        </w:txbxContent>
                      </wps:txbx>
                      <wps:bodyPr vert="horz" wrap="square" lIns="91440" tIns="45720" rIns="91440" bIns="45720" anchor="t">
                        <a:noAutofit/>
                      </wps:bodyPr>
                    </wps:wsp>
                  </a:graphicData>
                </a:graphic>
              </wp:anchor>
            </w:drawing>
          </mc:Choice>
          <mc:Fallback>
            <w:pict>
              <v:rect id="文本框 136" o:spid="_x0000_s1026" o:spt="1" style="position:absolute;left:0pt;margin-left:385.9pt;margin-top:265.25pt;height:25.15pt;width:72pt;z-index:251660288;mso-width-relative:page;mso-height-relative:page;" filled="f" stroked="f" coordsize="21600,21600" o:gfxdata="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Tr2kL2wAAAAsBAAAPAAAA&#10;AAAAAAEAIAAAACIAAABkcnMvZG93bnJldi54bWxQSwECFAAUAAAACACHTuJAZZoQndkBAACkAwAA&#10;DgAAAAAAAAABACAAAAAqAQAAZHJzL2Uyb0RvYy54bWxQSwUGAAAAAAYABgBZAQAAdQUAAAAA&#10;">
                <v:fill on="f" focussize="0,0"/>
                <v:stroke on="f"/>
                <v:imagedata o:title=""/>
                <o:lock v:ext="edit" aspectratio="f"/>
                <v:textbox>
                  <w:txbxContent>
                    <w:p w14:paraId="4E4C0427">
                      <w:pPr>
                        <w:rPr>
                          <w:rFonts w:hint="default" w:eastAsia="宋体"/>
                          <w:b/>
                          <w:bCs/>
                          <w:color w:val="FF0000"/>
                          <w:sz w:val="24"/>
                          <w:szCs w:val="32"/>
                          <w:highlight w:val="none"/>
                          <w:lang w:val="en-US" w:eastAsia="zh-CN"/>
                        </w:rPr>
                      </w:pPr>
                      <w:r>
                        <w:rPr>
                          <w:rFonts w:hint="eastAsia"/>
                          <w:b/>
                          <w:bCs/>
                          <w:color w:val="FF0000"/>
                          <w:sz w:val="24"/>
                          <w:szCs w:val="32"/>
                          <w:highlight w:val="none"/>
                          <w:lang w:val="en-US" w:eastAsia="zh-CN"/>
                        </w:rPr>
                        <w:t>项目地址</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4615815</wp:posOffset>
                </wp:positionH>
                <wp:positionV relativeFrom="paragraph">
                  <wp:posOffset>3333115</wp:posOffset>
                </wp:positionV>
                <wp:extent cx="321310" cy="214630"/>
                <wp:effectExtent l="0" t="0" r="13970" b="2540"/>
                <wp:wrapNone/>
                <wp:docPr id="1170" name="右箭头 135"/>
                <wp:cNvGraphicFramePr/>
                <a:graphic xmlns:a="http://schemas.openxmlformats.org/drawingml/2006/main">
                  <a:graphicData uri="http://schemas.microsoft.com/office/word/2010/wordprocessingShape">
                    <wps:wsp>
                      <wps:cNvSpPr/>
                      <wps:spPr>
                        <a:xfrm rot="5400000">
                          <a:off x="0" y="0"/>
                          <a:ext cx="321309" cy="214629"/>
                        </a:xfrm>
                        <a:prstGeom prst="rightArrow">
                          <a:avLst/>
                        </a:prstGeom>
                        <a:solidFill>
                          <a:srgbClr val="FF0000"/>
                        </a:solidFill>
                        <a:ln>
                          <a:noFill/>
                        </a:ln>
                      </wps:spPr>
                      <wps:bodyPr/>
                    </wps:wsp>
                  </a:graphicData>
                </a:graphic>
              </wp:anchor>
            </w:drawing>
          </mc:Choice>
          <mc:Fallback>
            <w:pict>
              <v:shape id="右箭头 135" o:spid="_x0000_s1026" o:spt="13" type="#_x0000_t13" style="position:absolute;left:0pt;margin-left:363.45pt;margin-top:262.45pt;height:16.9pt;width:25.3pt;rotation:5898240f;z-index:251660288;mso-width-relative:page;mso-height-relative:page;" fillcolor="#FF0000" filled="t" stroked="f" coordsize="21600,21600" o:gfxdata="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Mkbwt3XAAAACwEAAA8AAAAAAAAAAQAgAAAAIgAAAGRycy9kb3ducmV2LnhtbFBL&#10;AQIUABQAAAAIAIdO4kCRE736vgEAAG4DAAAOAAAAAAAAAAEAIAAAACYBAABkcnMvZTJvRG9jLnht&#10;bFBLBQYAAAAABgAGAFkBAABWBQAAAAA=&#10;" adj="14386,5400">
                <v:fill on="t" focussize="0,0"/>
                <v:stroke on="f"/>
                <v:imagedata o:title=""/>
                <o:lock v:ext="edit" aspectratio="f"/>
              </v:shape>
            </w:pict>
          </mc:Fallback>
        </mc:AlternateContent>
      </w:r>
      <w:r>
        <w:rPr>
          <w:rFonts w:hint="default" w:ascii="Times New Roman" w:hAnsi="Times New Roman" w:eastAsia="宋体" w:cs="Times New Roman"/>
          <w:color w:val="auto"/>
        </w:rPr>
        <w:drawing>
          <wp:inline distT="0" distB="0" distL="0" distR="0">
            <wp:extent cx="8519160" cy="4852670"/>
            <wp:effectExtent l="9525" t="9525" r="24765" b="14605"/>
            <wp:docPr id="1171" name="图片 9"/>
            <wp:cNvGraphicFramePr/>
            <a:graphic xmlns:a="http://schemas.openxmlformats.org/drawingml/2006/main">
              <a:graphicData uri="http://schemas.openxmlformats.org/drawingml/2006/picture">
                <pic:pic xmlns:pic="http://schemas.openxmlformats.org/drawingml/2006/picture">
                  <pic:nvPicPr>
                    <pic:cNvPr id="1171" name="图片 9"/>
                    <pic:cNvPicPr/>
                  </pic:nvPicPr>
                  <pic:blipFill>
                    <a:blip r:embed="rId78" cstate="print"/>
                    <a:srcRect/>
                    <a:stretch>
                      <a:fillRect/>
                    </a:stretch>
                  </pic:blipFill>
                  <pic:spPr>
                    <a:xfrm>
                      <a:off x="0" y="0"/>
                      <a:ext cx="8519160" cy="4852670"/>
                    </a:xfrm>
                    <a:prstGeom prst="rect">
                      <a:avLst/>
                    </a:prstGeom>
                    <a:ln w="9525" cap="flat" cmpd="sng">
                      <a:solidFill>
                        <a:srgbClr val="000000"/>
                      </a:solidFill>
                      <a:prstDash val="solid"/>
                      <a:round/>
                    </a:ln>
                  </pic:spPr>
                </pic:pic>
              </a:graphicData>
            </a:graphic>
          </wp:inline>
        </w:drawing>
      </w:r>
    </w:p>
    <w:p w14:paraId="1D4D1C33">
      <w:pPr>
        <w:pStyle w:val="2"/>
        <w:spacing w:line="240" w:lineRule="auto"/>
        <w:ind w:left="0" w:leftChars="0" w:firstLine="0" w:firstLineChars="0"/>
        <w:outlineLvl w:val="9"/>
        <w:rPr>
          <w:rFonts w:hint="default" w:ascii="Times New Roman" w:hAnsi="Times New Roman" w:eastAsia="宋体" w:cs="Times New Roman"/>
          <w:b/>
          <w:bCs/>
          <w:color w:val="auto"/>
          <w:lang w:val="en-US" w:eastAsia="zh-CN"/>
        </w:rPr>
        <w:sectPr>
          <w:pgSz w:w="16838" w:h="11906" w:orient="landscape"/>
          <w:pgMar w:top="1531" w:right="1701" w:bottom="1531" w:left="1701" w:header="851" w:footer="850" w:gutter="0"/>
          <w:pgNumType w:fmt="decimal"/>
          <w:cols w:space="0" w:num="1"/>
          <w:rtlGutter w:val="0"/>
          <w:docGrid w:linePitch="312" w:charSpace="0"/>
        </w:sectPr>
      </w:pP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3930650</wp:posOffset>
                </wp:positionH>
                <wp:positionV relativeFrom="paragraph">
                  <wp:posOffset>2478405</wp:posOffset>
                </wp:positionV>
                <wp:extent cx="914400" cy="329565"/>
                <wp:effectExtent l="0" t="0" r="0" b="0"/>
                <wp:wrapNone/>
                <wp:docPr id="1172" name="文本框 104"/>
                <wp:cNvGraphicFramePr/>
                <a:graphic xmlns:a="http://schemas.openxmlformats.org/drawingml/2006/main">
                  <a:graphicData uri="http://schemas.microsoft.com/office/word/2010/wordprocessingShape">
                    <wps:wsp>
                      <wps:cNvSpPr/>
                      <wps:spPr>
                        <a:xfrm>
                          <a:off x="0" y="0"/>
                          <a:ext cx="914400" cy="329564"/>
                        </a:xfrm>
                        <a:prstGeom prst="rect">
                          <a:avLst/>
                        </a:prstGeom>
                        <a:ln>
                          <a:noFill/>
                        </a:ln>
                      </wps:spPr>
                      <wps:txbx>
                        <w:txbxContent>
                          <w:p w14:paraId="7D052EC9">
                            <w:pPr>
                              <w:spacing w:line="360" w:lineRule="auto"/>
                              <w:jc w:val="center"/>
                              <w:rPr>
                                <w:rFonts w:hint="default" w:eastAsia="宋体"/>
                                <w:b/>
                                <w:bCs/>
                                <w:color w:val="FF0000"/>
                                <w:lang w:val="en-US" w:eastAsia="zh-CN"/>
                              </w:rPr>
                            </w:pPr>
                            <w:r>
                              <w:rPr>
                                <w:rFonts w:hint="eastAsia"/>
                                <w:b/>
                                <w:bCs/>
                                <w:color w:val="FF0000"/>
                                <w:lang w:val="en-US" w:eastAsia="zh-CN"/>
                              </w:rPr>
                              <w:t>项目位置</w:t>
                            </w:r>
                          </w:p>
                        </w:txbxContent>
                      </wps:txbx>
                      <wps:bodyPr vert="horz" wrap="square" lIns="91440" tIns="45720" rIns="91440" bIns="45720" anchor="t">
                        <a:noAutofit/>
                      </wps:bodyPr>
                    </wps:wsp>
                  </a:graphicData>
                </a:graphic>
              </wp:anchor>
            </w:drawing>
          </mc:Choice>
          <mc:Fallback>
            <w:pict>
              <v:rect id="文本框 104" o:spid="_x0000_s1026" o:spt="1" style="position:absolute;left:0pt;margin-left:309.5pt;margin-top:195.15pt;height:25.95pt;width:72pt;z-index:251660288;mso-width-relative:page;mso-height-relative:page;" filled="f" stroked="f" coordsize="21600,21600" o:gfxdata="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jkxg23QAAAAsBAAAP&#10;AAAAAAAAAAEAIAAAACIAAABkcnMvZG93bnJldi54bWxQSwECFAAUAAAACACHTuJAF9BzItoBAACk&#10;AwAADgAAAAAAAAABACAAAAAsAQAAZHJzL2Uyb0RvYy54bWxQSwUGAAAAAAYABgBZAQAAeAUAAAAA&#10;">
                <v:fill on="f" focussize="0,0"/>
                <v:stroke on="f"/>
                <v:imagedata o:title=""/>
                <o:lock v:ext="edit" aspectratio="f"/>
                <v:textbox>
                  <w:txbxContent>
                    <w:p w14:paraId="7D052EC9">
                      <w:pPr>
                        <w:spacing w:line="360" w:lineRule="auto"/>
                        <w:jc w:val="center"/>
                        <w:rPr>
                          <w:rFonts w:hint="default" w:eastAsia="宋体"/>
                          <w:b/>
                          <w:bCs/>
                          <w:color w:val="FF0000"/>
                          <w:lang w:val="en-US" w:eastAsia="zh-CN"/>
                        </w:rPr>
                      </w:pPr>
                      <w:r>
                        <w:rPr>
                          <w:rFonts w:hint="eastAsia"/>
                          <w:b/>
                          <w:bCs/>
                          <w:color w:val="FF0000"/>
                          <w:lang w:val="en-US" w:eastAsia="zh-CN"/>
                        </w:rPr>
                        <w:t>项目位置</w:t>
                      </w:r>
                    </w:p>
                  </w:txbxContent>
                </v:textbox>
              </v:rect>
            </w:pict>
          </mc:Fallback>
        </mc:AlternateContent>
      </w:r>
    </w:p>
    <w:p w14:paraId="07EB1EF4">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宋体" w:cs="Times New Roman"/>
          <w:b/>
          <w:bCs/>
          <w:color w:val="auto"/>
          <w:sz w:val="24"/>
          <w:szCs w:val="24"/>
          <w:lang w:val="en-US" w:eastAsia="zh-CN"/>
        </w:rPr>
      </w:pPr>
      <w:bookmarkStart w:id="20" w:name="_Toc18637"/>
      <w:r>
        <w:rPr>
          <w:rFonts w:hint="default" w:ascii="Times New Roman" w:hAnsi="Times New Roman" w:eastAsia="宋体" w:cs="Times New Roman"/>
          <w:b/>
          <w:bCs/>
          <w:color w:val="auto"/>
          <w:lang w:val="en-US" w:eastAsia="zh-CN"/>
        </w:rPr>
        <w:drawing>
          <wp:anchor distT="0" distB="0" distL="0" distR="0" simplePos="0" relativeHeight="251660288" behindDoc="0" locked="0" layoutInCell="1" allowOverlap="1">
            <wp:simplePos x="0" y="0"/>
            <wp:positionH relativeFrom="column">
              <wp:posOffset>111760</wp:posOffset>
            </wp:positionH>
            <wp:positionV relativeFrom="paragraph">
              <wp:posOffset>269875</wp:posOffset>
            </wp:positionV>
            <wp:extent cx="7972425" cy="5758180"/>
            <wp:effectExtent l="19050" t="19050" r="28575" b="33020"/>
            <wp:wrapNone/>
            <wp:docPr id="1173" name="图片 99" descr="1-4装修更改后布局图_00"/>
            <wp:cNvGraphicFramePr/>
            <a:graphic xmlns:a="http://schemas.openxmlformats.org/drawingml/2006/main">
              <a:graphicData uri="http://schemas.openxmlformats.org/drawingml/2006/picture">
                <pic:pic xmlns:pic="http://schemas.openxmlformats.org/drawingml/2006/picture">
                  <pic:nvPicPr>
                    <pic:cNvPr id="1173" name="图片 99" descr="1-4装修更改后布局图_00"/>
                    <pic:cNvPicPr/>
                  </pic:nvPicPr>
                  <pic:blipFill>
                    <a:blip r:embed="rId79" cstate="print"/>
                    <a:srcRect l="6565" t="4238" r="3509" b="3940"/>
                    <a:stretch>
                      <a:fillRect/>
                    </a:stretch>
                  </pic:blipFill>
                  <pic:spPr>
                    <a:xfrm>
                      <a:off x="0" y="0"/>
                      <a:ext cx="7972425" cy="5758180"/>
                    </a:xfrm>
                    <a:prstGeom prst="rect">
                      <a:avLst/>
                    </a:prstGeom>
                    <a:ln w="19050" cap="flat" cmpd="sng">
                      <a:solidFill>
                        <a:srgbClr val="000000"/>
                      </a:solidFill>
                      <a:prstDash val="solid"/>
                      <a:round/>
                    </a:ln>
                  </pic:spPr>
                </pic:pic>
              </a:graphicData>
            </a:graphic>
          </wp:anchor>
        </w:drawing>
      </w:r>
      <w:r>
        <w:rPr>
          <w:rFonts w:hint="default" w:ascii="Times New Roman" w:hAnsi="Times New Roman" w:eastAsia="宋体" w:cs="Times New Roman"/>
          <w:b/>
          <w:bCs/>
          <w:color w:val="auto"/>
          <w:sz w:val="24"/>
          <w:szCs w:val="24"/>
          <w:lang w:val="en-US" w:eastAsia="zh-CN"/>
        </w:rPr>
        <w:t>附图2 总平面布置图（1#栋生产厂房）</w:t>
      </w:r>
      <w:bookmarkEnd w:id="20"/>
    </w:p>
    <w:p w14:paraId="7A1D709E">
      <w:pPr>
        <w:jc w:val="center"/>
        <w:rPr>
          <w:rFonts w:hint="default" w:ascii="Times New Roman" w:hAnsi="Times New Roman" w:eastAsia="宋体" w:cs="Times New Roman"/>
          <w:b/>
          <w:bCs/>
          <w:color w:val="auto"/>
          <w:lang w:val="en-US" w:eastAsia="zh-CN"/>
          <w14:textOutline w14:w="9525" w14:cap="flat" w14:cmpd="sng">
            <w14:solidFill>
              <w14:srgbClr w14:val="000000"/>
            </w14:solidFill>
            <w14:prstDash w14:val="solid"/>
            <w14:round/>
          </w14:textOutline>
        </w:rPr>
        <w:sectPr>
          <w:pgSz w:w="16838" w:h="11906" w:orient="landscape"/>
          <w:pgMar w:top="1531" w:right="1701" w:bottom="1531" w:left="1701" w:header="851" w:footer="851" w:gutter="0"/>
          <w:pgNumType w:fmt="decimal"/>
          <w:cols w:space="720" w:num="1"/>
          <w:docGrid w:linePitch="312" w:charSpace="0"/>
        </w:sectPr>
      </w:pP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2146935</wp:posOffset>
                </wp:positionH>
                <wp:positionV relativeFrom="paragraph">
                  <wp:posOffset>3340100</wp:posOffset>
                </wp:positionV>
                <wp:extent cx="2186940" cy="429260"/>
                <wp:effectExtent l="0" t="0" r="0" b="0"/>
                <wp:wrapNone/>
                <wp:docPr id="1174" name="文本框 162"/>
                <wp:cNvGraphicFramePr/>
                <a:graphic xmlns:a="http://schemas.openxmlformats.org/drawingml/2006/main">
                  <a:graphicData uri="http://schemas.microsoft.com/office/word/2010/wordprocessingShape">
                    <wps:wsp>
                      <wps:cNvSpPr/>
                      <wps:spPr>
                        <a:xfrm>
                          <a:off x="0" y="0"/>
                          <a:ext cx="2186940" cy="429259"/>
                        </a:xfrm>
                        <a:prstGeom prst="rect">
                          <a:avLst/>
                        </a:prstGeom>
                        <a:ln>
                          <a:noFill/>
                        </a:ln>
                      </wps:spPr>
                      <wps:txbx>
                        <w:txbxContent>
                          <w:p w14:paraId="765FF465">
                            <w:pPr>
                              <w:jc w:val="center"/>
                              <w:rPr>
                                <w:rFonts w:hint="default" w:eastAsia="宋体"/>
                                <w:b/>
                                <w:bCs/>
                                <w:sz w:val="24"/>
                                <w:szCs w:val="32"/>
                                <w:lang w:val="en-US" w:eastAsia="zh-CN"/>
                              </w:rPr>
                            </w:pPr>
                            <w:r>
                              <w:rPr>
                                <w:rFonts w:hint="eastAsia"/>
                                <w:b/>
                                <w:bCs/>
                                <w:sz w:val="24"/>
                                <w:szCs w:val="32"/>
                                <w:lang w:val="en-US" w:eastAsia="zh-CN"/>
                              </w:rPr>
                              <w:t>货流通道</w:t>
                            </w:r>
                          </w:p>
                        </w:txbxContent>
                      </wps:txbx>
                      <wps:bodyPr vert="horz" wrap="square" lIns="91440" tIns="45720" rIns="91440" bIns="45720" anchor="t">
                        <a:noAutofit/>
                      </wps:bodyPr>
                    </wps:wsp>
                  </a:graphicData>
                </a:graphic>
              </wp:anchor>
            </w:drawing>
          </mc:Choice>
          <mc:Fallback>
            <w:pict>
              <v:rect id="文本框 162" o:spid="_x0000_s1026" o:spt="1" style="position:absolute;left:0pt;margin-left:169.05pt;margin-top:263pt;height:33.8pt;width:172.2pt;z-index:251660288;mso-width-relative:page;mso-height-relative:page;" filled="f" stroked="f" coordsize="21600,21600" o:gfxdata="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l5qgy3AAAAAsBAAAP&#10;AAAAAAAAAAEAIAAAACIAAABkcnMvZG93bnJldi54bWxQSwECFAAUAAAACACHTuJA/43NgtsBAACl&#10;AwAADgAAAAAAAAABACAAAAArAQAAZHJzL2Uyb0RvYy54bWxQSwUGAAAAAAYABgBZAQAAeAUAAAAA&#10;">
                <v:fill on="f" focussize="0,0"/>
                <v:stroke on="f"/>
                <v:imagedata o:title=""/>
                <o:lock v:ext="edit" aspectratio="f"/>
                <v:textbox>
                  <w:txbxContent>
                    <w:p w14:paraId="765FF465">
                      <w:pPr>
                        <w:jc w:val="center"/>
                        <w:rPr>
                          <w:rFonts w:hint="default" w:eastAsia="宋体"/>
                          <w:b/>
                          <w:bCs/>
                          <w:sz w:val="24"/>
                          <w:szCs w:val="32"/>
                          <w:lang w:val="en-US" w:eastAsia="zh-CN"/>
                        </w:rPr>
                      </w:pPr>
                      <w:r>
                        <w:rPr>
                          <w:rFonts w:hint="eastAsia"/>
                          <w:b/>
                          <w:bCs/>
                          <w:sz w:val="24"/>
                          <w:szCs w:val="32"/>
                          <w:lang w:val="en-US" w:eastAsia="zh-CN"/>
                        </w:rPr>
                        <w:t>货流通道</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1106805</wp:posOffset>
                </wp:positionH>
                <wp:positionV relativeFrom="paragraph">
                  <wp:posOffset>3799840</wp:posOffset>
                </wp:positionV>
                <wp:extent cx="1457325" cy="429260"/>
                <wp:effectExtent l="0" t="0" r="0" b="0"/>
                <wp:wrapNone/>
                <wp:docPr id="1175" name="文本框 161"/>
                <wp:cNvGraphicFramePr/>
                <a:graphic xmlns:a="http://schemas.openxmlformats.org/drawingml/2006/main">
                  <a:graphicData uri="http://schemas.microsoft.com/office/word/2010/wordprocessingShape">
                    <wps:wsp>
                      <wps:cNvSpPr/>
                      <wps:spPr>
                        <a:xfrm>
                          <a:off x="0" y="0"/>
                          <a:ext cx="1457324" cy="429259"/>
                        </a:xfrm>
                        <a:prstGeom prst="rect">
                          <a:avLst/>
                        </a:prstGeom>
                        <a:ln>
                          <a:noFill/>
                        </a:ln>
                      </wps:spPr>
                      <wps:txbx>
                        <w:txbxContent>
                          <w:p w14:paraId="4C41F900">
                            <w:pPr>
                              <w:jc w:val="center"/>
                              <w:rPr>
                                <w:rFonts w:hint="default" w:eastAsia="宋体"/>
                                <w:b/>
                                <w:bCs/>
                                <w:sz w:val="24"/>
                                <w:szCs w:val="32"/>
                                <w:lang w:val="en-US" w:eastAsia="zh-CN"/>
                              </w:rPr>
                            </w:pPr>
                            <w:r>
                              <w:rPr>
                                <w:rFonts w:hint="eastAsia"/>
                                <w:b/>
                                <w:bCs/>
                                <w:sz w:val="24"/>
                                <w:szCs w:val="32"/>
                                <w:lang w:val="en-US" w:eastAsia="zh-CN"/>
                              </w:rPr>
                              <w:t>更衣室</w:t>
                            </w:r>
                          </w:p>
                        </w:txbxContent>
                      </wps:txbx>
                      <wps:bodyPr vert="horz" wrap="square" lIns="91440" tIns="45720" rIns="91440" bIns="45720" anchor="t">
                        <a:noAutofit/>
                      </wps:bodyPr>
                    </wps:wsp>
                  </a:graphicData>
                </a:graphic>
              </wp:anchor>
            </w:drawing>
          </mc:Choice>
          <mc:Fallback>
            <w:pict>
              <v:rect id="文本框 161" o:spid="_x0000_s1026" o:spt="1" style="position:absolute;left:0pt;margin-left:87.15pt;margin-top:299.2pt;height:33.8pt;width:114.75pt;z-index:251660288;mso-width-relative:page;mso-height-relative:page;" filled="f" stroked="f" coordsize="21600,21600" o:gfxdata="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mK9oetsAAAALAQAADwAA&#10;AAAAAAABACAAAAAiAAAAZHJzL2Rvd25yZXYueG1sUEsBAhQAFAAAAAgAh07iQODFCUXaAQAApQMA&#10;AA4AAAAAAAAAAQAgAAAAKgEAAGRycy9lMm9Eb2MueG1sUEsFBgAAAAAGAAYAWQEAAHYFAAAAAA==&#10;">
                <v:fill on="f" focussize="0,0"/>
                <v:stroke on="f"/>
                <v:imagedata o:title=""/>
                <o:lock v:ext="edit" aspectratio="f"/>
                <v:textbox>
                  <w:txbxContent>
                    <w:p w14:paraId="4C41F900">
                      <w:pPr>
                        <w:jc w:val="center"/>
                        <w:rPr>
                          <w:rFonts w:hint="default" w:eastAsia="宋体"/>
                          <w:b/>
                          <w:bCs/>
                          <w:sz w:val="24"/>
                          <w:szCs w:val="32"/>
                          <w:lang w:val="en-US" w:eastAsia="zh-CN"/>
                        </w:rPr>
                      </w:pPr>
                      <w:r>
                        <w:rPr>
                          <w:rFonts w:hint="eastAsia"/>
                          <w:b/>
                          <w:bCs/>
                          <w:sz w:val="24"/>
                          <w:szCs w:val="32"/>
                          <w:lang w:val="en-US" w:eastAsia="zh-CN"/>
                        </w:rPr>
                        <w:t>更衣室</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3321050</wp:posOffset>
                </wp:positionH>
                <wp:positionV relativeFrom="paragraph">
                  <wp:posOffset>3720465</wp:posOffset>
                </wp:positionV>
                <wp:extent cx="2186940" cy="429260"/>
                <wp:effectExtent l="0" t="0" r="0" b="0"/>
                <wp:wrapNone/>
                <wp:docPr id="1176" name="文本框 160"/>
                <wp:cNvGraphicFramePr/>
                <a:graphic xmlns:a="http://schemas.openxmlformats.org/drawingml/2006/main">
                  <a:graphicData uri="http://schemas.microsoft.com/office/word/2010/wordprocessingShape">
                    <wps:wsp>
                      <wps:cNvSpPr/>
                      <wps:spPr>
                        <a:xfrm>
                          <a:off x="0" y="0"/>
                          <a:ext cx="2186940" cy="429259"/>
                        </a:xfrm>
                        <a:prstGeom prst="rect">
                          <a:avLst/>
                        </a:prstGeom>
                        <a:ln>
                          <a:noFill/>
                        </a:ln>
                      </wps:spPr>
                      <wps:txbx>
                        <w:txbxContent>
                          <w:p w14:paraId="3F2DD7AC">
                            <w:pPr>
                              <w:jc w:val="center"/>
                              <w:rPr>
                                <w:rFonts w:hint="default" w:eastAsia="宋体"/>
                                <w:b/>
                                <w:bCs/>
                                <w:sz w:val="24"/>
                                <w:szCs w:val="32"/>
                                <w:lang w:val="en-US" w:eastAsia="zh-CN"/>
                              </w:rPr>
                            </w:pPr>
                            <w:r>
                              <w:rPr>
                                <w:rFonts w:hint="eastAsia"/>
                                <w:b/>
                                <w:bCs/>
                                <w:sz w:val="24"/>
                                <w:szCs w:val="32"/>
                                <w:lang w:val="en-US" w:eastAsia="zh-CN"/>
                              </w:rPr>
                              <w:t>成品仓库区</w:t>
                            </w:r>
                          </w:p>
                        </w:txbxContent>
                      </wps:txbx>
                      <wps:bodyPr vert="horz" wrap="square" lIns="91440" tIns="45720" rIns="91440" bIns="45720" anchor="t">
                        <a:noAutofit/>
                      </wps:bodyPr>
                    </wps:wsp>
                  </a:graphicData>
                </a:graphic>
              </wp:anchor>
            </w:drawing>
          </mc:Choice>
          <mc:Fallback>
            <w:pict>
              <v:rect id="文本框 160" o:spid="_x0000_s1026" o:spt="1" style="position:absolute;left:0pt;margin-left:261.5pt;margin-top:292.95pt;height:33.8pt;width:172.2pt;z-index:251660288;mso-width-relative:page;mso-height-relative:page;" filled="f" stroked="f" coordsize="21600,21600" o:gfxdata="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Lz5ZO3QAAAAsBAAAP&#10;AAAAAAAAAAEAIAAAACIAAABkcnMvZG93bnJldi54bWxQSwECFAAUAAAACACHTuJAaYy1Y9oBAACl&#10;AwAADgAAAAAAAAABACAAAAAsAQAAZHJzL2Uyb0RvYy54bWxQSwUGAAAAAAYABgBZAQAAeAUAAAAA&#10;">
                <v:fill on="f" focussize="0,0"/>
                <v:stroke on="f"/>
                <v:imagedata o:title=""/>
                <o:lock v:ext="edit" aspectratio="f"/>
                <v:textbox>
                  <w:txbxContent>
                    <w:p w14:paraId="3F2DD7AC">
                      <w:pPr>
                        <w:jc w:val="center"/>
                        <w:rPr>
                          <w:rFonts w:hint="default" w:eastAsia="宋体"/>
                          <w:b/>
                          <w:bCs/>
                          <w:sz w:val="24"/>
                          <w:szCs w:val="32"/>
                          <w:lang w:val="en-US" w:eastAsia="zh-CN"/>
                        </w:rPr>
                      </w:pPr>
                      <w:r>
                        <w:rPr>
                          <w:rFonts w:hint="eastAsia"/>
                          <w:b/>
                          <w:bCs/>
                          <w:sz w:val="24"/>
                          <w:szCs w:val="32"/>
                          <w:lang w:val="en-US" w:eastAsia="zh-CN"/>
                        </w:rPr>
                        <w:t>成品仓库区</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1852930</wp:posOffset>
                </wp:positionH>
                <wp:positionV relativeFrom="paragraph">
                  <wp:posOffset>2807970</wp:posOffset>
                </wp:positionV>
                <wp:extent cx="2186940" cy="429260"/>
                <wp:effectExtent l="0" t="0" r="3810" b="8890"/>
                <wp:wrapNone/>
                <wp:docPr id="1177" name="文本框 159"/>
                <wp:cNvGraphicFramePr/>
                <a:graphic xmlns:a="http://schemas.openxmlformats.org/drawingml/2006/main">
                  <a:graphicData uri="http://schemas.microsoft.com/office/word/2010/wordprocessingShape">
                    <wps:wsp>
                      <wps:cNvSpPr/>
                      <wps:spPr>
                        <a:xfrm>
                          <a:off x="0" y="0"/>
                          <a:ext cx="2186939" cy="429260"/>
                        </a:xfrm>
                        <a:prstGeom prst="rect">
                          <a:avLst/>
                        </a:prstGeom>
                        <a:ln>
                          <a:noFill/>
                        </a:ln>
                      </wps:spPr>
                      <wps:txbx>
                        <w:txbxContent>
                          <w:p w14:paraId="17456A93">
                            <w:pPr>
                              <w:jc w:val="center"/>
                              <w:rPr>
                                <w:rFonts w:hint="default" w:eastAsia="宋体"/>
                                <w:b/>
                                <w:bCs/>
                                <w:sz w:val="24"/>
                                <w:szCs w:val="32"/>
                                <w:lang w:val="en-US" w:eastAsia="zh-CN"/>
                              </w:rPr>
                            </w:pPr>
                            <w:r>
                              <w:rPr>
                                <w:rFonts w:hint="eastAsia"/>
                                <w:b/>
                                <w:bCs/>
                                <w:sz w:val="24"/>
                                <w:szCs w:val="32"/>
                                <w:lang w:val="en-US" w:eastAsia="zh-CN"/>
                              </w:rPr>
                              <w:t>物料仓库区</w:t>
                            </w:r>
                          </w:p>
                        </w:txbxContent>
                      </wps:txbx>
                      <wps:bodyPr vert="horz" wrap="square" lIns="91440" tIns="45720" rIns="91440" bIns="45720" anchor="t">
                        <a:noAutofit/>
                      </wps:bodyPr>
                    </wps:wsp>
                  </a:graphicData>
                </a:graphic>
              </wp:anchor>
            </w:drawing>
          </mc:Choice>
          <mc:Fallback>
            <w:pict>
              <v:rect id="文本框 159" o:spid="_x0000_s1026" o:spt="1" style="position:absolute;left:0pt;margin-left:145.9pt;margin-top:221.1pt;height:33.8pt;width:172.2pt;z-index:251660288;mso-width-relative:page;mso-height-relative:page;" filled="f" stroked="f" coordsize="21600,21600" o:gfxdata="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HaJi1fcAAAACwEA&#10;AA8AAAAAAAAAAQAgAAAAIgAAAGRycy9kb3ducmV2LnhtbFBLAQIUABQAAAAIAIdO4kDaEXmd3QEA&#10;AKUDAAAOAAAAAAAAAAEAIAAAACsBAABkcnMvZTJvRG9jLnhtbFBLBQYAAAAABgAGAFkBAAB6BQAA&#10;AAA=&#10;">
                <v:fill on="f" focussize="0,0"/>
                <v:stroke on="f"/>
                <v:imagedata o:title=""/>
                <o:lock v:ext="edit" aspectratio="f"/>
                <v:textbox>
                  <w:txbxContent>
                    <w:p w14:paraId="17456A93">
                      <w:pPr>
                        <w:jc w:val="center"/>
                        <w:rPr>
                          <w:rFonts w:hint="default" w:eastAsia="宋体"/>
                          <w:b/>
                          <w:bCs/>
                          <w:sz w:val="24"/>
                          <w:szCs w:val="32"/>
                          <w:lang w:val="en-US" w:eastAsia="zh-CN"/>
                        </w:rPr>
                      </w:pPr>
                      <w:r>
                        <w:rPr>
                          <w:rFonts w:hint="eastAsia"/>
                          <w:b/>
                          <w:bCs/>
                          <w:sz w:val="24"/>
                          <w:szCs w:val="32"/>
                          <w:lang w:val="en-US" w:eastAsia="zh-CN"/>
                        </w:rPr>
                        <w:t>物料仓库区</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2051050</wp:posOffset>
                </wp:positionH>
                <wp:positionV relativeFrom="paragraph">
                  <wp:posOffset>4887595</wp:posOffset>
                </wp:positionV>
                <wp:extent cx="2424430" cy="548005"/>
                <wp:effectExtent l="0" t="0" r="13970" b="4445"/>
                <wp:wrapNone/>
                <wp:docPr id="1178" name="文本框 158"/>
                <wp:cNvGraphicFramePr/>
                <a:graphic xmlns:a="http://schemas.openxmlformats.org/drawingml/2006/main">
                  <a:graphicData uri="http://schemas.microsoft.com/office/word/2010/wordprocessingShape">
                    <wps:wsp>
                      <wps:cNvSpPr/>
                      <wps:spPr>
                        <a:xfrm>
                          <a:off x="0" y="0"/>
                          <a:ext cx="2424430" cy="548004"/>
                        </a:xfrm>
                        <a:prstGeom prst="rect">
                          <a:avLst/>
                        </a:prstGeom>
                        <a:solidFill>
                          <a:srgbClr val="FFFFFF"/>
                        </a:solidFill>
                        <a:ln>
                          <a:noFill/>
                        </a:ln>
                      </wps:spPr>
                      <wps:txbx>
                        <w:txbxContent>
                          <w:p w14:paraId="15BF7369">
                            <w:pPr>
                              <w:jc w:val="center"/>
                              <w:rPr>
                                <w:rFonts w:hint="default" w:eastAsia="宋体"/>
                                <w:b/>
                                <w:bCs/>
                                <w:sz w:val="32"/>
                                <w:szCs w:val="40"/>
                                <w:lang w:val="en-US" w:eastAsia="zh-CN"/>
                              </w:rPr>
                            </w:pPr>
                            <w:r>
                              <w:rPr>
                                <w:rFonts w:hint="eastAsia"/>
                                <w:b/>
                                <w:bCs/>
                                <w:sz w:val="32"/>
                                <w:szCs w:val="40"/>
                                <w:lang w:val="en-US" w:eastAsia="zh-CN"/>
                              </w:rPr>
                              <w:t>一楼设计图纸</w:t>
                            </w:r>
                          </w:p>
                        </w:txbxContent>
                      </wps:txbx>
                      <wps:bodyPr vert="horz" wrap="square" lIns="91440" tIns="45720" rIns="91440" bIns="45720" anchor="t">
                        <a:noAutofit/>
                      </wps:bodyPr>
                    </wps:wsp>
                  </a:graphicData>
                </a:graphic>
              </wp:anchor>
            </w:drawing>
          </mc:Choice>
          <mc:Fallback>
            <w:pict>
              <v:rect id="文本框 158" o:spid="_x0000_s1026" o:spt="1" style="position:absolute;left:0pt;margin-left:161.5pt;margin-top:384.85pt;height:43.15pt;width:190.9pt;z-index:251660288;mso-width-relative:page;mso-height-relative:page;" fillcolor="#FFFFFF" filled="t" stroked="f" coordsize="21600,21600" o:gfxdata="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Iys/2dkAAAALAQAADwAAAAAAAAABACAAAAAiAAAAZHJzL2Rvd25yZXYueG1sUEsBAhQA&#10;FAAAAAgAh07iQMw4BFPxAQAA2QMAAA4AAAAAAAAAAQAgAAAAKAEAAGRycy9lMm9Eb2MueG1sUEsF&#10;BgAAAAAGAAYAWQEAAIsFAAAAAA==&#10;">
                <v:fill on="t" focussize="0,0"/>
                <v:stroke on="f"/>
                <v:imagedata o:title=""/>
                <o:lock v:ext="edit" aspectratio="f"/>
                <v:textbox>
                  <w:txbxContent>
                    <w:p w14:paraId="15BF7369">
                      <w:pPr>
                        <w:jc w:val="center"/>
                        <w:rPr>
                          <w:rFonts w:hint="default" w:eastAsia="宋体"/>
                          <w:b/>
                          <w:bCs/>
                          <w:sz w:val="32"/>
                          <w:szCs w:val="40"/>
                          <w:lang w:val="en-US" w:eastAsia="zh-CN"/>
                        </w:rPr>
                      </w:pPr>
                      <w:r>
                        <w:rPr>
                          <w:rFonts w:hint="eastAsia"/>
                          <w:b/>
                          <w:bCs/>
                          <w:sz w:val="32"/>
                          <w:szCs w:val="40"/>
                          <w:lang w:val="en-US" w:eastAsia="zh-CN"/>
                        </w:rPr>
                        <w:t>一楼设计图纸</w:t>
                      </w:r>
                    </w:p>
                  </w:txbxContent>
                </v:textbox>
              </v:rect>
            </w:pict>
          </mc:Fallback>
        </mc:AlternateContent>
      </w:r>
    </w:p>
    <w:p w14:paraId="0889CD97">
      <w:pPr>
        <w:jc w:val="center"/>
        <w:rPr>
          <w:rFonts w:hint="default" w:ascii="Times New Roman" w:hAnsi="Times New Roman" w:eastAsia="宋体" w:cs="Times New Roman"/>
          <w:b/>
          <w:bCs/>
          <w:color w:val="auto"/>
          <w:lang w:val="en-US" w:eastAsia="zh-CN"/>
        </w:rPr>
        <w:sectPr>
          <w:pgSz w:w="16838" w:h="11906" w:orient="landscape"/>
          <w:pgMar w:top="1531" w:right="1701" w:bottom="1531" w:left="1701" w:header="851" w:footer="851" w:gutter="0"/>
          <w:pgNumType w:fmt="decimal"/>
          <w:cols w:space="720" w:num="1"/>
          <w:docGrid w:linePitch="312" w:charSpace="0"/>
        </w:sectPr>
      </w:pPr>
      <w:r>
        <w:rPr>
          <w:rFonts w:hint="default" w:ascii="Times New Roman" w:hAnsi="Times New Roman" w:eastAsia="宋体" w:cs="Times New Roman"/>
          <w:color w:val="auto"/>
          <w:sz w:val="21"/>
        </w:rPr>
        <mc:AlternateContent>
          <mc:Choice Requires="wpg">
            <w:drawing>
              <wp:anchor distT="0" distB="0" distL="0" distR="0" simplePos="0" relativeHeight="251660288" behindDoc="0" locked="0" layoutInCell="1" allowOverlap="1">
                <wp:simplePos x="0" y="0"/>
                <wp:positionH relativeFrom="column">
                  <wp:posOffset>2651125</wp:posOffset>
                </wp:positionH>
                <wp:positionV relativeFrom="paragraph">
                  <wp:posOffset>1061720</wp:posOffset>
                </wp:positionV>
                <wp:extent cx="2250440" cy="1226820"/>
                <wp:effectExtent l="12700" t="12700" r="22860" b="17780"/>
                <wp:wrapNone/>
                <wp:docPr id="1179" name="组合 172"/>
                <wp:cNvGraphicFramePr/>
                <a:graphic xmlns:a="http://schemas.openxmlformats.org/drawingml/2006/main">
                  <a:graphicData uri="http://schemas.microsoft.com/office/word/2010/wordprocessingGroup">
                    <wpg:wgp>
                      <wpg:cNvGrpSpPr/>
                      <wpg:grpSpPr>
                        <a:xfrm rot="0">
                          <a:off x="0" y="0"/>
                          <a:ext cx="2250440" cy="1226820"/>
                          <a:chOff x="6159" y="1304448"/>
                          <a:chExt cx="3544" cy="1932"/>
                        </a:xfrm>
                      </wpg:grpSpPr>
                      <wps:wsp>
                        <wps:cNvPr id="65" name="矩形 65"/>
                        <wps:cNvSpPr/>
                        <wps:spPr>
                          <a:xfrm>
                            <a:off x="6159" y="1304448"/>
                            <a:ext cx="450" cy="1932"/>
                          </a:xfrm>
                          <a:prstGeom prst="rect">
                            <a:avLst/>
                          </a:prstGeom>
                          <a:ln w="25400" cap="flat" cmpd="sng">
                            <a:solidFill>
                              <a:srgbClr val="FF0000"/>
                            </a:solidFill>
                            <a:prstDash val="solid"/>
                            <a:round/>
                          </a:ln>
                        </wps:spPr>
                        <wps:bodyPr/>
                      </wps:wsp>
                      <wps:wsp>
                        <wps:cNvPr id="66" name="矩形 66"/>
                        <wps:cNvSpPr/>
                        <wps:spPr>
                          <a:xfrm>
                            <a:off x="9253" y="1304448"/>
                            <a:ext cx="450" cy="1932"/>
                          </a:xfrm>
                          <a:prstGeom prst="rect">
                            <a:avLst/>
                          </a:prstGeom>
                          <a:ln w="25400" cap="flat" cmpd="sng">
                            <a:solidFill>
                              <a:srgbClr val="FF0000"/>
                            </a:solidFill>
                            <a:prstDash val="solid"/>
                            <a:round/>
                          </a:ln>
                        </wps:spPr>
                        <wps:bodyPr/>
                      </wps:wsp>
                      <wps:wsp>
                        <wps:cNvPr id="67" name="矩形 67"/>
                        <wps:cNvSpPr/>
                        <wps:spPr>
                          <a:xfrm>
                            <a:off x="7303" y="1304831"/>
                            <a:ext cx="1653" cy="565"/>
                          </a:xfrm>
                          <a:prstGeom prst="rect">
                            <a:avLst/>
                          </a:prstGeom>
                          <a:ln w="6350" cap="flat" cmpd="sng">
                            <a:solidFill>
                              <a:srgbClr val="000000"/>
                            </a:solidFill>
                            <a:prstDash val="solid"/>
                            <a:round/>
                          </a:ln>
                        </wps:spPr>
                        <wps:txbx>
                          <w:txbxContent>
                            <w:p w14:paraId="7AC59CB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eastAsia="宋体"/>
                                  <w:color w:val="FFFFFF"/>
                                  <w:sz w:val="28"/>
                                  <w:szCs w:val="36"/>
                                  <w:lang w:val="en-US" w:eastAsia="zh-CN"/>
                                </w:rPr>
                              </w:pPr>
                              <w:r>
                                <w:rPr>
                                  <w:rFonts w:hint="eastAsia"/>
                                  <w:color w:val="FFFFFF"/>
                                  <w:sz w:val="28"/>
                                  <w:szCs w:val="36"/>
                                  <w:lang w:val="en-US" w:eastAsia="zh-CN"/>
                                </w:rPr>
                                <w:t>集气罩</w:t>
                              </w:r>
                            </w:p>
                          </w:txbxContent>
                        </wps:txbx>
                        <wps:bodyPr vert="horz" wrap="square" lIns="91440" tIns="45720" rIns="91440" bIns="45720" anchor="t">
                          <a:noAutofit/>
                        </wps:bodyPr>
                      </wps:wsp>
                      <wps:wsp>
                        <wps:cNvPr id="68" name="直接箭头连接符 68"/>
                        <wps:cNvCnPr/>
                        <wps:spPr>
                          <a:xfrm flipH="1">
                            <a:off x="6678" y="1305114"/>
                            <a:ext cx="625" cy="17"/>
                          </a:xfrm>
                          <a:prstGeom prst="straightConnector1">
                            <a:avLst/>
                          </a:prstGeom>
                          <a:ln w="9525" cap="flat" cmpd="sng">
                            <a:solidFill>
                              <a:srgbClr val="FFFFFF"/>
                            </a:solidFill>
                            <a:prstDash val="solid"/>
                            <a:round/>
                            <a:tailEnd type="arrow" w="med" len="med"/>
                          </a:ln>
                        </wps:spPr>
                        <wps:bodyPr/>
                      </wps:wsp>
                      <wps:wsp>
                        <wps:cNvPr id="69" name="直接箭头连接符 69"/>
                        <wps:cNvCnPr/>
                        <wps:spPr>
                          <a:xfrm flipV="1">
                            <a:off x="8956" y="1305112"/>
                            <a:ext cx="288" cy="2"/>
                          </a:xfrm>
                          <a:prstGeom prst="straightConnector1">
                            <a:avLst/>
                          </a:prstGeom>
                          <a:ln w="9525" cap="flat" cmpd="sng">
                            <a:solidFill>
                              <a:srgbClr val="FFFFFF"/>
                            </a:solidFill>
                            <a:prstDash val="solid"/>
                            <a:round/>
                            <a:tailEnd type="arrow" w="med" len="med"/>
                          </a:ln>
                        </wps:spPr>
                        <wps:bodyPr/>
                      </wps:wsp>
                    </wpg:wgp>
                  </a:graphicData>
                </a:graphic>
              </wp:anchor>
            </w:drawing>
          </mc:Choice>
          <mc:Fallback>
            <w:pict>
              <v:group id="组合 172" o:spid="_x0000_s1026" o:spt="203" style="position:absolute;left:0pt;margin-left:208.75pt;margin-top:83.6pt;height:96.6pt;width:177.2pt;z-index:251660288;mso-width-relative:page;mso-height-relative:page;" coordorigin="6159,1304448" coordsize="3544,1932" o:gfxdata="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">
                <o:lock v:ext="edit" aspectratio="f"/>
                <v:rect id="_x0000_s1026" o:spid="_x0000_s1026" o:spt="1" style="position:absolute;left:6159;top:1304448;height:1932;width:450;" filled="f" stroked="t" coordsize="21600,21600" o:gfxdata="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uN/Du8AAAA&#10;2wAAAA8AAAAAAAAAAQAgAAAAIgAAAGRycy9kb3ducmV2LnhtbFBLAQIUABQAAAAIAIdO4kAzLwWe&#10;OwAAADkAAAAQAAAAAAAAAAEAIAAAAAsBAABkcnMvc2hhcGV4bWwueG1sUEsFBgAAAAAGAAYAWwEA&#10;ALUDAAAAAA==&#10;">
                  <v:fill on="f" focussize="0,0"/>
                  <v:stroke weight="2pt" color="#FF0000" joinstyle="round"/>
                  <v:imagedata o:title=""/>
                  <o:lock v:ext="edit" aspectratio="f"/>
                </v:rect>
                <v:rect id="_x0000_s1026" o:spid="_x0000_s1026" o:spt="1" style="position:absolute;left:9253;top:1304448;height:1932;width:450;" filled="f" stroked="t" coordsize="21600,21600" o:gfxdata="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19iTL4A&#10;AADbAAAADwAAAAAAAAABACAAAAAiAAAAZHJzL2Rvd25yZXYueG1sUEsBAhQAFAAAAAgAh07iQDMv&#10;BZ47AAAAOQAAABAAAAAAAAAAAQAgAAAADQEAAGRycy9zaGFwZXhtbC54bWxQSwUGAAAAAAYABgBb&#10;AQAAtwMAAAAA&#10;">
                  <v:fill on="f" focussize="0,0"/>
                  <v:stroke weight="2pt" color="#FF0000" joinstyle="round"/>
                  <v:imagedata o:title=""/>
                  <o:lock v:ext="edit" aspectratio="f"/>
                </v:rect>
                <v:rect id="_x0000_s1026" o:spid="_x0000_s1026" o:spt="1" style="position:absolute;left:7303;top:1304831;height:565;width:1653;" filled="f" stroked="t" coordsize="21600,21600" o:gfxdata="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y8vkugAAANs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textbox>
                    <w:txbxContent>
                      <w:p w14:paraId="7AC59CB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eastAsia="宋体"/>
                            <w:color w:val="FFFFFF"/>
                            <w:sz w:val="28"/>
                            <w:szCs w:val="36"/>
                            <w:lang w:val="en-US" w:eastAsia="zh-CN"/>
                          </w:rPr>
                        </w:pPr>
                        <w:r>
                          <w:rPr>
                            <w:rFonts w:hint="eastAsia"/>
                            <w:color w:val="FFFFFF"/>
                            <w:sz w:val="28"/>
                            <w:szCs w:val="36"/>
                            <w:lang w:val="en-US" w:eastAsia="zh-CN"/>
                          </w:rPr>
                          <w:t>集气罩</w:t>
                        </w:r>
                      </w:p>
                    </w:txbxContent>
                  </v:textbox>
                </v:rect>
                <v:shape id="_x0000_s1026" o:spid="_x0000_s1026" o:spt="32" type="#_x0000_t32" style="position:absolute;left:6678;top:1305114;flip:x;height:17;width:625;" filled="f" stroked="t" coordsize="21600,21600" o:gfxdata="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ie8Oq5AAAA2wAA&#10;AA8AAAAAAAAAAQAgAAAAIgAAAGRycy9kb3ducmV2LnhtbFBLAQIUABQAAAAIAIdO4kAzLwWeOwAA&#10;ADkAAAAQAAAAAAAAAAEAIAAAAAgBAABkcnMvc2hhcGV4bWwueG1sUEsFBgAAAAAGAAYAWwEAALID&#10;AAAAAA==&#10;">
                  <v:fill on="f" focussize="0,0"/>
                  <v:stroke color="#FFFFFF" joinstyle="round" endarrow="open"/>
                  <v:imagedata o:title=""/>
                  <o:lock v:ext="edit" aspectratio="f"/>
                </v:shape>
                <v:shape id="_x0000_s1026" o:spid="_x0000_s1026" o:spt="32" type="#_x0000_t32" style="position:absolute;left:8956;top:1305112;flip:y;height:2;width:288;" filled="f" stroked="t" coordsize="21600,21600" o:gfxdata="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9JVcbsAAADb&#10;AAAADwAAAAAAAAABACAAAAAiAAAAZHJzL2Rvd25yZXYueG1sUEsBAhQAFAAAAAgAh07iQDMvBZ47&#10;AAAAOQAAABAAAAAAAAAAAQAgAAAACgEAAGRycy9zaGFwZXhtbC54bWxQSwUGAAAAAAYABgBbAQAA&#10;tAMAAAAA&#10;">
                  <v:fill on="f" focussize="0,0"/>
                  <v:stroke color="#FFFFFF" joinstyle="round" endarrow="open"/>
                  <v:imagedata o:title=""/>
                  <o:lock v:ext="edit" aspectratio="f"/>
                </v:shape>
              </v:group>
            </w:pict>
          </mc:Fallback>
        </mc:AlternateContent>
      </w:r>
      <w:r>
        <w:rPr>
          <w:rFonts w:hint="default" w:ascii="Times New Roman" w:hAnsi="Times New Roman" w:eastAsia="宋体" w:cs="Times New Roman"/>
          <w:b/>
          <w:bCs/>
          <w:color w:val="auto"/>
          <w:lang w:val="en-US" w:eastAsia="zh-CN"/>
        </w:rPr>
        <w:drawing>
          <wp:inline distT="0" distB="0" distL="0" distR="0">
            <wp:extent cx="8519160" cy="4244340"/>
            <wp:effectExtent l="0" t="0" r="15240" b="3810"/>
            <wp:docPr id="1185" name="图片 155" descr="f6240df8b92bcdaa2b1a38dd176ba98"/>
            <wp:cNvGraphicFramePr/>
            <a:graphic xmlns:a="http://schemas.openxmlformats.org/drawingml/2006/main">
              <a:graphicData uri="http://schemas.openxmlformats.org/drawingml/2006/picture">
                <pic:pic xmlns:pic="http://schemas.openxmlformats.org/drawingml/2006/picture">
                  <pic:nvPicPr>
                    <pic:cNvPr id="1185" name="图片 155" descr="f6240df8b92bcdaa2b1a38dd176ba98"/>
                    <pic:cNvPicPr/>
                  </pic:nvPicPr>
                  <pic:blipFill>
                    <a:blip r:embed="rId80" cstate="print"/>
                    <a:srcRect/>
                    <a:stretch>
                      <a:fillRect/>
                    </a:stretch>
                  </pic:blipFill>
                  <pic:spPr>
                    <a:xfrm>
                      <a:off x="0" y="0"/>
                      <a:ext cx="8519160" cy="4244340"/>
                    </a:xfrm>
                    <a:prstGeom prst="rect">
                      <a:avLst/>
                    </a:prstGeom>
                  </pic:spPr>
                </pic:pic>
              </a:graphicData>
            </a:graphic>
          </wp:inline>
        </w:drawing>
      </w:r>
      <w:r>
        <w:rPr>
          <w:rFonts w:hint="default" w:ascii="Times New Roman" w:hAnsi="Times New Roman" w:eastAsia="宋体" w:cs="Times New Roman"/>
          <w:color w:val="auto"/>
          <w:sz w:val="21"/>
        </w:rPr>
        <mc:AlternateContent>
          <mc:Choice Requires="wpg">
            <w:drawing>
              <wp:anchor distT="0" distB="0" distL="0" distR="0" simplePos="0" relativeHeight="251660288" behindDoc="0" locked="0" layoutInCell="1" allowOverlap="1">
                <wp:simplePos x="0" y="0"/>
                <wp:positionH relativeFrom="column">
                  <wp:posOffset>3098165</wp:posOffset>
                </wp:positionH>
                <wp:positionV relativeFrom="paragraph">
                  <wp:posOffset>932180</wp:posOffset>
                </wp:positionV>
                <wp:extent cx="782320" cy="1607185"/>
                <wp:effectExtent l="6985" t="4445" r="10795" b="26669"/>
                <wp:wrapNone/>
                <wp:docPr id="1186" name="组合 178"/>
                <wp:cNvGraphicFramePr/>
                <a:graphic xmlns:a="http://schemas.openxmlformats.org/drawingml/2006/main">
                  <a:graphicData uri="http://schemas.microsoft.com/office/word/2010/wordprocessingGroup">
                    <wpg:wgp>
                      <wpg:cNvGrpSpPr/>
                      <wpg:grpSpPr>
                        <a:xfrm rot="0">
                          <a:off x="0" y="0"/>
                          <a:ext cx="782320" cy="1607185"/>
                          <a:chOff x="6150" y="1303850"/>
                          <a:chExt cx="1232" cy="2531"/>
                        </a:xfrm>
                      </wpg:grpSpPr>
                      <wps:wsp>
                        <wps:cNvPr id="70" name="矩形 70"/>
                        <wps:cNvSpPr/>
                        <wps:spPr>
                          <a:xfrm>
                            <a:off x="6159" y="1304448"/>
                            <a:ext cx="450" cy="1932"/>
                          </a:xfrm>
                          <a:prstGeom prst="rect">
                            <a:avLst/>
                          </a:prstGeom>
                          <a:ln w="25400" cap="flat" cmpd="sng">
                            <a:solidFill>
                              <a:srgbClr val="FF0000"/>
                            </a:solidFill>
                            <a:prstDash val="solid"/>
                            <a:round/>
                          </a:ln>
                        </wps:spPr>
                        <wps:bodyPr/>
                      </wps:wsp>
                      <wps:wsp>
                        <wps:cNvPr id="71" name="矩形 71"/>
                        <wps:cNvSpPr/>
                        <wps:spPr>
                          <a:xfrm>
                            <a:off x="6911" y="1304449"/>
                            <a:ext cx="450" cy="1932"/>
                          </a:xfrm>
                          <a:prstGeom prst="rect">
                            <a:avLst/>
                          </a:prstGeom>
                          <a:ln w="25400" cap="flat" cmpd="sng">
                            <a:solidFill>
                              <a:srgbClr val="FF0000"/>
                            </a:solidFill>
                            <a:prstDash val="solid"/>
                            <a:round/>
                          </a:ln>
                        </wps:spPr>
                        <wps:bodyPr/>
                      </wps:wsp>
                      <wps:wsp>
                        <wps:cNvPr id="72" name="矩形 72"/>
                        <wps:cNvSpPr/>
                        <wps:spPr>
                          <a:xfrm>
                            <a:off x="6150" y="1303850"/>
                            <a:ext cx="1232" cy="565"/>
                          </a:xfrm>
                          <a:prstGeom prst="rect">
                            <a:avLst/>
                          </a:prstGeom>
                          <a:ln w="6350" cap="flat" cmpd="sng">
                            <a:solidFill>
                              <a:srgbClr val="000000"/>
                            </a:solidFill>
                            <a:prstDash val="solid"/>
                            <a:round/>
                          </a:ln>
                        </wps:spPr>
                        <wps:txbx>
                          <w:txbxContent>
                            <w:p w14:paraId="4E04050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eastAsia="宋体"/>
                                  <w:color w:val="FFFFFF"/>
                                  <w:sz w:val="28"/>
                                  <w:szCs w:val="36"/>
                                  <w:lang w:val="en-US" w:eastAsia="zh-CN"/>
                                </w:rPr>
                              </w:pPr>
                              <w:r>
                                <w:rPr>
                                  <w:rFonts w:hint="eastAsia"/>
                                  <w:color w:val="FFFFFF"/>
                                  <w:sz w:val="28"/>
                                  <w:szCs w:val="36"/>
                                  <w:lang w:val="en-US" w:eastAsia="zh-CN"/>
                                </w:rPr>
                                <w:t>集气罩</w:t>
                              </w:r>
                            </w:p>
                          </w:txbxContent>
                        </wps:txbx>
                        <wps:bodyPr vert="horz" wrap="square" lIns="91440" tIns="45720" rIns="91440" bIns="45720" anchor="t">
                          <a:noAutofit/>
                        </wps:bodyPr>
                      </wps:wsp>
                    </wpg:wgp>
                  </a:graphicData>
                </a:graphic>
              </wp:anchor>
            </w:drawing>
          </mc:Choice>
          <mc:Fallback>
            <w:pict>
              <v:group id="组合 178" o:spid="_x0000_s1026" o:spt="203" style="position:absolute;left:0pt;margin-left:243.95pt;margin-top:73.4pt;height:126.55pt;width:61.6pt;z-index:251660288;mso-width-relative:page;mso-height-relative:page;" coordorigin="6150,1303850" coordsize="1232,2531" o:gfxdata="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&#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">
                <o:lock v:ext="edit" aspectratio="f"/>
                <v:rect id="_x0000_s1026" o:spid="_x0000_s1026" o:spt="1" style="position:absolute;left:6159;top:1304448;height:1932;width:450;" filled="f" stroked="t" coordsize="21600,21600" o:gfxdata="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iPJfrsAAADb&#10;AAAADwAAAAAAAAABACAAAAAiAAAAZHJzL2Rvd25yZXYueG1sUEsBAhQAFAAAAAgAh07iQDMvBZ47&#10;AAAAOQAAABAAAAAAAAAAAQAgAAAACgEAAGRycy9zaGFwZXhtbC54bWxQSwUGAAAAAAYABgBbAQAA&#10;tAMAAAAA&#10;">
                  <v:fill on="f" focussize="0,0"/>
                  <v:stroke weight="2pt" color="#FF0000" joinstyle="round"/>
                  <v:imagedata o:title=""/>
                  <o:lock v:ext="edit" aspectratio="f"/>
                </v:rect>
                <v:rect id="_x0000_s1026" o:spid="_x0000_s1026" o:spt="1" style="position:absolute;left:6911;top:1304449;height:1932;width:450;" filled="f" stroked="t" coordsize="21600,21600" o:gfxdata="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b2zlvQAA&#10;ANsAAAAPAAAAAAAAAAEAIAAAACIAAABkcnMvZG93bnJldi54bWxQSwECFAAUAAAACACHTuJAMy8F&#10;njsAAAA5AAAAEAAAAAAAAAABACAAAAAMAQAAZHJzL3NoYXBleG1sLnhtbFBLBQYAAAAABgAGAFsB&#10;AAC2AwAAAAA=&#10;">
                  <v:fill on="f" focussize="0,0"/>
                  <v:stroke weight="2pt" color="#FF0000" joinstyle="round"/>
                  <v:imagedata o:title=""/>
                  <o:lock v:ext="edit" aspectratio="f"/>
                </v:rect>
                <v:rect id="_x0000_s1026" o:spid="_x0000_s1026" o:spt="1" style="position:absolute;left:6150;top:1303850;height:565;width:1232;" filled="f" stroked="t" coordsize="21600,21600" o:gfxdata="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2X+obsAAADb&#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textbox>
                    <w:txbxContent>
                      <w:p w14:paraId="4E04050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eastAsia="宋体"/>
                            <w:color w:val="FFFFFF"/>
                            <w:sz w:val="28"/>
                            <w:szCs w:val="36"/>
                            <w:lang w:val="en-US" w:eastAsia="zh-CN"/>
                          </w:rPr>
                        </w:pPr>
                        <w:r>
                          <w:rPr>
                            <w:rFonts w:hint="eastAsia"/>
                            <w:color w:val="FFFFFF"/>
                            <w:sz w:val="28"/>
                            <w:szCs w:val="36"/>
                            <w:lang w:val="en-US" w:eastAsia="zh-CN"/>
                          </w:rPr>
                          <w:t>集气罩</w:t>
                        </w:r>
                      </w:p>
                    </w:txbxContent>
                  </v:textbox>
                </v:rect>
              </v:group>
            </w:pict>
          </mc:Fallback>
        </mc:AlternateContent>
      </w:r>
      <w:r>
        <w:rPr>
          <w:rFonts w:hint="default" w:ascii="Times New Roman" w:hAnsi="Times New Roman" w:eastAsia="宋体" w:cs="Times New Roman"/>
          <w:color w:val="auto"/>
        </w:rPr>
        <w:drawing>
          <wp:inline distT="0" distB="0" distL="0" distR="0">
            <wp:extent cx="8260715" cy="4257040"/>
            <wp:effectExtent l="0" t="0" r="6985" b="10160"/>
            <wp:docPr id="1190" name="图片 11"/>
            <wp:cNvGraphicFramePr/>
            <a:graphic xmlns:a="http://schemas.openxmlformats.org/drawingml/2006/main">
              <a:graphicData uri="http://schemas.openxmlformats.org/drawingml/2006/picture">
                <pic:pic xmlns:pic="http://schemas.openxmlformats.org/drawingml/2006/picture">
                  <pic:nvPicPr>
                    <pic:cNvPr id="1190" name="图片 11"/>
                    <pic:cNvPicPr/>
                  </pic:nvPicPr>
                  <pic:blipFill>
                    <a:blip r:embed="rId81" cstate="print"/>
                    <a:srcRect/>
                    <a:stretch>
                      <a:fillRect/>
                    </a:stretch>
                  </pic:blipFill>
                  <pic:spPr>
                    <a:xfrm>
                      <a:off x="0" y="0"/>
                      <a:ext cx="8260715" cy="4257040"/>
                    </a:xfrm>
                    <a:prstGeom prst="rect">
                      <a:avLst/>
                    </a:prstGeom>
                    <a:ln>
                      <a:noFill/>
                    </a:ln>
                  </pic:spPr>
                </pic:pic>
              </a:graphicData>
            </a:graphic>
          </wp:inline>
        </w:drawing>
      </w:r>
    </w:p>
    <w:p w14:paraId="39075C12">
      <w:pPr>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color w:val="auto"/>
          <w:sz w:val="21"/>
        </w:rPr>
        <mc:AlternateContent>
          <mc:Choice Requires="wpg">
            <w:drawing>
              <wp:anchor distT="0" distB="0" distL="0" distR="0" simplePos="0" relativeHeight="251660288" behindDoc="0" locked="0" layoutInCell="1" allowOverlap="1">
                <wp:simplePos x="0" y="0"/>
                <wp:positionH relativeFrom="column">
                  <wp:posOffset>2957830</wp:posOffset>
                </wp:positionH>
                <wp:positionV relativeFrom="paragraph">
                  <wp:posOffset>1031240</wp:posOffset>
                </wp:positionV>
                <wp:extent cx="782320" cy="1607185"/>
                <wp:effectExtent l="6985" t="4445" r="10795" b="26669"/>
                <wp:wrapNone/>
                <wp:docPr id="1191" name="组合 184"/>
                <wp:cNvGraphicFramePr/>
                <a:graphic xmlns:a="http://schemas.openxmlformats.org/drawingml/2006/main">
                  <a:graphicData uri="http://schemas.microsoft.com/office/word/2010/wordprocessingGroup">
                    <wpg:wgp>
                      <wpg:cNvGrpSpPr/>
                      <wpg:grpSpPr>
                        <a:xfrm rot="0">
                          <a:off x="0" y="0"/>
                          <a:ext cx="782320" cy="1607184"/>
                          <a:chOff x="6150" y="1303850"/>
                          <a:chExt cx="1232" cy="2531"/>
                        </a:xfrm>
                      </wpg:grpSpPr>
                      <wps:wsp>
                        <wps:cNvPr id="73" name="矩形 73"/>
                        <wps:cNvSpPr/>
                        <wps:spPr>
                          <a:xfrm>
                            <a:off x="6159" y="1304448"/>
                            <a:ext cx="450" cy="1932"/>
                          </a:xfrm>
                          <a:prstGeom prst="rect">
                            <a:avLst/>
                          </a:prstGeom>
                          <a:ln w="25400" cap="flat" cmpd="sng">
                            <a:solidFill>
                              <a:srgbClr val="FF0000"/>
                            </a:solidFill>
                            <a:prstDash val="solid"/>
                            <a:round/>
                          </a:ln>
                        </wps:spPr>
                        <wps:bodyPr/>
                      </wps:wsp>
                      <wps:wsp>
                        <wps:cNvPr id="74" name="矩形 74"/>
                        <wps:cNvSpPr/>
                        <wps:spPr>
                          <a:xfrm>
                            <a:off x="6911" y="1304449"/>
                            <a:ext cx="450" cy="1932"/>
                          </a:xfrm>
                          <a:prstGeom prst="rect">
                            <a:avLst/>
                          </a:prstGeom>
                          <a:ln w="25400" cap="flat" cmpd="sng">
                            <a:solidFill>
                              <a:srgbClr val="FF0000"/>
                            </a:solidFill>
                            <a:prstDash val="solid"/>
                            <a:round/>
                          </a:ln>
                        </wps:spPr>
                        <wps:bodyPr/>
                      </wps:wsp>
                      <wps:wsp>
                        <wps:cNvPr id="75" name="矩形 75"/>
                        <wps:cNvSpPr/>
                        <wps:spPr>
                          <a:xfrm>
                            <a:off x="6150" y="1303850"/>
                            <a:ext cx="1232" cy="565"/>
                          </a:xfrm>
                          <a:prstGeom prst="rect">
                            <a:avLst/>
                          </a:prstGeom>
                          <a:ln w="6350" cap="flat" cmpd="sng">
                            <a:solidFill>
                              <a:srgbClr val="000000"/>
                            </a:solidFill>
                            <a:prstDash val="solid"/>
                            <a:round/>
                          </a:ln>
                        </wps:spPr>
                        <wps:txbx>
                          <w:txbxContent>
                            <w:p w14:paraId="1A65658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eastAsia="宋体"/>
                                  <w:color w:val="FFFFFF"/>
                                  <w:sz w:val="28"/>
                                  <w:szCs w:val="36"/>
                                  <w:lang w:val="en-US" w:eastAsia="zh-CN"/>
                                </w:rPr>
                              </w:pPr>
                              <w:r>
                                <w:rPr>
                                  <w:rFonts w:hint="eastAsia"/>
                                  <w:color w:val="FFFFFF"/>
                                  <w:sz w:val="28"/>
                                  <w:szCs w:val="36"/>
                                  <w:lang w:val="en-US" w:eastAsia="zh-CN"/>
                                </w:rPr>
                                <w:t>集气罩</w:t>
                              </w:r>
                            </w:p>
                          </w:txbxContent>
                        </wps:txbx>
                        <wps:bodyPr vert="horz" wrap="square" lIns="91440" tIns="45720" rIns="91440" bIns="45720" anchor="t">
                          <a:noAutofit/>
                        </wps:bodyPr>
                      </wps:wsp>
                    </wpg:wgp>
                  </a:graphicData>
                </a:graphic>
              </wp:anchor>
            </w:drawing>
          </mc:Choice>
          <mc:Fallback>
            <w:pict>
              <v:group id="组合 184" o:spid="_x0000_s1026" o:spt="203" style="position:absolute;left:0pt;margin-left:232.9pt;margin-top:81.2pt;height:126.55pt;width:61.6pt;z-index:251660288;mso-width-relative:page;mso-height-relative:page;" coordorigin="6150,1303850" coordsize="1232,2531" o:gfxdata="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">
                <o:lock v:ext="edit" aspectratio="f"/>
                <v:rect id="_x0000_s1026" o:spid="_x0000_s1026" o:spt="1" style="position:absolute;left:6159;top:1304448;height:1932;width:450;" filled="f" stroked="t" coordsize="21600,21600" o:gfxdata="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FXCb4A&#10;AADbAAAADwAAAAAAAAABACAAAAAiAAAAZHJzL2Rvd25yZXYueG1sUEsBAhQAFAAAAAgAh07iQDMv&#10;BZ47AAAAOQAAABAAAAAAAAAAAQAgAAAADQEAAGRycy9zaGFwZXhtbC54bWxQSwUGAAAAAAYABgBb&#10;AQAAtwMAAAAA&#10;">
                  <v:fill on="f" focussize="0,0"/>
                  <v:stroke weight="2pt" color="#FF0000" joinstyle="round"/>
                  <v:imagedata o:title=""/>
                  <o:lock v:ext="edit" aspectratio="f"/>
                </v:rect>
                <v:rect id="_x0000_s1026" o:spid="_x0000_s1026" o:spt="1" style="position:absolute;left:6911;top:1304449;height:1932;width:450;" filled="f" stroked="t" coordsize="21600,21600" o:gfxdata="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RjPfb4A&#10;AADbAAAADwAAAAAAAAABACAAAAAiAAAAZHJzL2Rvd25yZXYueG1sUEsBAhQAFAAAAAgAh07iQDMv&#10;BZ47AAAAOQAAABAAAAAAAAAAAQAgAAAADQEAAGRycy9zaGFwZXhtbC54bWxQSwUGAAAAAAYABgBb&#10;AQAAtwMAAAAA&#10;">
                  <v:fill on="f" focussize="0,0"/>
                  <v:stroke weight="2pt" color="#FF0000" joinstyle="round"/>
                  <v:imagedata o:title=""/>
                  <o:lock v:ext="edit" aspectratio="f"/>
                </v:rect>
                <v:rect id="_x0000_s1026" o:spid="_x0000_s1026" o:spt="1" style="position:absolute;left:6150;top:1303850;height:565;width:1232;" filled="f" stroked="t" coordsize="21600,21600" o:gfxdata="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Ixm1bsAAADb&#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textbox>
                    <w:txbxContent>
                      <w:p w14:paraId="1A65658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eastAsia="宋体"/>
                            <w:color w:val="FFFFFF"/>
                            <w:sz w:val="28"/>
                            <w:szCs w:val="36"/>
                            <w:lang w:val="en-US" w:eastAsia="zh-CN"/>
                          </w:rPr>
                        </w:pPr>
                        <w:r>
                          <w:rPr>
                            <w:rFonts w:hint="eastAsia"/>
                            <w:color w:val="FFFFFF"/>
                            <w:sz w:val="28"/>
                            <w:szCs w:val="36"/>
                            <w:lang w:val="en-US" w:eastAsia="zh-CN"/>
                          </w:rPr>
                          <w:t>集气罩</w:t>
                        </w:r>
                      </w:p>
                    </w:txbxContent>
                  </v:textbox>
                </v:rect>
              </v:group>
            </w:pict>
          </mc:Fallback>
        </mc:AlternateContent>
      </w:r>
      <w:r>
        <w:rPr>
          <w:rFonts w:hint="default" w:ascii="Times New Roman" w:hAnsi="Times New Roman" w:eastAsia="宋体" w:cs="Times New Roman"/>
          <w:b/>
          <w:bCs/>
          <w:color w:val="auto"/>
          <w:lang w:val="en-US" w:eastAsia="zh-CN"/>
        </w:rPr>
        <w:drawing>
          <wp:inline distT="0" distB="0" distL="0" distR="0">
            <wp:extent cx="8096250" cy="4019550"/>
            <wp:effectExtent l="0" t="0" r="0" b="0"/>
            <wp:docPr id="1195" name="图片 156" descr="c2ef9b16f9083e5527852beb3b2bd5a"/>
            <wp:cNvGraphicFramePr/>
            <a:graphic xmlns:a="http://schemas.openxmlformats.org/drawingml/2006/main">
              <a:graphicData uri="http://schemas.openxmlformats.org/drawingml/2006/picture">
                <pic:pic xmlns:pic="http://schemas.openxmlformats.org/drawingml/2006/picture">
                  <pic:nvPicPr>
                    <pic:cNvPr id="1195" name="图片 156" descr="c2ef9b16f9083e5527852beb3b2bd5a"/>
                    <pic:cNvPicPr/>
                  </pic:nvPicPr>
                  <pic:blipFill>
                    <a:blip r:embed="rId82" cstate="print"/>
                    <a:srcRect/>
                    <a:stretch>
                      <a:fillRect/>
                    </a:stretch>
                  </pic:blipFill>
                  <pic:spPr>
                    <a:xfrm>
                      <a:off x="0" y="0"/>
                      <a:ext cx="8096250" cy="4019550"/>
                    </a:xfrm>
                    <a:prstGeom prst="rect">
                      <a:avLst/>
                    </a:prstGeom>
                  </pic:spPr>
                </pic:pic>
              </a:graphicData>
            </a:graphic>
          </wp:inline>
        </w:drawing>
      </w:r>
    </w:p>
    <w:p w14:paraId="4F0ECBF0">
      <w:pP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br w:type="page"/>
      </w:r>
    </w:p>
    <w:p w14:paraId="23114D27">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宋体" w:cs="Times New Roman"/>
          <w:b/>
          <w:bCs/>
          <w:color w:val="auto"/>
          <w:sz w:val="24"/>
          <w:szCs w:val="24"/>
          <w:lang w:val="en-US" w:eastAsia="zh-CN"/>
        </w:rPr>
      </w:pPr>
      <w:bookmarkStart w:id="21" w:name="_Toc24377"/>
      <w:r>
        <w:rPr>
          <w:rFonts w:hint="default" w:ascii="Times New Roman" w:hAnsi="Times New Roman" w:eastAsia="宋体" w:cs="Times New Roman"/>
          <w:b/>
          <w:bCs/>
          <w:color w:val="auto"/>
          <w:sz w:val="24"/>
          <w:szCs w:val="24"/>
          <w:lang w:val="en-US" w:eastAsia="zh-CN"/>
        </w:rPr>
        <w:t>附图3 危险废物暂存间和一般固体废物暂存间位置示意图</w:t>
      </w:r>
      <w:bookmarkEnd w:id="21"/>
    </w:p>
    <w:tbl>
      <w:tblPr>
        <w:tblStyle w:val="1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3652"/>
      </w:tblGrid>
      <w:tr w14:paraId="36ED06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7900" w:hRule="atLeast"/>
        </w:trPr>
        <w:tc>
          <w:tcPr>
            <w:tcW w:w="13652" w:type="dxa"/>
          </w:tcPr>
          <w:p w14:paraId="0F255497">
            <w:pPr>
              <w:pStyle w:val="2"/>
              <w:outlineLvl w:val="9"/>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1469390</wp:posOffset>
                      </wp:positionH>
                      <wp:positionV relativeFrom="paragraph">
                        <wp:posOffset>2393315</wp:posOffset>
                      </wp:positionV>
                      <wp:extent cx="1567815" cy="316230"/>
                      <wp:effectExtent l="0" t="0" r="0" b="0"/>
                      <wp:wrapNone/>
                      <wp:docPr id="1196" name="文本框 167"/>
                      <wp:cNvGraphicFramePr/>
                      <a:graphic xmlns:a="http://schemas.openxmlformats.org/drawingml/2006/main">
                        <a:graphicData uri="http://schemas.microsoft.com/office/word/2010/wordprocessingShape">
                          <wps:wsp>
                            <wps:cNvSpPr/>
                            <wps:spPr>
                              <a:xfrm>
                                <a:off x="0" y="0"/>
                                <a:ext cx="1567815" cy="316229"/>
                              </a:xfrm>
                              <a:prstGeom prst="rect">
                                <a:avLst/>
                              </a:prstGeom>
                              <a:ln>
                                <a:noFill/>
                              </a:ln>
                            </wps:spPr>
                            <wps:txbx>
                              <w:txbxContent>
                                <w:p w14:paraId="38FBBE19">
                                  <w:pPr>
                                    <w:jc w:val="left"/>
                                    <w:rPr>
                                      <w:rFonts w:hint="default" w:eastAsia="宋体"/>
                                      <w:sz w:val="24"/>
                                      <w:szCs w:val="32"/>
                                      <w:lang w:val="en-US" w:eastAsia="zh-CN"/>
                                    </w:rPr>
                                  </w:pPr>
                                  <w:r>
                                    <w:rPr>
                                      <w:rFonts w:hint="eastAsia"/>
                                      <w:sz w:val="24"/>
                                      <w:szCs w:val="32"/>
                                      <w:lang w:val="en-US" w:eastAsia="zh-CN"/>
                                    </w:rPr>
                                    <w:t>DA001#</w:t>
                                  </w:r>
                                </w:p>
                              </w:txbxContent>
                            </wps:txbx>
                            <wps:bodyPr vert="horz" wrap="square" lIns="91440" tIns="45720" rIns="91440" bIns="45720" anchor="t">
                              <a:noAutofit/>
                            </wps:bodyPr>
                          </wps:wsp>
                        </a:graphicData>
                      </a:graphic>
                    </wp:anchor>
                  </w:drawing>
                </mc:Choice>
                <mc:Fallback>
                  <w:pict>
                    <v:rect id="文本框 167" o:spid="_x0000_s1026" o:spt="1" style="position:absolute;left:0pt;margin-left:115.7pt;margin-top:188.45pt;height:24.9pt;width:123.45pt;z-index:251660288;mso-width-relative:page;mso-height-relative:page;" filled="f" stroked="f" coordsize="21600,21600" o:gfxdata="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dz6WnNwAAAALAQAA&#10;DwAAAAAAAAABACAAAAAiAAAAZHJzL2Rvd25yZXYueG1sUEsBAhQAFAAAAAgAh07iQP/bO0fcAQAA&#10;pQMAAA4AAAAAAAAAAQAgAAAAKwEAAGRycy9lMm9Eb2MueG1sUEsFBgAAAAAGAAYAWQEAAHkFAAAA&#10;AA==&#10;">
                      <v:fill on="f" focussize="0,0"/>
                      <v:stroke on="f"/>
                      <v:imagedata o:title=""/>
                      <o:lock v:ext="edit" aspectratio="f"/>
                      <v:textbox>
                        <w:txbxContent>
                          <w:p w14:paraId="38FBBE19">
                            <w:pPr>
                              <w:jc w:val="left"/>
                              <w:rPr>
                                <w:rFonts w:hint="default" w:eastAsia="宋体"/>
                                <w:sz w:val="24"/>
                                <w:szCs w:val="32"/>
                                <w:lang w:val="en-US" w:eastAsia="zh-CN"/>
                              </w:rPr>
                            </w:pPr>
                            <w:r>
                              <w:rPr>
                                <w:rFonts w:hint="eastAsia"/>
                                <w:sz w:val="24"/>
                                <w:szCs w:val="32"/>
                                <w:lang w:val="en-US" w:eastAsia="zh-CN"/>
                              </w:rPr>
                              <w:t>DA001#</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1251585</wp:posOffset>
                      </wp:positionH>
                      <wp:positionV relativeFrom="paragraph">
                        <wp:posOffset>2422525</wp:posOffset>
                      </wp:positionV>
                      <wp:extent cx="214630" cy="214630"/>
                      <wp:effectExtent l="12700" t="12700" r="20320" b="20320"/>
                      <wp:wrapNone/>
                      <wp:docPr id="1197" name="椭圆 183"/>
                      <wp:cNvGraphicFramePr/>
                      <a:graphic xmlns:a="http://schemas.openxmlformats.org/drawingml/2006/main">
                        <a:graphicData uri="http://schemas.microsoft.com/office/word/2010/wordprocessingShape">
                          <wps:wsp>
                            <wps:cNvSpPr/>
                            <wps:spPr>
                              <a:xfrm>
                                <a:off x="0" y="0"/>
                                <a:ext cx="214630" cy="214629"/>
                              </a:xfrm>
                              <a:prstGeom prst="ellipse">
                                <a:avLst/>
                              </a:prstGeom>
                              <a:solidFill>
                                <a:srgbClr val="4F81BD"/>
                              </a:solidFill>
                              <a:ln w="25400" cap="flat" cmpd="sng">
                                <a:solidFill>
                                  <a:srgbClr val="395E8A"/>
                                </a:solidFill>
                                <a:prstDash val="solid"/>
                                <a:round/>
                              </a:ln>
                            </wps:spPr>
                            <wps:bodyPr/>
                          </wps:wsp>
                        </a:graphicData>
                      </a:graphic>
                    </wp:anchor>
                  </w:drawing>
                </mc:Choice>
                <mc:Fallback>
                  <w:pict>
                    <v:shape id="椭圆 183" o:spid="_x0000_s1026" o:spt="3" type="#_x0000_t3" style="position:absolute;left:0pt;margin-left:98.55pt;margin-top:190.75pt;height:16.9pt;width:16.9pt;z-index:251660288;mso-width-relative:page;mso-height-relative:page;" fillcolor="#4F81BD" filled="t" stroked="t" coordsize="21600,21600" o:gfxdata="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wehbx2QAAAAsBAAAP&#10;AAAAAAAAAAEAIAAAACIAAABkcnMvZG93bnJldi54bWxQSwECFAAUAAAACACHTuJAQAjI5t4BAADG&#10;AwAADgAAAAAAAAABACAAAAAoAQAAZHJzL2Uyb0RvYy54bWxQSwUGAAAAAAYABgBZAQAAeAUAAAAA&#10;">
                      <v:fill on="t" focussize="0,0"/>
                      <v:stroke weight="2pt" color="#395E8A" joinstyle="round"/>
                      <v:imagedata o:title=""/>
                      <o:lock v:ext="edit" aspectratio="f"/>
                    </v:shape>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4058920</wp:posOffset>
                      </wp:positionH>
                      <wp:positionV relativeFrom="paragraph">
                        <wp:posOffset>1788160</wp:posOffset>
                      </wp:positionV>
                      <wp:extent cx="1256665" cy="248285"/>
                      <wp:effectExtent l="0" t="0" r="0" b="0"/>
                      <wp:wrapNone/>
                      <wp:docPr id="1198" name="文本框 94"/>
                      <wp:cNvGraphicFramePr/>
                      <a:graphic xmlns:a="http://schemas.openxmlformats.org/drawingml/2006/main">
                        <a:graphicData uri="http://schemas.microsoft.com/office/word/2010/wordprocessingShape">
                          <wps:wsp>
                            <wps:cNvSpPr/>
                            <wps:spPr>
                              <a:xfrm>
                                <a:off x="0" y="0"/>
                                <a:ext cx="1256665" cy="248285"/>
                              </a:xfrm>
                              <a:prstGeom prst="rect">
                                <a:avLst/>
                              </a:prstGeom>
                              <a:ln>
                                <a:noFill/>
                              </a:ln>
                            </wps:spPr>
                            <wps:txbx>
                              <w:txbxContent>
                                <w:p w14:paraId="120053BA">
                                  <w:pPr>
                                    <w:jc w:val="both"/>
                                    <w:rPr>
                                      <w:rFonts w:hint="default" w:eastAsia="宋体"/>
                                      <w:b/>
                                      <w:bCs/>
                                      <w:sz w:val="20"/>
                                      <w:szCs w:val="22"/>
                                      <w:lang w:val="en-US" w:eastAsia="zh-CN"/>
                                    </w:rPr>
                                  </w:pPr>
                                  <w:r>
                                    <w:rPr>
                                      <w:rFonts w:hint="default" w:eastAsia="宋体"/>
                                      <w:b/>
                                      <w:bCs/>
                                      <w:sz w:val="20"/>
                                      <w:szCs w:val="22"/>
                                      <w:lang w:val="en-US" w:eastAsia="zh-CN"/>
                                    </w:rPr>
                                    <w:t>危险废物</w:t>
                                  </w:r>
                                  <w:r>
                                    <w:rPr>
                                      <w:rFonts w:hint="eastAsia"/>
                                      <w:b/>
                                      <w:bCs/>
                                      <w:sz w:val="20"/>
                                      <w:szCs w:val="22"/>
                                      <w:lang w:val="en-US" w:eastAsia="zh-CN"/>
                                    </w:rPr>
                                    <w:t>暂存间</w:t>
                                  </w:r>
                                </w:p>
                              </w:txbxContent>
                            </wps:txbx>
                            <wps:bodyPr vert="horz" wrap="square" lIns="91440" tIns="45720" rIns="91440" bIns="45720" anchor="t">
                              <a:noAutofit/>
                            </wps:bodyPr>
                          </wps:wsp>
                        </a:graphicData>
                      </a:graphic>
                    </wp:anchor>
                  </w:drawing>
                </mc:Choice>
                <mc:Fallback>
                  <w:pict>
                    <v:rect id="文本框 94" o:spid="_x0000_s1026" o:spt="1" style="position:absolute;left:0pt;margin-left:319.6pt;margin-top:140.8pt;height:19.55pt;width:98.95pt;z-index:251660288;mso-width-relative:page;mso-height-relative:page;" filled="f" stroked="f" coordsize="21600,21600" o:gfxdata="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Hq0HpPcAAAACwEAAA8A&#10;AAAAAAAAAQAgAAAAIgAAAGRycy9kb3ducmV2LnhtbFBLAQIUABQAAAAIAIdO4kCgpWzX2gEAAKQD&#10;AAAOAAAAAAAAAAEAIAAAACsBAABkcnMvZTJvRG9jLnhtbFBLBQYAAAAABgAGAFkBAAB3BQAAAAA=&#10;">
                      <v:fill on="f" focussize="0,0"/>
                      <v:stroke on="f"/>
                      <v:imagedata o:title=""/>
                      <o:lock v:ext="edit" aspectratio="f"/>
                      <v:textbox>
                        <w:txbxContent>
                          <w:p w14:paraId="120053BA">
                            <w:pPr>
                              <w:jc w:val="both"/>
                              <w:rPr>
                                <w:rFonts w:hint="default" w:eastAsia="宋体"/>
                                <w:b/>
                                <w:bCs/>
                                <w:sz w:val="20"/>
                                <w:szCs w:val="22"/>
                                <w:lang w:val="en-US" w:eastAsia="zh-CN"/>
                              </w:rPr>
                            </w:pPr>
                            <w:r>
                              <w:rPr>
                                <w:rFonts w:hint="default" w:eastAsia="宋体"/>
                                <w:b/>
                                <w:bCs/>
                                <w:sz w:val="20"/>
                                <w:szCs w:val="22"/>
                                <w:lang w:val="en-US" w:eastAsia="zh-CN"/>
                              </w:rPr>
                              <w:t>危险废物</w:t>
                            </w:r>
                            <w:r>
                              <w:rPr>
                                <w:rFonts w:hint="eastAsia"/>
                                <w:b/>
                                <w:bCs/>
                                <w:sz w:val="20"/>
                                <w:szCs w:val="22"/>
                                <w:lang w:val="en-US" w:eastAsia="zh-CN"/>
                              </w:rPr>
                              <w:t>暂存间</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1666240</wp:posOffset>
                      </wp:positionH>
                      <wp:positionV relativeFrom="paragraph">
                        <wp:posOffset>1826895</wp:posOffset>
                      </wp:positionV>
                      <wp:extent cx="1336675" cy="264160"/>
                      <wp:effectExtent l="0" t="0" r="0" b="0"/>
                      <wp:wrapNone/>
                      <wp:docPr id="1199" name="文本框 96"/>
                      <wp:cNvGraphicFramePr/>
                      <a:graphic xmlns:a="http://schemas.openxmlformats.org/drawingml/2006/main">
                        <a:graphicData uri="http://schemas.microsoft.com/office/word/2010/wordprocessingShape">
                          <wps:wsp>
                            <wps:cNvSpPr/>
                            <wps:spPr>
                              <a:xfrm>
                                <a:off x="0" y="0"/>
                                <a:ext cx="1336675" cy="264160"/>
                              </a:xfrm>
                              <a:prstGeom prst="rect">
                                <a:avLst/>
                              </a:prstGeom>
                              <a:ln>
                                <a:noFill/>
                              </a:ln>
                            </wps:spPr>
                            <wps:txbx>
                              <w:txbxContent>
                                <w:p w14:paraId="5839AA27">
                                  <w:pPr>
                                    <w:rPr>
                                      <w:rFonts w:hint="default" w:eastAsia="宋体"/>
                                      <w:b/>
                                      <w:bCs/>
                                      <w:sz w:val="20"/>
                                      <w:szCs w:val="20"/>
                                      <w:lang w:val="en-US" w:eastAsia="zh-CN"/>
                                    </w:rPr>
                                  </w:pPr>
                                  <w:r>
                                    <w:rPr>
                                      <w:rFonts w:hint="eastAsia"/>
                                      <w:b/>
                                      <w:bCs/>
                                      <w:sz w:val="20"/>
                                      <w:szCs w:val="20"/>
                                      <w:lang w:val="en-US" w:eastAsia="zh-CN"/>
                                    </w:rPr>
                                    <w:t>一般固废暂存间</w:t>
                                  </w:r>
                                </w:p>
                                <w:p w14:paraId="66930EC7">
                                  <w:pPr>
                                    <w:rPr>
                                      <w:rFonts w:hint="default"/>
                                      <w:sz w:val="20"/>
                                      <w:szCs w:val="20"/>
                                      <w:lang w:val="en-US" w:eastAsia="zh-CN"/>
                                    </w:rPr>
                                  </w:pPr>
                                </w:p>
                              </w:txbxContent>
                            </wps:txbx>
                            <wps:bodyPr vert="horz" wrap="square" lIns="91440" tIns="45720" rIns="91440" bIns="45720" anchor="t">
                              <a:noAutofit/>
                            </wps:bodyPr>
                          </wps:wsp>
                        </a:graphicData>
                      </a:graphic>
                    </wp:anchor>
                  </w:drawing>
                </mc:Choice>
                <mc:Fallback>
                  <w:pict>
                    <v:rect id="文本框 96" o:spid="_x0000_s1026" o:spt="1" style="position:absolute;left:0pt;margin-left:131.2pt;margin-top:143.85pt;height:20.8pt;width:105.25pt;z-index:251660288;mso-width-relative:page;mso-height-relative:page;" filled="f" stroked="f" coordsize="21600,21600" o:gfxdata="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EGF7xvdAAAACwEA&#10;AA8AAAAAAAAAAQAgAAAAIgAAAGRycy9kb3ducmV2LnhtbFBLAQIUABQAAAAIAIdO4kAhMlue3AEA&#10;AKQDAAAOAAAAAAAAAAEAIAAAACwBAABkcnMvZTJvRG9jLnhtbFBLBQYAAAAABgAGAFkBAAB6BQAA&#10;AAA=&#10;">
                      <v:fill on="f" focussize="0,0"/>
                      <v:stroke on="f"/>
                      <v:imagedata o:title=""/>
                      <o:lock v:ext="edit" aspectratio="f"/>
                      <v:textbox>
                        <w:txbxContent>
                          <w:p w14:paraId="5839AA27">
                            <w:pPr>
                              <w:rPr>
                                <w:rFonts w:hint="default" w:eastAsia="宋体"/>
                                <w:b/>
                                <w:bCs/>
                                <w:sz w:val="20"/>
                                <w:szCs w:val="20"/>
                                <w:lang w:val="en-US" w:eastAsia="zh-CN"/>
                              </w:rPr>
                            </w:pPr>
                            <w:r>
                              <w:rPr>
                                <w:rFonts w:hint="eastAsia"/>
                                <w:b/>
                                <w:bCs/>
                                <w:sz w:val="20"/>
                                <w:szCs w:val="20"/>
                                <w:lang w:val="en-US" w:eastAsia="zh-CN"/>
                              </w:rPr>
                              <w:t>一般固废暂存间</w:t>
                            </w:r>
                          </w:p>
                          <w:p w14:paraId="66930EC7">
                            <w:pPr>
                              <w:rPr>
                                <w:rFonts w:hint="default"/>
                                <w:sz w:val="20"/>
                                <w:szCs w:val="20"/>
                                <w:lang w:val="en-US" w:eastAsia="zh-CN"/>
                              </w:rPr>
                            </w:pP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2496820</wp:posOffset>
                      </wp:positionH>
                      <wp:positionV relativeFrom="paragraph">
                        <wp:posOffset>2047240</wp:posOffset>
                      </wp:positionV>
                      <wp:extent cx="1511935" cy="107950"/>
                      <wp:effectExtent l="12700" t="12700" r="18415" b="12700"/>
                      <wp:wrapNone/>
                      <wp:docPr id="1200" name="圆角矩形 171"/>
                      <wp:cNvGraphicFramePr/>
                      <a:graphic xmlns:a="http://schemas.openxmlformats.org/drawingml/2006/main">
                        <a:graphicData uri="http://schemas.microsoft.com/office/word/2010/wordprocessingShape">
                          <wps:wsp>
                            <wps:cNvSpPr/>
                            <wps:spPr>
                              <a:xfrm>
                                <a:off x="0" y="0"/>
                                <a:ext cx="1511934" cy="107950"/>
                              </a:xfrm>
                              <a:prstGeom prst="roundRect">
                                <a:avLst/>
                              </a:prstGeom>
                              <a:solidFill>
                                <a:srgbClr val="92D050"/>
                              </a:solidFill>
                              <a:ln w="25400" cap="flat" cmpd="sng">
                                <a:solidFill>
                                  <a:srgbClr val="000000"/>
                                </a:solidFill>
                                <a:prstDash val="solid"/>
                                <a:round/>
                              </a:ln>
                            </wps:spPr>
                            <wps:bodyPr/>
                          </wps:wsp>
                        </a:graphicData>
                      </a:graphic>
                    </wp:anchor>
                  </w:drawing>
                </mc:Choice>
                <mc:Fallback>
                  <w:pict>
                    <v:roundrect id="圆角矩形 171" o:spid="_x0000_s1026" o:spt="2" style="position:absolute;left:0pt;margin-left:196.6pt;margin-top:161.2pt;height:8.5pt;width:119.05pt;z-index:251660288;mso-width-relative:page;mso-height-relative:page;" fillcolor="#92D050" filled="t" stroked="t" coordsize="21600,21600" arcsize="0.166666666666667" o:gfxdata="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r8FFudoAAAALAQAADwAAAAAAAAABACAAAAAiAAAAZHJzL2Rvd25yZXYueG1sUEsBAhQAFAAAAAgA&#10;h07iQGqI+/7qAQAAzwMAAA4AAAAAAAAAAQAgAAAAKQEAAGRycy9lMm9Eb2MueG1sUEsFBgAAAAAG&#10;AAYAWQEAAIUFAAAAAA==&#10;">
                      <v:fill on="t" focussize="0,0"/>
                      <v:stroke weight="2pt" color="#000000" joinstyle="round"/>
                      <v:imagedata o:title=""/>
                      <o:lock v:ext="edit" aspectratio="f"/>
                    </v:round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4006850</wp:posOffset>
                      </wp:positionH>
                      <wp:positionV relativeFrom="paragraph">
                        <wp:posOffset>2047240</wp:posOffset>
                      </wp:positionV>
                      <wp:extent cx="720090" cy="107950"/>
                      <wp:effectExtent l="12700" t="12700" r="29210" b="12700"/>
                      <wp:wrapNone/>
                      <wp:docPr id="1201" name="圆角矩形 90"/>
                      <wp:cNvGraphicFramePr/>
                      <a:graphic xmlns:a="http://schemas.openxmlformats.org/drawingml/2006/main">
                        <a:graphicData uri="http://schemas.microsoft.com/office/word/2010/wordprocessingShape">
                          <wps:wsp>
                            <wps:cNvSpPr/>
                            <wps:spPr>
                              <a:xfrm>
                                <a:off x="0" y="0"/>
                                <a:ext cx="720090" cy="107950"/>
                              </a:xfrm>
                              <a:prstGeom prst="roundRect">
                                <a:avLst/>
                              </a:prstGeom>
                              <a:solidFill>
                                <a:srgbClr val="FFC000"/>
                              </a:solidFill>
                              <a:ln w="25400" cap="flat" cmpd="sng">
                                <a:solidFill>
                                  <a:srgbClr val="000000"/>
                                </a:solidFill>
                                <a:prstDash val="solid"/>
                                <a:round/>
                              </a:ln>
                            </wps:spPr>
                            <wps:bodyPr/>
                          </wps:wsp>
                        </a:graphicData>
                      </a:graphic>
                    </wp:anchor>
                  </w:drawing>
                </mc:Choice>
                <mc:Fallback>
                  <w:pict>
                    <v:roundrect id="圆角矩形 90" o:spid="_x0000_s1026" o:spt="2" style="position:absolute;left:0pt;margin-left:315.5pt;margin-top:161.2pt;height:8.5pt;width:56.7pt;z-index:251660288;mso-width-relative:page;mso-height-relative:page;" fillcolor="#FFC000" filled="t" stroked="t" coordsize="21600,21600" arcsize="0.166666666666667" o:gfxdata="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NFl4bnZAAAA&#10;CwEAAA8AAAAAAAAAAQAgAAAAIgAAAGRycy9kb3ducmV2LnhtbFBLAQIUABQAAAAIAIdO4kDgufnf&#10;4wEAAM0DAAAOAAAAAAAAAAEAIAAAACgBAABkcnMvZTJvRG9jLnhtbFBLBQYAAAAABgAGAFkBAAB9&#10;BQAAAAA=&#10;">
                      <v:fill on="t" focussize="0,0"/>
                      <v:stroke weight="2pt" color="#000000" joinstyle="round"/>
                      <v:imagedata o:title=""/>
                      <o:lock v:ext="edit" aspectratio="f"/>
                    </v:round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6612890</wp:posOffset>
                      </wp:positionH>
                      <wp:positionV relativeFrom="paragraph">
                        <wp:posOffset>4612640</wp:posOffset>
                      </wp:positionV>
                      <wp:extent cx="1567815" cy="316230"/>
                      <wp:effectExtent l="0" t="0" r="0" b="0"/>
                      <wp:wrapNone/>
                      <wp:docPr id="1202" name="文本框 177"/>
                      <wp:cNvGraphicFramePr/>
                      <a:graphic xmlns:a="http://schemas.openxmlformats.org/drawingml/2006/main">
                        <a:graphicData uri="http://schemas.microsoft.com/office/word/2010/wordprocessingShape">
                          <wps:wsp>
                            <wps:cNvSpPr/>
                            <wps:spPr>
                              <a:xfrm>
                                <a:off x="0" y="0"/>
                                <a:ext cx="1567815" cy="316229"/>
                              </a:xfrm>
                              <a:prstGeom prst="rect">
                                <a:avLst/>
                              </a:prstGeom>
                              <a:ln>
                                <a:noFill/>
                              </a:ln>
                            </wps:spPr>
                            <wps:txbx>
                              <w:txbxContent>
                                <w:p w14:paraId="19028AB0">
                                  <w:pPr>
                                    <w:jc w:val="center"/>
                                    <w:rPr>
                                      <w:rFonts w:hint="default" w:eastAsia="宋体"/>
                                      <w:sz w:val="24"/>
                                      <w:szCs w:val="32"/>
                                      <w:lang w:val="en-US" w:eastAsia="zh-CN"/>
                                    </w:rPr>
                                  </w:pPr>
                                  <w:r>
                                    <w:rPr>
                                      <w:rFonts w:hint="eastAsia" w:eastAsia="宋体"/>
                                      <w:sz w:val="24"/>
                                      <w:szCs w:val="32"/>
                                      <w:lang w:val="en-US" w:eastAsia="zh-CN"/>
                                    </w:rPr>
                                    <w:t>园区边界</w:t>
                                  </w:r>
                                </w:p>
                              </w:txbxContent>
                            </wps:txbx>
                            <wps:bodyPr vert="horz" wrap="square" lIns="91440" tIns="45720" rIns="91440" bIns="45720" anchor="t">
                              <a:noAutofit/>
                            </wps:bodyPr>
                          </wps:wsp>
                        </a:graphicData>
                      </a:graphic>
                    </wp:anchor>
                  </w:drawing>
                </mc:Choice>
                <mc:Fallback>
                  <w:pict>
                    <v:rect id="文本框 177" o:spid="_x0000_s1026" o:spt="1" style="position:absolute;left:0pt;margin-left:520.7pt;margin-top:363.2pt;height:24.9pt;width:123.45pt;z-index:251660288;mso-width-relative:page;mso-height-relative:page;" filled="f" stroked="f" coordsize="21600,21600" o:gfxdata="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M4fyfdAAAADQEA&#10;AA8AAAAAAAAAAQAgAAAAIgAAAGRycy9kb3ducmV2LnhtbFBLAQIUABQAAAAIAIdO4kDCQQwO3AEA&#10;AKUDAAAOAAAAAAAAAAEAIAAAACwBAABkcnMvZTJvRG9jLnhtbFBLBQYAAAAABgAGAFkBAAB6BQAA&#10;AAA=&#10;">
                      <v:fill on="f" focussize="0,0"/>
                      <v:stroke on="f"/>
                      <v:imagedata o:title=""/>
                      <o:lock v:ext="edit" aspectratio="f"/>
                      <v:textbox>
                        <w:txbxContent>
                          <w:p w14:paraId="19028AB0">
                            <w:pPr>
                              <w:jc w:val="center"/>
                              <w:rPr>
                                <w:rFonts w:hint="default" w:eastAsia="宋体"/>
                                <w:sz w:val="24"/>
                                <w:szCs w:val="32"/>
                                <w:lang w:val="en-US" w:eastAsia="zh-CN"/>
                              </w:rPr>
                            </w:pPr>
                            <w:r>
                              <w:rPr>
                                <w:rFonts w:hint="eastAsia" w:eastAsia="宋体"/>
                                <w:sz w:val="24"/>
                                <w:szCs w:val="32"/>
                                <w:lang w:val="en-US" w:eastAsia="zh-CN"/>
                              </w:rPr>
                              <w:t>园区边界</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218440</wp:posOffset>
                      </wp:positionH>
                      <wp:positionV relativeFrom="paragraph">
                        <wp:posOffset>4886325</wp:posOffset>
                      </wp:positionV>
                      <wp:extent cx="8300720" cy="13335"/>
                      <wp:effectExtent l="0" t="4445" r="5080" b="10795"/>
                      <wp:wrapNone/>
                      <wp:docPr id="1203" name="直接连接符 176"/>
                      <wp:cNvGraphicFramePr/>
                      <a:graphic xmlns:a="http://schemas.openxmlformats.org/drawingml/2006/main">
                        <a:graphicData uri="http://schemas.microsoft.com/office/word/2010/wordprocessingShape">
                          <wps:wsp>
                            <wps:cNvCnPr/>
                            <wps:spPr>
                              <a:xfrm>
                                <a:off x="0" y="0"/>
                                <a:ext cx="8300720" cy="13334"/>
                              </a:xfrm>
                              <a:prstGeom prst="line">
                                <a:avLst/>
                              </a:prstGeom>
                              <a:ln w="9525" cap="flat" cmpd="sng">
                                <a:solidFill>
                                  <a:srgbClr val="000000"/>
                                </a:solidFill>
                                <a:prstDash val="solid"/>
                                <a:round/>
                              </a:ln>
                            </wps:spPr>
                            <wps:bodyPr/>
                          </wps:wsp>
                        </a:graphicData>
                      </a:graphic>
                    </wp:anchor>
                  </w:drawing>
                </mc:Choice>
                <mc:Fallback>
                  <w:pict>
                    <v:line id="直接连接符 176" o:spid="_x0000_s1026" o:spt="20" style="position:absolute;left:0pt;margin-left:17.2pt;margin-top:384.75pt;height:1.05pt;width:653.6pt;z-index:251660288;mso-width-relative:page;mso-height-relative:page;" filled="f" stroked="t" coordsize="21600,21600" o:gfxdata="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RfSMU9gAAAALAQAADwAAAAAA&#10;AAABACAAAAAiAAAAZHJzL2Rvd25yZXYueG1sUEsBAhQAFAAAAAgAh07iQKZp7gHaAQAAlwMAAA4A&#10;AAAAAAAAAQAgAAAAJwEAAGRycy9lMm9Eb2MueG1sUEsFBgAAAAAGAAYAWQEAAHMFA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219075</wp:posOffset>
                      </wp:positionH>
                      <wp:positionV relativeFrom="paragraph">
                        <wp:posOffset>327025</wp:posOffset>
                      </wp:positionV>
                      <wp:extent cx="0" cy="4572000"/>
                      <wp:effectExtent l="4445" t="0" r="14605" b="0"/>
                      <wp:wrapNone/>
                      <wp:docPr id="1204" name="直接连接符 175"/>
                      <wp:cNvGraphicFramePr/>
                      <a:graphic xmlns:a="http://schemas.openxmlformats.org/drawingml/2006/main">
                        <a:graphicData uri="http://schemas.microsoft.com/office/word/2010/wordprocessingShape">
                          <wps:wsp>
                            <wps:cNvCnPr/>
                            <wps:spPr>
                              <a:xfrm>
                                <a:off x="0" y="0"/>
                                <a:ext cx="0" cy="4572000"/>
                              </a:xfrm>
                              <a:prstGeom prst="line">
                                <a:avLst/>
                              </a:prstGeom>
                              <a:ln w="9525" cap="flat" cmpd="sng">
                                <a:solidFill>
                                  <a:srgbClr val="000000"/>
                                </a:solidFill>
                                <a:prstDash val="solid"/>
                                <a:round/>
                              </a:ln>
                            </wps:spPr>
                            <wps:bodyPr/>
                          </wps:wsp>
                        </a:graphicData>
                      </a:graphic>
                    </wp:anchor>
                  </w:drawing>
                </mc:Choice>
                <mc:Fallback>
                  <w:pict>
                    <v:line id="直接连接符 175" o:spid="_x0000_s1026" o:spt="20" style="position:absolute;left:0pt;margin-left:17.25pt;margin-top:25.75pt;height:360pt;width:0pt;z-index:251660288;mso-width-relative:page;mso-height-relative:page;" filled="f" stroked="t" coordsize="21600,21600" o:gfxdata="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Nj/7+LVAAAACAEAAA8AAAAAAAAAAQAgAAAA&#10;IgAAAGRycy9kb3ducmV2LnhtbFBLAQIUABQAAAAIAIdO4kDMFZZ71QEAAJMDAAAOAAAAAAAAAAEA&#10;IAAAACQBAABkcnMvZTJvRG9jLnhtbFBLBQYAAAAABgAGAFkBAABrBQ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1294130</wp:posOffset>
                      </wp:positionH>
                      <wp:positionV relativeFrom="paragraph">
                        <wp:posOffset>4451350</wp:posOffset>
                      </wp:positionV>
                      <wp:extent cx="1567815" cy="316230"/>
                      <wp:effectExtent l="0" t="0" r="0" b="0"/>
                      <wp:wrapNone/>
                      <wp:docPr id="1205" name="文本框 174"/>
                      <wp:cNvGraphicFramePr/>
                      <a:graphic xmlns:a="http://schemas.openxmlformats.org/drawingml/2006/main">
                        <a:graphicData uri="http://schemas.microsoft.com/office/word/2010/wordprocessingShape">
                          <wps:wsp>
                            <wps:cNvSpPr/>
                            <wps:spPr>
                              <a:xfrm>
                                <a:off x="0" y="0"/>
                                <a:ext cx="1567815" cy="316229"/>
                              </a:xfrm>
                              <a:prstGeom prst="rect">
                                <a:avLst/>
                              </a:prstGeom>
                              <a:ln>
                                <a:noFill/>
                              </a:ln>
                            </wps:spPr>
                            <wps:txbx>
                              <w:txbxContent>
                                <w:p w14:paraId="6E6D3B66">
                                  <w:pPr>
                                    <w:jc w:val="both"/>
                                    <w:rPr>
                                      <w:rFonts w:hint="default" w:eastAsia="宋体"/>
                                      <w:b/>
                                      <w:bCs/>
                                      <w:sz w:val="24"/>
                                      <w:szCs w:val="32"/>
                                      <w:lang w:val="en-US" w:eastAsia="zh-CN"/>
                                    </w:rPr>
                                  </w:pPr>
                                  <w:r>
                                    <w:rPr>
                                      <w:rFonts w:hint="default" w:eastAsia="宋体"/>
                                      <w:b/>
                                      <w:bCs/>
                                      <w:sz w:val="24"/>
                                      <w:szCs w:val="32"/>
                                      <w:lang w:val="en-US" w:eastAsia="zh-CN"/>
                                    </w:rPr>
                                    <w:t>危险</w:t>
                                  </w:r>
                                  <w:r>
                                    <w:rPr>
                                      <w:rFonts w:hint="eastAsia"/>
                                      <w:b/>
                                      <w:bCs/>
                                      <w:sz w:val="24"/>
                                      <w:szCs w:val="32"/>
                                      <w:lang w:val="en-US" w:eastAsia="zh-CN"/>
                                    </w:rPr>
                                    <w:t>化学品仓库</w:t>
                                  </w:r>
                                </w:p>
                              </w:txbxContent>
                            </wps:txbx>
                            <wps:bodyPr vert="horz" wrap="square" lIns="91440" tIns="45720" rIns="91440" bIns="45720" anchor="t">
                              <a:noAutofit/>
                            </wps:bodyPr>
                          </wps:wsp>
                        </a:graphicData>
                      </a:graphic>
                    </wp:anchor>
                  </w:drawing>
                </mc:Choice>
                <mc:Fallback>
                  <w:pict>
                    <v:rect id="文本框 174" o:spid="_x0000_s1026" o:spt="1" style="position:absolute;left:0pt;margin-left:101.9pt;margin-top:350.5pt;height:24.9pt;width:123.45pt;z-index:251660288;mso-width-relative:page;mso-height-relative:page;" filled="f" stroked="f" coordsize="21600,21600" o:gfxdata="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IdC54vbAAAACwEAAA8A&#10;AAAAAAAAAQAgAAAAIgAAAGRycy9kb3ducmV2LnhtbFBLAQIUABQAAAAIAIdO4kBKkm6D2wEAAKUD&#10;AAAOAAAAAAAAAAEAIAAAACoBAABkcnMvZTJvRG9jLnhtbFBLBQYAAAAABgAGAFkBAAB3BQAAAAA=&#10;">
                      <v:fill on="f" focussize="0,0"/>
                      <v:stroke on="f"/>
                      <v:imagedata o:title=""/>
                      <o:lock v:ext="edit" aspectratio="f"/>
                      <v:textbox>
                        <w:txbxContent>
                          <w:p w14:paraId="6E6D3B66">
                            <w:pPr>
                              <w:jc w:val="both"/>
                              <w:rPr>
                                <w:rFonts w:hint="default" w:eastAsia="宋体"/>
                                <w:b/>
                                <w:bCs/>
                                <w:sz w:val="24"/>
                                <w:szCs w:val="32"/>
                                <w:lang w:val="en-US" w:eastAsia="zh-CN"/>
                              </w:rPr>
                            </w:pPr>
                            <w:r>
                              <w:rPr>
                                <w:rFonts w:hint="default" w:eastAsia="宋体"/>
                                <w:b/>
                                <w:bCs/>
                                <w:sz w:val="24"/>
                                <w:szCs w:val="32"/>
                                <w:lang w:val="en-US" w:eastAsia="zh-CN"/>
                              </w:rPr>
                              <w:t>危险</w:t>
                            </w:r>
                            <w:r>
                              <w:rPr>
                                <w:rFonts w:hint="eastAsia"/>
                                <w:b/>
                                <w:bCs/>
                                <w:sz w:val="24"/>
                                <w:szCs w:val="32"/>
                                <w:lang w:val="en-US" w:eastAsia="zh-CN"/>
                              </w:rPr>
                              <w:t>化学品仓库</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912495</wp:posOffset>
                      </wp:positionH>
                      <wp:positionV relativeFrom="paragraph">
                        <wp:posOffset>4382770</wp:posOffset>
                      </wp:positionV>
                      <wp:extent cx="382270" cy="409575"/>
                      <wp:effectExtent l="12700" t="12700" r="24130" b="15875"/>
                      <wp:wrapNone/>
                      <wp:docPr id="1206" name="圆角矩形 173"/>
                      <wp:cNvGraphicFramePr/>
                      <a:graphic xmlns:a="http://schemas.openxmlformats.org/drawingml/2006/main">
                        <a:graphicData uri="http://schemas.microsoft.com/office/word/2010/wordprocessingShape">
                          <wps:wsp>
                            <wps:cNvSpPr/>
                            <wps:spPr>
                              <a:xfrm>
                                <a:off x="0" y="0"/>
                                <a:ext cx="382269" cy="409575"/>
                              </a:xfrm>
                              <a:prstGeom prst="roundRect">
                                <a:avLst/>
                              </a:prstGeom>
                              <a:solidFill>
                                <a:srgbClr val="FFC000"/>
                              </a:solidFill>
                              <a:ln w="25400" cap="flat" cmpd="sng">
                                <a:solidFill>
                                  <a:srgbClr val="000000"/>
                                </a:solidFill>
                                <a:prstDash val="solid"/>
                                <a:round/>
                              </a:ln>
                            </wps:spPr>
                            <wps:bodyPr/>
                          </wps:wsp>
                        </a:graphicData>
                      </a:graphic>
                    </wp:anchor>
                  </w:drawing>
                </mc:Choice>
                <mc:Fallback>
                  <w:pict>
                    <v:roundrect id="圆角矩形 173" o:spid="_x0000_s1026" o:spt="2" style="position:absolute;left:0pt;margin-left:71.85pt;margin-top:345.1pt;height:32.25pt;width:30.1pt;z-index:251660288;mso-width-relative:page;mso-height-relative:page;" fillcolor="#FFC000" filled="t" stroked="t" coordsize="21600,21600" arcsize="0.166666666666667" o:gfxdata="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KrQ&#10;jSfZAAAACwEAAA8AAAAAAAAAAQAgAAAAIgAAAGRycy9kb3ducmV2LnhtbFBLAQIUABQAAAAIAIdO&#10;4kABb4706QEAAM4DAAAOAAAAAAAAAAEAIAAAACgBAABkcnMvZTJvRG9jLnhtbFBLBQYAAAAABgAG&#10;AFkBAACDBQAAAAA=&#10;">
                      <v:fill on="t" focussize="0,0"/>
                      <v:stroke weight="2pt" color="#000000" joinstyle="round"/>
                      <v:imagedata o:title=""/>
                      <o:lock v:ext="edit" aspectratio="f"/>
                    </v:round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2028825</wp:posOffset>
                      </wp:positionH>
                      <wp:positionV relativeFrom="paragraph">
                        <wp:posOffset>2791460</wp:posOffset>
                      </wp:positionV>
                      <wp:extent cx="1567815" cy="316230"/>
                      <wp:effectExtent l="0" t="0" r="0" b="0"/>
                      <wp:wrapNone/>
                      <wp:docPr id="1207" name="文本框 170"/>
                      <wp:cNvGraphicFramePr/>
                      <a:graphic xmlns:a="http://schemas.openxmlformats.org/drawingml/2006/main">
                        <a:graphicData uri="http://schemas.microsoft.com/office/word/2010/wordprocessingShape">
                          <wps:wsp>
                            <wps:cNvSpPr/>
                            <wps:spPr>
                              <a:xfrm>
                                <a:off x="0" y="0"/>
                                <a:ext cx="1567815" cy="316229"/>
                              </a:xfrm>
                              <a:prstGeom prst="rect">
                                <a:avLst/>
                              </a:prstGeom>
                              <a:ln>
                                <a:noFill/>
                              </a:ln>
                            </wps:spPr>
                            <wps:txbx>
                              <w:txbxContent>
                                <w:p w14:paraId="54F1C863">
                                  <w:pPr>
                                    <w:jc w:val="center"/>
                                    <w:rPr>
                                      <w:rFonts w:hint="default" w:eastAsia="宋体"/>
                                      <w:b/>
                                      <w:bCs/>
                                      <w:sz w:val="28"/>
                                      <w:szCs w:val="36"/>
                                      <w:lang w:val="en-US" w:eastAsia="zh-CN"/>
                                    </w:rPr>
                                  </w:pPr>
                                  <w:r>
                                    <w:rPr>
                                      <w:rFonts w:hint="eastAsia"/>
                                      <w:b/>
                                      <w:bCs/>
                                      <w:sz w:val="28"/>
                                      <w:szCs w:val="36"/>
                                      <w:lang w:val="en-US" w:eastAsia="zh-CN"/>
                                    </w:rPr>
                                    <w:t>1#栋生产厂房</w:t>
                                  </w:r>
                                </w:p>
                              </w:txbxContent>
                            </wps:txbx>
                            <wps:bodyPr vert="horz" wrap="square" lIns="91440" tIns="45720" rIns="91440" bIns="45720" anchor="t">
                              <a:noAutofit/>
                            </wps:bodyPr>
                          </wps:wsp>
                        </a:graphicData>
                      </a:graphic>
                    </wp:anchor>
                  </w:drawing>
                </mc:Choice>
                <mc:Fallback>
                  <w:pict>
                    <v:rect id="文本框 170" o:spid="_x0000_s1026" o:spt="1" style="position:absolute;left:0pt;margin-left:159.75pt;margin-top:219.8pt;height:24.9pt;width:123.45pt;z-index:251660288;mso-width-relative:page;mso-height-relative:page;" filled="f" stroked="f" coordsize="21600,21600" o:gfxdata="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D0ev3AAAAAsBAAAP&#10;AAAAAAAAAAEAIAAAACIAAABkcnMvZG93bnJldi54bWxQSwECFAAUAAAACACHTuJAuK+iZdsBAACl&#10;AwAADgAAAAAAAAABACAAAAArAQAAZHJzL2Uyb0RvYy54bWxQSwUGAAAAAAYABgBZAQAAeAUAAAAA&#10;">
                      <v:fill on="f" focussize="0,0"/>
                      <v:stroke on="f"/>
                      <v:imagedata o:title=""/>
                      <o:lock v:ext="edit" aspectratio="f"/>
                      <v:textbox>
                        <w:txbxContent>
                          <w:p w14:paraId="54F1C863">
                            <w:pPr>
                              <w:jc w:val="center"/>
                              <w:rPr>
                                <w:rFonts w:hint="default" w:eastAsia="宋体"/>
                                <w:b/>
                                <w:bCs/>
                                <w:sz w:val="28"/>
                                <w:szCs w:val="36"/>
                                <w:lang w:val="en-US" w:eastAsia="zh-CN"/>
                              </w:rPr>
                            </w:pPr>
                            <w:r>
                              <w:rPr>
                                <w:rFonts w:hint="eastAsia"/>
                                <w:b/>
                                <w:bCs/>
                                <w:sz w:val="28"/>
                                <w:szCs w:val="36"/>
                                <w:lang w:val="en-US" w:eastAsia="zh-CN"/>
                              </w:rPr>
                              <w:t>1#栋生产厂房</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5661660</wp:posOffset>
                      </wp:positionH>
                      <wp:positionV relativeFrom="paragraph">
                        <wp:posOffset>1022350</wp:posOffset>
                      </wp:positionV>
                      <wp:extent cx="1567815" cy="316230"/>
                      <wp:effectExtent l="0" t="0" r="0" b="0"/>
                      <wp:wrapNone/>
                      <wp:docPr id="1208" name="文本框 169"/>
                      <wp:cNvGraphicFramePr/>
                      <a:graphic xmlns:a="http://schemas.openxmlformats.org/drawingml/2006/main">
                        <a:graphicData uri="http://schemas.microsoft.com/office/word/2010/wordprocessingShape">
                          <wps:wsp>
                            <wps:cNvSpPr/>
                            <wps:spPr>
                              <a:xfrm>
                                <a:off x="0" y="0"/>
                                <a:ext cx="1567815" cy="316230"/>
                              </a:xfrm>
                              <a:prstGeom prst="rect">
                                <a:avLst/>
                              </a:prstGeom>
                              <a:ln>
                                <a:noFill/>
                              </a:ln>
                            </wps:spPr>
                            <wps:txbx>
                              <w:txbxContent>
                                <w:p w14:paraId="03ED4453">
                                  <w:pPr>
                                    <w:jc w:val="center"/>
                                    <w:rPr>
                                      <w:rFonts w:hint="default" w:eastAsia="宋体"/>
                                      <w:b/>
                                      <w:bCs/>
                                      <w:sz w:val="28"/>
                                      <w:szCs w:val="36"/>
                                      <w:lang w:val="en-US" w:eastAsia="zh-CN"/>
                                    </w:rPr>
                                  </w:pPr>
                                  <w:r>
                                    <w:rPr>
                                      <w:rFonts w:hint="eastAsia"/>
                                      <w:b/>
                                      <w:bCs/>
                                      <w:sz w:val="28"/>
                                      <w:szCs w:val="36"/>
                                      <w:lang w:val="en-US" w:eastAsia="zh-CN"/>
                                    </w:rPr>
                                    <w:t>6#栋办公室、食堂</w:t>
                                  </w:r>
                                </w:p>
                              </w:txbxContent>
                            </wps:txbx>
                            <wps:bodyPr vert="horz" wrap="square" lIns="91440" tIns="45720" rIns="91440" bIns="45720" anchor="t">
                              <a:noAutofit/>
                            </wps:bodyPr>
                          </wps:wsp>
                        </a:graphicData>
                      </a:graphic>
                    </wp:anchor>
                  </w:drawing>
                </mc:Choice>
                <mc:Fallback>
                  <w:pict>
                    <v:rect id="文本框 169" o:spid="_x0000_s1026" o:spt="1" style="position:absolute;left:0pt;margin-left:445.8pt;margin-top:80.5pt;height:24.9pt;width:123.45pt;z-index:251660288;mso-width-relative:page;mso-height-relative:page;" filled="f" stroked="f" coordsize="21600,21600" o:gfxdata="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62SO19sAAAAMAQAA&#10;DwAAAAAAAAABACAAAAAiAAAAZHJzL2Rvd25yZXYueG1sUEsBAhQAFAAAAAgAh07iQE2vSrPdAQAA&#10;pQMAAA4AAAAAAAAAAQAgAAAAKgEAAGRycy9lMm9Eb2MueG1sUEsFBgAAAAAGAAYAWQEAAHkFAAAA&#10;AA==&#10;">
                      <v:fill on="f" focussize="0,0"/>
                      <v:stroke on="f"/>
                      <v:imagedata o:title=""/>
                      <o:lock v:ext="edit" aspectratio="f"/>
                      <v:textbox>
                        <w:txbxContent>
                          <w:p w14:paraId="03ED4453">
                            <w:pPr>
                              <w:jc w:val="center"/>
                              <w:rPr>
                                <w:rFonts w:hint="default" w:eastAsia="宋体"/>
                                <w:b/>
                                <w:bCs/>
                                <w:sz w:val="28"/>
                                <w:szCs w:val="36"/>
                                <w:lang w:val="en-US" w:eastAsia="zh-CN"/>
                              </w:rPr>
                            </w:pPr>
                            <w:r>
                              <w:rPr>
                                <w:rFonts w:hint="eastAsia"/>
                                <w:b/>
                                <w:bCs/>
                                <w:sz w:val="28"/>
                                <w:szCs w:val="36"/>
                                <w:lang w:val="en-US" w:eastAsia="zh-CN"/>
                              </w:rPr>
                              <w:t>6#栋办公室、食堂</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5661660</wp:posOffset>
                      </wp:positionH>
                      <wp:positionV relativeFrom="paragraph">
                        <wp:posOffset>2519045</wp:posOffset>
                      </wp:positionV>
                      <wp:extent cx="1567815" cy="316230"/>
                      <wp:effectExtent l="0" t="0" r="0" b="0"/>
                      <wp:wrapNone/>
                      <wp:docPr id="1209" name="文本框 168"/>
                      <wp:cNvGraphicFramePr/>
                      <a:graphic xmlns:a="http://schemas.openxmlformats.org/drawingml/2006/main">
                        <a:graphicData uri="http://schemas.microsoft.com/office/word/2010/wordprocessingShape">
                          <wps:wsp>
                            <wps:cNvSpPr/>
                            <wps:spPr>
                              <a:xfrm>
                                <a:off x="0" y="0"/>
                                <a:ext cx="1567815" cy="316229"/>
                              </a:xfrm>
                              <a:prstGeom prst="rect">
                                <a:avLst/>
                              </a:prstGeom>
                              <a:ln>
                                <a:noFill/>
                              </a:ln>
                            </wps:spPr>
                            <wps:txbx>
                              <w:txbxContent>
                                <w:p w14:paraId="65B69AB1">
                                  <w:pPr>
                                    <w:jc w:val="center"/>
                                    <w:rPr>
                                      <w:rFonts w:hint="default" w:eastAsia="宋体"/>
                                      <w:sz w:val="24"/>
                                      <w:szCs w:val="32"/>
                                      <w:lang w:val="en-US" w:eastAsia="zh-CN"/>
                                    </w:rPr>
                                  </w:pPr>
                                  <w:r>
                                    <w:rPr>
                                      <w:rFonts w:hint="eastAsia"/>
                                      <w:sz w:val="24"/>
                                      <w:szCs w:val="32"/>
                                      <w:lang w:val="en-US" w:eastAsia="zh-CN"/>
                                    </w:rPr>
                                    <w:t>其他空置厂房</w:t>
                                  </w:r>
                                </w:p>
                              </w:txbxContent>
                            </wps:txbx>
                            <wps:bodyPr vert="horz" wrap="square" lIns="91440" tIns="45720" rIns="91440" bIns="45720" anchor="t">
                              <a:noAutofit/>
                            </wps:bodyPr>
                          </wps:wsp>
                        </a:graphicData>
                      </a:graphic>
                    </wp:anchor>
                  </w:drawing>
                </mc:Choice>
                <mc:Fallback>
                  <w:pict>
                    <v:rect id="文本框 168" o:spid="_x0000_s1026" o:spt="1" style="position:absolute;left:0pt;margin-left:445.8pt;margin-top:198.35pt;height:24.9pt;width:123.45pt;z-index:251660288;mso-width-relative:page;mso-height-relative:page;" filled="f" stroked="f" coordsize="21600,21600" o:gfxdata="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PSjSNN0AAAAMAQAA&#10;DwAAAAAAAAABACAAAAAiAAAAZHJzL2Rvd25yZXYueG1sUEsBAhQAFAAAAAgAh07iQHcbXu7bAQAA&#10;pQMAAA4AAAAAAAAAAQAgAAAALAEAAGRycy9lMm9Eb2MueG1sUEsFBgAAAAAGAAYAWQEAAHkFAAAA&#10;AA==&#10;">
                      <v:fill on="f" focussize="0,0"/>
                      <v:stroke on="f"/>
                      <v:imagedata o:title=""/>
                      <o:lock v:ext="edit" aspectratio="f"/>
                      <v:textbox>
                        <w:txbxContent>
                          <w:p w14:paraId="65B69AB1">
                            <w:pPr>
                              <w:jc w:val="center"/>
                              <w:rPr>
                                <w:rFonts w:hint="default" w:eastAsia="宋体"/>
                                <w:sz w:val="24"/>
                                <w:szCs w:val="32"/>
                                <w:lang w:val="en-US" w:eastAsia="zh-CN"/>
                              </w:rPr>
                            </w:pPr>
                            <w:r>
                              <w:rPr>
                                <w:rFonts w:hint="eastAsia"/>
                                <w:sz w:val="24"/>
                                <w:szCs w:val="32"/>
                                <w:lang w:val="en-US" w:eastAsia="zh-CN"/>
                              </w:rPr>
                              <w:t>其他空置厂房</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5511165</wp:posOffset>
                      </wp:positionH>
                      <wp:positionV relativeFrom="paragraph">
                        <wp:posOffset>709930</wp:posOffset>
                      </wp:positionV>
                      <wp:extent cx="1865630" cy="1033780"/>
                      <wp:effectExtent l="12700" t="12700" r="26669" b="20320"/>
                      <wp:wrapNone/>
                      <wp:docPr id="1210" name="矩形 164"/>
                      <wp:cNvGraphicFramePr/>
                      <a:graphic xmlns:a="http://schemas.openxmlformats.org/drawingml/2006/main">
                        <a:graphicData uri="http://schemas.microsoft.com/office/word/2010/wordprocessingShape">
                          <wps:wsp>
                            <wps:cNvSpPr/>
                            <wps:spPr>
                              <a:xfrm>
                                <a:off x="0" y="0"/>
                                <a:ext cx="1865629" cy="1033779"/>
                              </a:xfrm>
                              <a:prstGeom prst="rect">
                                <a:avLst/>
                              </a:prstGeom>
                              <a:solidFill>
                                <a:srgbClr val="C6D9F0"/>
                              </a:solidFill>
                              <a:ln w="25400" cap="flat" cmpd="sng">
                                <a:solidFill>
                                  <a:srgbClr val="1F497D"/>
                                </a:solidFill>
                                <a:prstDash val="solid"/>
                                <a:round/>
                              </a:ln>
                            </wps:spPr>
                            <wps:bodyPr/>
                          </wps:wsp>
                        </a:graphicData>
                      </a:graphic>
                    </wp:anchor>
                  </w:drawing>
                </mc:Choice>
                <mc:Fallback>
                  <w:pict>
                    <v:rect id="矩形 164" o:spid="_x0000_s1026" o:spt="1" style="position:absolute;left:0pt;margin-left:433.95pt;margin-top:55.9pt;height:81.4pt;width:146.9pt;z-index:251660288;mso-width-relative:page;mso-height-relative:page;" fillcolor="#C6D9F0" filled="t" stroked="t" coordsize="21600,21600" o:gfxdata="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YlFcCtkAAAAM&#10;AQAADwAAAAAAAAABACAAAAAiAAAAZHJzL2Rvd25yZXYueG1sUEsBAhQAFAAAAAgAh07iQLlmUoDi&#10;AQAAxQMAAA4AAAAAAAAAAQAgAAAAKAEAAGRycy9lMm9Eb2MueG1sUEsFBgAAAAAGAAYAWQEAAHwF&#10;AAAAAA==&#10;">
                      <v:fill on="t" focussize="0,0"/>
                      <v:stroke weight="2pt" color="#1F497D" joinstyle="round"/>
                      <v:imagedata o:title=""/>
                      <o:lock v:ext="edit" aspectratio="f"/>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1769110</wp:posOffset>
                      </wp:positionH>
                      <wp:positionV relativeFrom="paragraph">
                        <wp:posOffset>301625</wp:posOffset>
                      </wp:positionV>
                      <wp:extent cx="3022600" cy="1442085"/>
                      <wp:effectExtent l="12700" t="12700" r="12700" b="31115"/>
                      <wp:wrapNone/>
                      <wp:docPr id="1211" name="矩形 166"/>
                      <wp:cNvGraphicFramePr/>
                      <a:graphic xmlns:a="http://schemas.openxmlformats.org/drawingml/2006/main">
                        <a:graphicData uri="http://schemas.microsoft.com/office/word/2010/wordprocessingShape">
                          <wps:wsp>
                            <wps:cNvSpPr/>
                            <wps:spPr>
                              <a:xfrm>
                                <a:off x="0" y="0"/>
                                <a:ext cx="3022599" cy="1442085"/>
                              </a:xfrm>
                              <a:prstGeom prst="rect">
                                <a:avLst/>
                              </a:prstGeom>
                              <a:solidFill>
                                <a:srgbClr val="EEECE1"/>
                              </a:solidFill>
                              <a:ln w="25400" cap="flat" cmpd="sng">
                                <a:solidFill>
                                  <a:srgbClr val="1F497D"/>
                                </a:solidFill>
                                <a:prstDash val="solid"/>
                                <a:round/>
                              </a:ln>
                            </wps:spPr>
                            <wps:bodyPr/>
                          </wps:wsp>
                        </a:graphicData>
                      </a:graphic>
                    </wp:anchor>
                  </w:drawing>
                </mc:Choice>
                <mc:Fallback>
                  <w:pict>
                    <v:rect id="矩形 166" o:spid="_x0000_s1026" o:spt="1" style="position:absolute;left:0pt;margin-left:139.3pt;margin-top:23.75pt;height:113.55pt;width:238pt;z-index:251660288;mso-width-relative:page;mso-height-relative:page;" fillcolor="#EEECE1" filled="t" stroked="t" coordsize="21600,21600" o:gfxdata="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LJiAx1wAAAAoBAAAP&#10;AAAAAAAAAAEAIAAAACIAAABkcnMvZG93bnJldi54bWxQSwECFAAUAAAACACHTuJArfiu2eABAADF&#10;AwAADgAAAAAAAAABACAAAAAmAQAAZHJzL2Uyb0RvYy54bWxQSwUGAAAAAAYABgBZAQAAeAUAAAAA&#10;">
                      <v:fill on="t" focussize="0,0"/>
                      <v:stroke weight="2pt" color="#1F497D" joinstyle="round"/>
                      <v:imagedata o:title=""/>
                      <o:lock v:ext="edit" aspectratio="f"/>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5511165</wp:posOffset>
                      </wp:positionH>
                      <wp:positionV relativeFrom="paragraph">
                        <wp:posOffset>2179320</wp:posOffset>
                      </wp:positionV>
                      <wp:extent cx="1865630" cy="1033780"/>
                      <wp:effectExtent l="12700" t="12700" r="26669" b="20320"/>
                      <wp:wrapNone/>
                      <wp:docPr id="1212" name="矩形 165"/>
                      <wp:cNvGraphicFramePr/>
                      <a:graphic xmlns:a="http://schemas.openxmlformats.org/drawingml/2006/main">
                        <a:graphicData uri="http://schemas.microsoft.com/office/word/2010/wordprocessingShape">
                          <wps:wsp>
                            <wps:cNvSpPr/>
                            <wps:spPr>
                              <a:xfrm>
                                <a:off x="0" y="0"/>
                                <a:ext cx="1865629" cy="1033779"/>
                              </a:xfrm>
                              <a:prstGeom prst="rect">
                                <a:avLst/>
                              </a:prstGeom>
                              <a:solidFill>
                                <a:srgbClr val="EEECE1"/>
                              </a:solidFill>
                              <a:ln w="25400" cap="flat" cmpd="sng">
                                <a:solidFill>
                                  <a:srgbClr val="1F497D"/>
                                </a:solidFill>
                                <a:prstDash val="solid"/>
                                <a:round/>
                              </a:ln>
                            </wps:spPr>
                            <wps:bodyPr/>
                          </wps:wsp>
                        </a:graphicData>
                      </a:graphic>
                    </wp:anchor>
                  </w:drawing>
                </mc:Choice>
                <mc:Fallback>
                  <w:pict>
                    <v:rect id="矩形 165" o:spid="_x0000_s1026" o:spt="1" style="position:absolute;left:0pt;margin-left:433.95pt;margin-top:171.6pt;height:81.4pt;width:146.9pt;z-index:251660288;mso-width-relative:page;mso-height-relative:page;" fillcolor="#EEECE1" filled="t" stroked="t" coordsize="21600,21600" o:gfxdata="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YpIhl2gAAAAwB&#10;AAAPAAAAAAAAAAEAIAAAACIAAABkcnMvZG93bnJldi54bWxQSwECFAAUAAAACACHTuJAaBziQ+AB&#10;AADFAwAADgAAAAAAAAABACAAAAApAQAAZHJzL2Uyb0RvYy54bWxQSwUGAAAAAAYABgBZAQAAewUA&#10;AAAA&#10;">
                      <v:fill on="t" focussize="0,0"/>
                      <v:stroke weight="2pt" color="#1F497D" joinstyle="round"/>
                      <v:imagedata o:title=""/>
                      <o:lock v:ext="edit" aspectratio="f"/>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913130</wp:posOffset>
                      </wp:positionH>
                      <wp:positionV relativeFrom="paragraph">
                        <wp:posOffset>2179320</wp:posOffset>
                      </wp:positionV>
                      <wp:extent cx="3878580" cy="1591945"/>
                      <wp:effectExtent l="12700" t="12700" r="13970" b="14605"/>
                      <wp:wrapNone/>
                      <wp:docPr id="1213" name="矩形 163"/>
                      <wp:cNvGraphicFramePr/>
                      <a:graphic xmlns:a="http://schemas.openxmlformats.org/drawingml/2006/main">
                        <a:graphicData uri="http://schemas.microsoft.com/office/word/2010/wordprocessingShape">
                          <wps:wsp>
                            <wps:cNvSpPr/>
                            <wps:spPr>
                              <a:xfrm>
                                <a:off x="0" y="0"/>
                                <a:ext cx="3878580" cy="1591945"/>
                              </a:xfrm>
                              <a:prstGeom prst="rect">
                                <a:avLst/>
                              </a:prstGeom>
                              <a:solidFill>
                                <a:srgbClr val="C6D9F0"/>
                              </a:solidFill>
                              <a:ln w="25400" cap="flat" cmpd="sng">
                                <a:solidFill>
                                  <a:srgbClr val="1F497D"/>
                                </a:solidFill>
                                <a:prstDash val="solid"/>
                                <a:round/>
                              </a:ln>
                            </wps:spPr>
                            <wps:bodyPr/>
                          </wps:wsp>
                        </a:graphicData>
                      </a:graphic>
                    </wp:anchor>
                  </w:drawing>
                </mc:Choice>
                <mc:Fallback>
                  <w:pict>
                    <v:rect id="矩形 163" o:spid="_x0000_s1026" o:spt="1" style="position:absolute;left:0pt;margin-left:71.9pt;margin-top:171.6pt;height:125.35pt;width:305.4pt;z-index:251660288;mso-width-relative:page;mso-height-relative:page;" fillcolor="#C6D9F0" filled="t" stroked="t" coordsize="21600,21600" o:gfxdata="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GJt8XtoAAAAL&#10;AQAADwAAAAAAAAABACAAAAAiAAAAZHJzL2Rvd25yZXYueG1sUEsBAhQAFAAAAAgAh07iQDwx/Rfh&#10;AQAAxQMAAA4AAAAAAAAAAQAgAAAAKQEAAGRycy9lMm9Eb2MueG1sUEsFBgAAAAAGAAYAWQEAAHwF&#10;AAAAAA==&#10;">
                      <v:fill on="t" focussize="0,0"/>
                      <v:stroke weight="2pt" color="#1F497D" joinstyle="round"/>
                      <v:imagedata o:title=""/>
                      <o:lock v:ext="edit" aspectratio="f"/>
                    </v:rect>
                  </w:pict>
                </mc:Fallback>
              </mc:AlternateContent>
            </w:r>
          </w:p>
        </w:tc>
      </w:tr>
    </w:tbl>
    <w:p w14:paraId="3D0AE351">
      <w:pPr>
        <w:tabs>
          <w:tab w:val="left" w:pos="0"/>
        </w:tabs>
        <w:ind w:left="0" w:leftChars="0" w:firstLine="0" w:firstLineChars="0"/>
        <w:outlineLvl w:val="9"/>
        <w:rPr>
          <w:rFonts w:hint="default" w:ascii="Times New Roman" w:hAnsi="Times New Roman" w:eastAsia="宋体" w:cs="Times New Roman"/>
          <w:color w:val="auto"/>
          <w:lang w:val="en-US" w:eastAsia="zh-CN"/>
        </w:rPr>
      </w:pPr>
    </w:p>
    <w:p w14:paraId="32143ED3">
      <w:pPr>
        <w:keepNext w:val="0"/>
        <w:keepLines w:val="0"/>
        <w:pageBreakBefore w:val="0"/>
        <w:widowControl w:val="0"/>
        <w:kinsoku/>
        <w:wordWrap/>
        <w:overflowPunct/>
        <w:topLinePunct w:val="0"/>
        <w:autoSpaceDE/>
        <w:autoSpaceDN/>
        <w:bidi w:val="0"/>
        <w:adjustRightInd/>
        <w:snapToGrid w:val="0"/>
        <w:textAlignment w:val="auto"/>
        <w:outlineLvl w:val="9"/>
        <w:rPr>
          <w:rFonts w:hint="default" w:ascii="Times New Roman" w:hAnsi="Times New Roman" w:eastAsia="宋体" w:cs="Times New Roman"/>
          <w:b/>
          <w:bCs/>
          <w:color w:val="auto"/>
          <w:sz w:val="24"/>
          <w:szCs w:val="24"/>
          <w:lang w:val="en-US" w:eastAsia="zh-CN"/>
        </w:rPr>
        <w:sectPr>
          <w:pgSz w:w="16838" w:h="11906" w:orient="landscape"/>
          <w:pgMar w:top="1531" w:right="1701" w:bottom="1531" w:left="1701" w:header="851" w:footer="851" w:gutter="0"/>
          <w:pgNumType w:fmt="decimal"/>
          <w:cols w:space="720" w:num="1"/>
          <w:docGrid w:linePitch="312" w:charSpace="0"/>
        </w:sectPr>
      </w:pPr>
    </w:p>
    <w:p w14:paraId="0729392D">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宋体" w:cs="Times New Roman"/>
          <w:b/>
          <w:bCs/>
          <w:color w:val="auto"/>
          <w:sz w:val="24"/>
          <w:szCs w:val="24"/>
          <w:lang w:val="en-US" w:eastAsia="zh-CN"/>
        </w:rPr>
      </w:pPr>
      <w:bookmarkStart w:id="22" w:name="_Toc5497"/>
      <w:r>
        <w:rPr>
          <w:rFonts w:hint="default" w:ascii="Times New Roman" w:hAnsi="Times New Roman" w:eastAsia="宋体" w:cs="Times New Roman"/>
          <w:b/>
          <w:bCs/>
          <w:color w:val="auto"/>
          <w:sz w:val="24"/>
          <w:szCs w:val="24"/>
          <w:lang w:val="en-US" w:eastAsia="zh-CN"/>
        </w:rPr>
        <w:t>附图4 项目周边关系图</w:t>
      </w:r>
      <w:bookmarkEnd w:id="22"/>
    </w:p>
    <w:p w14:paraId="75149055">
      <w:pPr>
        <w:tabs>
          <w:tab w:val="left" w:pos="0"/>
        </w:tabs>
        <w:spacing w:line="240" w:lineRule="auto"/>
        <w:ind w:left="0" w:leftChars="0" w:firstLine="0" w:firstLineChars="0"/>
        <w:jc w:val="center"/>
        <w:outlineLvl w:val="9"/>
        <w:rPr>
          <w:rFonts w:hint="default" w:ascii="Times New Roman" w:hAnsi="Times New Roman" w:eastAsia="宋体" w:cs="Times New Roman"/>
          <w:color w:val="auto"/>
        </w:rPr>
      </w:pP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1980565</wp:posOffset>
                </wp:positionH>
                <wp:positionV relativeFrom="paragraph">
                  <wp:posOffset>2548890</wp:posOffset>
                </wp:positionV>
                <wp:extent cx="1849120" cy="285750"/>
                <wp:effectExtent l="0" t="0" r="0" b="0"/>
                <wp:wrapNone/>
                <wp:docPr id="1214" name="文本框 95"/>
                <wp:cNvGraphicFramePr/>
                <a:graphic xmlns:a="http://schemas.openxmlformats.org/drawingml/2006/main">
                  <a:graphicData uri="http://schemas.microsoft.com/office/word/2010/wordprocessingShape">
                    <wps:wsp>
                      <wps:cNvSpPr/>
                      <wps:spPr>
                        <a:xfrm>
                          <a:off x="0" y="0"/>
                          <a:ext cx="1849119" cy="285750"/>
                        </a:xfrm>
                        <a:prstGeom prst="rect">
                          <a:avLst/>
                        </a:prstGeom>
                        <a:ln>
                          <a:noFill/>
                        </a:ln>
                      </wps:spPr>
                      <wps:txbx>
                        <w:txbxContent>
                          <w:p w14:paraId="697D1FBE">
                            <w:pPr>
                              <w:jc w:val="center"/>
                              <w:rPr>
                                <w:rFonts w:hint="eastAsia" w:eastAsia="宋体"/>
                                <w:b/>
                                <w:bCs/>
                                <w:color w:val="FF0000"/>
                                <w:lang w:val="en-US" w:eastAsia="zh-CN"/>
                              </w:rPr>
                            </w:pPr>
                            <w:r>
                              <w:rPr>
                                <w:rFonts w:hint="eastAsia"/>
                                <w:b/>
                                <w:bCs/>
                                <w:color w:val="FF0000"/>
                                <w:lang w:val="en-US" w:eastAsia="zh-CN"/>
                              </w:rPr>
                              <w:t>衡阳嘉准科技有限公司厂房</w:t>
                            </w:r>
                          </w:p>
                        </w:txbxContent>
                      </wps:txbx>
                      <wps:bodyPr vert="horz" wrap="square" lIns="91440" tIns="45720" rIns="91440" bIns="45720" anchor="t">
                        <a:noAutofit/>
                      </wps:bodyPr>
                    </wps:wsp>
                  </a:graphicData>
                </a:graphic>
              </wp:anchor>
            </w:drawing>
          </mc:Choice>
          <mc:Fallback>
            <w:pict>
              <v:rect id="文本框 95" o:spid="_x0000_s1026" o:spt="1" style="position:absolute;left:0pt;margin-left:155.95pt;margin-top:200.7pt;height:22.5pt;width:145.6pt;z-index:251660288;mso-width-relative:page;mso-height-relative:page;" filled="f" stroked="f" coordsize="21600,21600" o:gfxdata="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OKSCmLbAAAACwEAAA8A&#10;AAAAAAAAAQAgAAAAIgAAAGRycy9kb3ducmV2LnhtbFBLAQIUABQAAAAIAIdO4kCQchtR2wEAAKQD&#10;AAAOAAAAAAAAAAEAIAAAACoBAABkcnMvZTJvRG9jLnhtbFBLBQYAAAAABgAGAFkBAAB3BQAAAAA=&#10;">
                <v:fill on="f" focussize="0,0"/>
                <v:stroke on="f"/>
                <v:imagedata o:title=""/>
                <o:lock v:ext="edit" aspectratio="f"/>
                <v:textbox>
                  <w:txbxContent>
                    <w:p w14:paraId="697D1FBE">
                      <w:pPr>
                        <w:jc w:val="center"/>
                        <w:rPr>
                          <w:rFonts w:hint="eastAsia" w:eastAsia="宋体"/>
                          <w:b/>
                          <w:bCs/>
                          <w:color w:val="FF0000"/>
                          <w:lang w:val="en-US" w:eastAsia="zh-CN"/>
                        </w:rPr>
                      </w:pPr>
                      <w:r>
                        <w:rPr>
                          <w:rFonts w:hint="eastAsia"/>
                          <w:b/>
                          <w:bCs/>
                          <w:color w:val="FF0000"/>
                          <w:lang w:val="en-US" w:eastAsia="zh-CN"/>
                        </w:rPr>
                        <w:t>衡阳嘉准科技有限公司厂房</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2715895</wp:posOffset>
                </wp:positionH>
                <wp:positionV relativeFrom="paragraph">
                  <wp:posOffset>1666240</wp:posOffset>
                </wp:positionV>
                <wp:extent cx="944880" cy="285750"/>
                <wp:effectExtent l="329565" t="0" r="0" b="0"/>
                <wp:wrapNone/>
                <wp:docPr id="1215" name="文本框 150"/>
                <wp:cNvGraphicFramePr/>
                <a:graphic xmlns:a="http://schemas.openxmlformats.org/drawingml/2006/main">
                  <a:graphicData uri="http://schemas.microsoft.com/office/word/2010/wordprocessingShape">
                    <wps:wsp>
                      <wps:cNvSpPr/>
                      <wps:spPr>
                        <a:xfrm rot="2700000">
                          <a:off x="0" y="0"/>
                          <a:ext cx="944880" cy="285750"/>
                        </a:xfrm>
                        <a:prstGeom prst="rect">
                          <a:avLst/>
                        </a:prstGeom>
                        <a:ln>
                          <a:noFill/>
                        </a:ln>
                      </wps:spPr>
                      <wps:txbx>
                        <w:txbxContent>
                          <w:p w14:paraId="1FC1363F">
                            <w:pPr>
                              <w:jc w:val="center"/>
                              <w:rPr>
                                <w:rFonts w:hint="eastAsia"/>
                                <w:b/>
                                <w:bCs/>
                                <w:color w:val="FF0000"/>
                                <w:lang w:val="en-US" w:eastAsia="zh-CN"/>
                              </w:rPr>
                            </w:pPr>
                            <w:r>
                              <w:rPr>
                                <w:rFonts w:hint="eastAsia"/>
                                <w:b/>
                                <w:bCs/>
                                <w:color w:val="FF0000"/>
                                <w:lang w:val="en-US" w:eastAsia="zh-CN"/>
                              </w:rPr>
                              <w:t>1000m</w:t>
                            </w:r>
                          </w:p>
                          <w:p w14:paraId="15B18498">
                            <w:pPr>
                              <w:pStyle w:val="2"/>
                              <w:rPr>
                                <w:rFonts w:hint="default"/>
                                <w:lang w:val="en-US" w:eastAsia="zh-CN"/>
                              </w:rPr>
                            </w:pPr>
                          </w:p>
                        </w:txbxContent>
                      </wps:txbx>
                      <wps:bodyPr vert="horz" wrap="square" lIns="91440" tIns="45720" rIns="91440" bIns="45720" anchor="t">
                        <a:noAutofit/>
                      </wps:bodyPr>
                    </wps:wsp>
                  </a:graphicData>
                </a:graphic>
              </wp:anchor>
            </w:drawing>
          </mc:Choice>
          <mc:Fallback>
            <w:pict>
              <v:rect id="文本框 150" o:spid="_x0000_s1026" o:spt="1" style="position:absolute;left:0pt;margin-left:213.85pt;margin-top:131.2pt;height:22.5pt;width:74.4pt;rotation:2949120f;z-index:251660288;mso-width-relative:page;mso-height-relative:page;" filled="f" stroked="f" coordsize="21600,21600" o:gfxdata="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PdjUiLd&#10;AAAACwEAAA8AAAAAAAAAAQAgAAAAIgAAAGRycy9kb3ducmV2LnhtbFBLAQIUABQAAAAIAIdO4kBH&#10;RQKZ4gEAALIDAAAOAAAAAAAAAAEAIAAAACwBAABkcnMvZTJvRG9jLnhtbFBLBQYAAAAABgAGAFkB&#10;AACABQAAAAA=&#10;">
                <v:fill on="f" focussize="0,0"/>
                <v:stroke on="f"/>
                <v:imagedata o:title=""/>
                <o:lock v:ext="edit" aspectratio="f"/>
                <v:textbox>
                  <w:txbxContent>
                    <w:p w14:paraId="1FC1363F">
                      <w:pPr>
                        <w:jc w:val="center"/>
                        <w:rPr>
                          <w:rFonts w:hint="eastAsia"/>
                          <w:b/>
                          <w:bCs/>
                          <w:color w:val="FF0000"/>
                          <w:lang w:val="en-US" w:eastAsia="zh-CN"/>
                        </w:rPr>
                      </w:pPr>
                      <w:r>
                        <w:rPr>
                          <w:rFonts w:hint="eastAsia"/>
                          <w:b/>
                          <w:bCs/>
                          <w:color w:val="FF0000"/>
                          <w:lang w:val="en-US" w:eastAsia="zh-CN"/>
                        </w:rPr>
                        <w:t>1000m</w:t>
                      </w:r>
                    </w:p>
                    <w:p w14:paraId="15B18498">
                      <w:pPr>
                        <w:pStyle w:val="2"/>
                        <w:rPr>
                          <w:rFonts w:hint="default"/>
                          <w:lang w:val="en-US" w:eastAsia="zh-CN"/>
                        </w:rPr>
                      </w:pP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2693670</wp:posOffset>
                </wp:positionH>
                <wp:positionV relativeFrom="paragraph">
                  <wp:posOffset>1466850</wp:posOffset>
                </wp:positionV>
                <wp:extent cx="1417955" cy="1399540"/>
                <wp:effectExtent l="0" t="0" r="10795" b="10160"/>
                <wp:wrapNone/>
                <wp:docPr id="1216" name="直接箭头连接符 149"/>
                <wp:cNvGraphicFramePr/>
                <a:graphic xmlns:a="http://schemas.openxmlformats.org/drawingml/2006/main">
                  <a:graphicData uri="http://schemas.microsoft.com/office/word/2010/wordprocessingShape">
                    <wps:wsp>
                      <wps:cNvCnPr/>
                      <wps:spPr>
                        <a:xfrm flipH="1" flipV="1">
                          <a:off x="0" y="0"/>
                          <a:ext cx="1417954" cy="1399540"/>
                        </a:xfrm>
                        <a:prstGeom prst="straightConnector1">
                          <a:avLst/>
                        </a:prstGeom>
                        <a:ln w="9525" cap="flat" cmpd="sng">
                          <a:solidFill>
                            <a:srgbClr val="FF0000"/>
                          </a:solidFill>
                          <a:prstDash val="solid"/>
                          <a:round/>
                          <a:tailEnd type="arrow" w="med" len="med"/>
                        </a:ln>
                      </wps:spPr>
                      <wps:bodyPr/>
                    </wps:wsp>
                  </a:graphicData>
                </a:graphic>
              </wp:anchor>
            </w:drawing>
          </mc:Choice>
          <mc:Fallback>
            <w:pict>
              <v:shape id="直接箭头连接符 149" o:spid="_x0000_s1026" o:spt="32" type="#_x0000_t32" style="position:absolute;left:0pt;flip:x y;margin-left:212.1pt;margin-top:115.5pt;height:110.2pt;width:111.65pt;z-index:251660288;mso-width-relative:page;mso-height-relative:page;" filled="f" stroked="t" coordsize="21600,21600" o:gfxdata="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jCYUO2gAAAAsBAAAPAAAA&#10;AAAAAAEAIAAAACIAAABkcnMvZG93bnJldi54bWxQSwECFAAUAAAACACHTuJALHhdxRMCAADsAwAA&#10;DgAAAAAAAAABACAAAAApAQAAZHJzL2Uyb0RvYy54bWxQSwUGAAAAAAYABgBZAQAArgUAAAAA&#10;">
                <v:fill on="f" focussize="0,0"/>
                <v:stroke color="#FF0000" joinstyle="round" endarrow="open"/>
                <v:imagedata o:title=""/>
                <o:lock v:ext="edit" aspectratio="f"/>
              </v:shape>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4556760</wp:posOffset>
                </wp:positionH>
                <wp:positionV relativeFrom="paragraph">
                  <wp:posOffset>1456055</wp:posOffset>
                </wp:positionV>
                <wp:extent cx="777875" cy="285750"/>
                <wp:effectExtent l="0" t="0" r="0" b="0"/>
                <wp:wrapNone/>
                <wp:docPr id="1217" name="文本框 139"/>
                <wp:cNvGraphicFramePr/>
                <a:graphic xmlns:a="http://schemas.openxmlformats.org/drawingml/2006/main">
                  <a:graphicData uri="http://schemas.microsoft.com/office/word/2010/wordprocessingShape">
                    <wps:wsp>
                      <wps:cNvSpPr/>
                      <wps:spPr>
                        <a:xfrm>
                          <a:off x="0" y="0"/>
                          <a:ext cx="777875" cy="285749"/>
                        </a:xfrm>
                        <a:prstGeom prst="rect">
                          <a:avLst/>
                        </a:prstGeom>
                        <a:ln>
                          <a:noFill/>
                        </a:ln>
                      </wps:spPr>
                      <wps:txbx>
                        <w:txbxContent>
                          <w:p w14:paraId="6D9D5187">
                            <w:pPr>
                              <w:jc w:val="center"/>
                              <w:rPr>
                                <w:rFonts w:hint="default" w:eastAsia="宋体"/>
                                <w:b/>
                                <w:bCs/>
                                <w:color w:val="FF0000"/>
                                <w:lang w:val="en-US" w:eastAsia="zh-CN"/>
                              </w:rPr>
                            </w:pPr>
                            <w:r>
                              <w:rPr>
                                <w:rFonts w:hint="eastAsia"/>
                                <w:b/>
                                <w:bCs/>
                                <w:color w:val="FF0000"/>
                                <w:lang w:val="en-US" w:eastAsia="zh-CN"/>
                              </w:rPr>
                              <w:t>居民区</w:t>
                            </w:r>
                          </w:p>
                        </w:txbxContent>
                      </wps:txbx>
                      <wps:bodyPr vert="horz" wrap="square" lIns="91440" tIns="45720" rIns="91440" bIns="45720" anchor="t">
                        <a:noAutofit/>
                      </wps:bodyPr>
                    </wps:wsp>
                  </a:graphicData>
                </a:graphic>
              </wp:anchor>
            </w:drawing>
          </mc:Choice>
          <mc:Fallback>
            <w:pict>
              <v:rect id="文本框 139" o:spid="_x0000_s1026" o:spt="1" style="position:absolute;left:0pt;margin-left:358.8pt;margin-top:114.65pt;height:22.5pt;width:61.25pt;z-index:251660288;mso-width-relative:page;mso-height-relative:page;" filled="f" stroked="f" coordsize="21600,21600" o:gfxdata="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XR7+tdwAAAALAQAA&#10;DwAAAAAAAAABACAAAAAiAAAAZHJzL2Rvd25yZXYueG1sUEsBAhQAFAAAAAgAh07iQL/UlOvcAQAA&#10;pAMAAA4AAAAAAAAAAQAgAAAAKwEAAGRycy9lMm9Eb2MueG1sUEsFBgAAAAAGAAYAWQEAAHkFAAAA&#10;AA==&#10;">
                <v:fill on="f" focussize="0,0"/>
                <v:stroke on="f"/>
                <v:imagedata o:title=""/>
                <o:lock v:ext="edit" aspectratio="f"/>
                <v:textbox>
                  <w:txbxContent>
                    <w:p w14:paraId="6D9D5187">
                      <w:pPr>
                        <w:jc w:val="center"/>
                        <w:rPr>
                          <w:rFonts w:hint="default" w:eastAsia="宋体"/>
                          <w:b/>
                          <w:bCs/>
                          <w:color w:val="FF0000"/>
                          <w:lang w:val="en-US" w:eastAsia="zh-CN"/>
                        </w:rPr>
                      </w:pPr>
                      <w:r>
                        <w:rPr>
                          <w:rFonts w:hint="eastAsia"/>
                          <w:b/>
                          <w:bCs/>
                          <w:color w:val="FF0000"/>
                          <w:lang w:val="en-US" w:eastAsia="zh-CN"/>
                        </w:rPr>
                        <w:t>居民区</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4127500</wp:posOffset>
                </wp:positionH>
                <wp:positionV relativeFrom="paragraph">
                  <wp:posOffset>2372995</wp:posOffset>
                </wp:positionV>
                <wp:extent cx="777875" cy="285750"/>
                <wp:effectExtent l="0" t="0" r="0" b="0"/>
                <wp:wrapNone/>
                <wp:docPr id="1218" name="文本框 97"/>
                <wp:cNvGraphicFramePr/>
                <a:graphic xmlns:a="http://schemas.openxmlformats.org/drawingml/2006/main">
                  <a:graphicData uri="http://schemas.microsoft.com/office/word/2010/wordprocessingShape">
                    <wps:wsp>
                      <wps:cNvSpPr/>
                      <wps:spPr>
                        <a:xfrm>
                          <a:off x="0" y="0"/>
                          <a:ext cx="777875" cy="285750"/>
                        </a:xfrm>
                        <a:prstGeom prst="rect">
                          <a:avLst/>
                        </a:prstGeom>
                        <a:ln>
                          <a:noFill/>
                        </a:ln>
                      </wps:spPr>
                      <wps:txbx>
                        <w:txbxContent>
                          <w:p w14:paraId="6410FDD5">
                            <w:pPr>
                              <w:jc w:val="center"/>
                              <w:rPr>
                                <w:rFonts w:hint="default" w:eastAsia="宋体"/>
                                <w:b/>
                                <w:bCs/>
                                <w:color w:val="FF0000"/>
                                <w:lang w:val="en-US" w:eastAsia="zh-CN"/>
                              </w:rPr>
                            </w:pPr>
                            <w:r>
                              <w:rPr>
                                <w:rFonts w:hint="eastAsia"/>
                                <w:b/>
                                <w:bCs/>
                                <w:color w:val="FF0000"/>
                                <w:lang w:val="en-US" w:eastAsia="zh-CN"/>
                              </w:rPr>
                              <w:t>空置厂房</w:t>
                            </w:r>
                          </w:p>
                        </w:txbxContent>
                      </wps:txbx>
                      <wps:bodyPr vert="horz" wrap="square" lIns="91440" tIns="45720" rIns="91440" bIns="45720" anchor="t">
                        <a:noAutofit/>
                      </wps:bodyPr>
                    </wps:wsp>
                  </a:graphicData>
                </a:graphic>
              </wp:anchor>
            </w:drawing>
          </mc:Choice>
          <mc:Fallback>
            <w:pict>
              <v:rect id="文本框 97" o:spid="_x0000_s1026" o:spt="1" style="position:absolute;left:0pt;margin-left:325pt;margin-top:186.85pt;height:22.5pt;width:61.25pt;z-index:251660288;mso-width-relative:page;mso-height-relative:page;" filled="f" stroked="f" coordsize="21600,21600" o:gfxdata="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c2xKu3QAAAAsBAAAP&#10;AAAAAAAAAAEAIAAAACIAAABkcnMvZG93bnJldi54bWxQSwECFAAUAAAACACHTuJArr+8NtoBAACj&#10;AwAADgAAAAAAAAABACAAAAAsAQAAZHJzL2Uyb0RvYy54bWxQSwUGAAAAAAYABgBZAQAAeAUAAAAA&#10;">
                <v:fill on="f" focussize="0,0"/>
                <v:stroke on="f"/>
                <v:imagedata o:title=""/>
                <o:lock v:ext="edit" aspectratio="f"/>
                <v:textbox>
                  <w:txbxContent>
                    <w:p w14:paraId="6410FDD5">
                      <w:pPr>
                        <w:jc w:val="center"/>
                        <w:rPr>
                          <w:rFonts w:hint="default" w:eastAsia="宋体"/>
                          <w:b/>
                          <w:bCs/>
                          <w:color w:val="FF0000"/>
                          <w:lang w:val="en-US" w:eastAsia="zh-CN"/>
                        </w:rPr>
                      </w:pPr>
                      <w:r>
                        <w:rPr>
                          <w:rFonts w:hint="eastAsia"/>
                          <w:b/>
                          <w:bCs/>
                          <w:color w:val="FF0000"/>
                          <w:lang w:val="en-US" w:eastAsia="zh-CN"/>
                        </w:rPr>
                        <w:t>空置厂房</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0" distR="0" simplePos="0" relativeHeight="251660288" behindDoc="0" locked="0" layoutInCell="1" allowOverlap="1">
                <wp:simplePos x="0" y="0"/>
                <wp:positionH relativeFrom="column">
                  <wp:posOffset>3956050</wp:posOffset>
                </wp:positionH>
                <wp:positionV relativeFrom="paragraph">
                  <wp:posOffset>3576320</wp:posOffset>
                </wp:positionV>
                <wp:extent cx="504825" cy="285750"/>
                <wp:effectExtent l="0" t="0" r="0" b="0"/>
                <wp:wrapNone/>
                <wp:docPr id="1219" name="文本框 98"/>
                <wp:cNvGraphicFramePr/>
                <a:graphic xmlns:a="http://schemas.openxmlformats.org/drawingml/2006/main">
                  <a:graphicData uri="http://schemas.microsoft.com/office/word/2010/wordprocessingShape">
                    <wps:wsp>
                      <wps:cNvSpPr/>
                      <wps:spPr>
                        <a:xfrm>
                          <a:off x="0" y="0"/>
                          <a:ext cx="504824" cy="285750"/>
                        </a:xfrm>
                        <a:prstGeom prst="rect">
                          <a:avLst/>
                        </a:prstGeom>
                        <a:ln>
                          <a:noFill/>
                        </a:ln>
                      </wps:spPr>
                      <wps:txbx>
                        <w:txbxContent>
                          <w:p w14:paraId="71649348">
                            <w:pPr>
                              <w:jc w:val="center"/>
                              <w:rPr>
                                <w:rFonts w:hint="default" w:eastAsia="宋体"/>
                                <w:b/>
                                <w:bCs/>
                                <w:color w:val="FF0000"/>
                                <w:lang w:val="en-US" w:eastAsia="zh-CN"/>
                              </w:rPr>
                            </w:pPr>
                            <w:r>
                              <w:rPr>
                                <w:rFonts w:hint="eastAsia"/>
                                <w:b/>
                                <w:bCs/>
                                <w:color w:val="FF0000"/>
                                <w:lang w:val="en-US" w:eastAsia="zh-CN"/>
                              </w:rPr>
                              <w:t>林地</w:t>
                            </w:r>
                          </w:p>
                        </w:txbxContent>
                      </wps:txbx>
                      <wps:bodyPr vert="horz" wrap="square" lIns="91440" tIns="45720" rIns="91440" bIns="45720" anchor="t">
                        <a:noAutofit/>
                      </wps:bodyPr>
                    </wps:wsp>
                  </a:graphicData>
                </a:graphic>
              </wp:anchor>
            </w:drawing>
          </mc:Choice>
          <mc:Fallback>
            <w:pict>
              <v:rect id="文本框 98" o:spid="_x0000_s1026" o:spt="1" style="position:absolute;left:0pt;margin-left:311.5pt;margin-top:281.6pt;height:22.5pt;width:39.75pt;z-index:251660288;mso-width-relative:page;mso-height-relative:page;" filled="f" stroked="f" coordsize="21600,21600" o:gfxdata="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IgX9atsAAAALAQAADwAA&#10;AAAAAAABACAAAAAiAAAAZHJzL2Rvd25yZXYueG1sUEsBAhQAFAAAAAgAh07iQNeLCIDaAQAAowMA&#10;AA4AAAAAAAAAAQAgAAAAKgEAAGRycy9lMm9Eb2MueG1sUEsFBgAAAAAGAAYAWQEAAHYFAAAAAA==&#10;">
                <v:fill on="f" focussize="0,0"/>
                <v:stroke on="f"/>
                <v:imagedata o:title=""/>
                <o:lock v:ext="edit" aspectratio="f"/>
                <v:textbox>
                  <w:txbxContent>
                    <w:p w14:paraId="71649348">
                      <w:pPr>
                        <w:jc w:val="center"/>
                        <w:rPr>
                          <w:rFonts w:hint="default" w:eastAsia="宋体"/>
                          <w:b/>
                          <w:bCs/>
                          <w:color w:val="FF0000"/>
                          <w:lang w:val="en-US" w:eastAsia="zh-CN"/>
                        </w:rPr>
                      </w:pPr>
                      <w:r>
                        <w:rPr>
                          <w:rFonts w:hint="eastAsia"/>
                          <w:b/>
                          <w:bCs/>
                          <w:color w:val="FF0000"/>
                          <w:lang w:val="en-US" w:eastAsia="zh-CN"/>
                        </w:rPr>
                        <w:t>林地</w:t>
                      </w:r>
                    </w:p>
                  </w:txbxContent>
                </v:textbox>
              </v:rect>
            </w:pict>
          </mc:Fallback>
        </mc:AlternateContent>
      </w:r>
      <w:r>
        <w:rPr>
          <w:rFonts w:hint="default" w:ascii="Times New Roman" w:hAnsi="Times New Roman" w:eastAsia="宋体" w:cs="Times New Roman"/>
          <w:color w:val="auto"/>
          <w:sz w:val="22"/>
          <w:szCs w:val="28"/>
          <w:u w:val="none" w:color="auto"/>
          <w:lang w:val="en-US" w:eastAsia="zh-CN"/>
        </w:rPr>
        <w:drawing>
          <wp:anchor distT="0" distB="0" distL="0" distR="0" simplePos="0" relativeHeight="251660288" behindDoc="0" locked="0" layoutInCell="1" allowOverlap="1">
            <wp:simplePos x="0" y="0"/>
            <wp:positionH relativeFrom="column">
              <wp:posOffset>7125335</wp:posOffset>
            </wp:positionH>
            <wp:positionV relativeFrom="paragraph">
              <wp:posOffset>136525</wp:posOffset>
            </wp:positionV>
            <wp:extent cx="621030" cy="826135"/>
            <wp:effectExtent l="0" t="0" r="7620" b="12065"/>
            <wp:wrapNone/>
            <wp:docPr id="1220" name="图片 137" descr="衡阳市珠晖区"/>
            <wp:cNvGraphicFramePr/>
            <a:graphic xmlns:a="http://schemas.openxmlformats.org/drawingml/2006/main">
              <a:graphicData uri="http://schemas.openxmlformats.org/drawingml/2006/picture">
                <pic:pic xmlns:pic="http://schemas.openxmlformats.org/drawingml/2006/picture">
                  <pic:nvPicPr>
                    <pic:cNvPr id="1220" name="图片 137" descr="衡阳市珠晖区"/>
                    <pic:cNvPicPr/>
                  </pic:nvPicPr>
                  <pic:blipFill>
                    <a:blip r:embed="rId77" cstate="print"/>
                    <a:srcRect/>
                    <a:stretch>
                      <a:fillRect/>
                    </a:stretch>
                  </pic:blipFill>
                  <pic:spPr>
                    <a:xfrm>
                      <a:off x="0" y="0"/>
                      <a:ext cx="621030" cy="826135"/>
                    </a:xfrm>
                    <a:prstGeom prst="rect">
                      <a:avLst/>
                    </a:prstGeom>
                  </pic:spPr>
                </pic:pic>
              </a:graphicData>
            </a:graphic>
          </wp:anchor>
        </w:drawing>
      </w:r>
      <w:r>
        <w:rPr>
          <w:rFonts w:hint="default" w:ascii="Times New Roman" w:hAnsi="Times New Roman" w:eastAsia="宋体" w:cs="Times New Roman"/>
          <w:color w:val="auto"/>
        </w:rPr>
        <w:drawing>
          <wp:inline distT="0" distB="0" distL="0" distR="0">
            <wp:extent cx="7070090" cy="5304790"/>
            <wp:effectExtent l="0" t="0" r="16510" b="10160"/>
            <wp:docPr id="1221" name="图片 10"/>
            <wp:cNvGraphicFramePr/>
            <a:graphic xmlns:a="http://schemas.openxmlformats.org/drawingml/2006/main">
              <a:graphicData uri="http://schemas.openxmlformats.org/drawingml/2006/picture">
                <pic:pic xmlns:pic="http://schemas.openxmlformats.org/drawingml/2006/picture">
                  <pic:nvPicPr>
                    <pic:cNvPr id="1221" name="图片 10"/>
                    <pic:cNvPicPr/>
                  </pic:nvPicPr>
                  <pic:blipFill>
                    <a:blip r:embed="rId83" cstate="print"/>
                    <a:srcRect/>
                    <a:stretch>
                      <a:fillRect/>
                    </a:stretch>
                  </pic:blipFill>
                  <pic:spPr>
                    <a:xfrm>
                      <a:off x="0" y="0"/>
                      <a:ext cx="7070090" cy="5304790"/>
                    </a:xfrm>
                    <a:prstGeom prst="rect">
                      <a:avLst/>
                    </a:prstGeom>
                    <a:ln>
                      <a:noFill/>
                    </a:ln>
                  </pic:spPr>
                </pic:pic>
              </a:graphicData>
            </a:graphic>
          </wp:inline>
        </w:drawing>
      </w:r>
    </w:p>
    <w:p w14:paraId="4A9858BE">
      <w:pPr>
        <w:rPr>
          <w:rFonts w:hint="default" w:ascii="Times New Roman" w:hAnsi="Times New Roman" w:eastAsia="宋体" w:cs="Times New Roman"/>
          <w:color w:val="auto"/>
        </w:rPr>
      </w:pPr>
      <w:r>
        <w:rPr>
          <w:rFonts w:hint="default" w:ascii="Times New Roman" w:hAnsi="Times New Roman" w:eastAsia="宋体" w:cs="Times New Roman"/>
          <w:color w:val="auto"/>
        </w:rPr>
        <w:br w:type="page"/>
      </w:r>
    </w:p>
    <w:p w14:paraId="0CCDF7B0">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宋体" w:cs="Times New Roman"/>
          <w:b/>
          <w:bCs/>
          <w:color w:val="auto"/>
          <w:sz w:val="24"/>
          <w:szCs w:val="24"/>
          <w:lang w:val="en-US" w:eastAsia="zh-CN"/>
        </w:rPr>
      </w:pPr>
      <w:bookmarkStart w:id="23" w:name="_Toc27743"/>
      <w:r>
        <w:rPr>
          <w:rFonts w:hint="default" w:ascii="Times New Roman" w:hAnsi="Times New Roman" w:eastAsia="宋体" w:cs="Times New Roman"/>
          <w:b/>
          <w:bCs/>
          <w:color w:val="auto"/>
          <w:sz w:val="24"/>
          <w:szCs w:val="24"/>
          <w:lang w:val="en-US" w:eastAsia="zh-CN"/>
        </w:rPr>
        <w:t>附图5 衡阳高新技术产业开发区白沙片配套污水管网图--铜桥港污水处理厂、金桥污水处理厂</w:t>
      </w:r>
      <w:bookmarkEnd w:id="23"/>
    </w:p>
    <w:p w14:paraId="7D8C08FC">
      <w:pPr>
        <w:jc w:val="center"/>
        <w:rPr>
          <w:rFonts w:hint="default" w:ascii="Times New Roman" w:hAnsi="Times New Roman" w:eastAsia="宋体" w:cs="Times New Roman"/>
          <w:b w:val="0"/>
          <w:bCs w:val="0"/>
          <w:color w:val="auto"/>
          <w:sz w:val="24"/>
          <w:szCs w:val="24"/>
          <w:u w:val="none" w:color="auto"/>
          <w:lang w:val="en-US" w:eastAsia="zh-CN"/>
        </w:rPr>
      </w:pPr>
      <w:r>
        <w:rPr>
          <w:rFonts w:hint="default" w:ascii="Times New Roman" w:hAnsi="Times New Roman" w:eastAsia="宋体" w:cs="Times New Roman"/>
          <w:color w:val="auto"/>
          <w:sz w:val="24"/>
          <w:u w:val="none" w:color="auto"/>
        </w:rPr>
        <mc:AlternateContent>
          <mc:Choice Requires="wps">
            <w:drawing>
              <wp:anchor distT="0" distB="0" distL="0" distR="0" simplePos="0" relativeHeight="251660288" behindDoc="0" locked="0" layoutInCell="1" allowOverlap="1">
                <wp:simplePos x="0" y="0"/>
                <wp:positionH relativeFrom="column">
                  <wp:posOffset>2673985</wp:posOffset>
                </wp:positionH>
                <wp:positionV relativeFrom="paragraph">
                  <wp:posOffset>3085465</wp:posOffset>
                </wp:positionV>
                <wp:extent cx="997585" cy="347980"/>
                <wp:effectExtent l="0" t="0" r="0" b="0"/>
                <wp:wrapNone/>
                <wp:docPr id="1222" name="文本框 143"/>
                <wp:cNvGraphicFramePr/>
                <a:graphic xmlns:a="http://schemas.openxmlformats.org/drawingml/2006/main">
                  <a:graphicData uri="http://schemas.microsoft.com/office/word/2010/wordprocessingShape">
                    <wps:wsp>
                      <wps:cNvSpPr/>
                      <wps:spPr>
                        <a:xfrm>
                          <a:off x="0" y="0"/>
                          <a:ext cx="997584" cy="347980"/>
                        </a:xfrm>
                        <a:prstGeom prst="rect">
                          <a:avLst/>
                        </a:prstGeom>
                        <a:ln>
                          <a:noFill/>
                        </a:ln>
                      </wps:spPr>
                      <wps:txbx>
                        <w:txbxContent>
                          <w:p w14:paraId="77A68B7D">
                            <w:pPr>
                              <w:rPr>
                                <w:rFonts w:hint="default" w:eastAsia="宋体"/>
                                <w:b/>
                                <w:bCs/>
                                <w:color w:val="FF0000"/>
                                <w:lang w:val="en-US" w:eastAsia="zh-CN"/>
                              </w:rPr>
                            </w:pPr>
                            <w:r>
                              <w:rPr>
                                <w:rFonts w:hint="eastAsia"/>
                                <w:b/>
                                <w:bCs/>
                                <w:color w:val="FF0000"/>
                                <w:lang w:val="en-US" w:eastAsia="zh-CN"/>
                              </w:rPr>
                              <w:t>项目所在地</w:t>
                            </w:r>
                          </w:p>
                        </w:txbxContent>
                      </wps:txbx>
                      <wps:bodyPr vert="horz" wrap="square" lIns="91440" tIns="45720" rIns="91440" bIns="45720" anchor="t">
                        <a:noAutofit/>
                      </wps:bodyPr>
                    </wps:wsp>
                  </a:graphicData>
                </a:graphic>
              </wp:anchor>
            </w:drawing>
          </mc:Choice>
          <mc:Fallback>
            <w:pict>
              <v:rect id="文本框 143" o:spid="_x0000_s1026" o:spt="1" style="position:absolute;left:0pt;margin-left:210.55pt;margin-top:242.95pt;height:27.4pt;width:78.55pt;z-index:251660288;mso-width-relative:page;mso-height-relative:page;" filled="f" stroked="f" coordsize="21600,21600" o:gfxdata="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nti+Z2wAAAAsBAAAP&#10;AAAAAAAAAAEAIAAAACIAAABkcnMvZG93bnJldi54bWxQSwECFAAUAAAACACHTuJA/fNPPtwBAACk&#10;AwAADgAAAAAAAAABACAAAAAqAQAAZHJzL2Uyb0RvYy54bWxQSwUGAAAAAAYABgBZAQAAeAUAAAAA&#10;">
                <v:fill on="f" focussize="0,0"/>
                <v:stroke on="f"/>
                <v:imagedata o:title=""/>
                <o:lock v:ext="edit" aspectratio="f"/>
                <v:textbox>
                  <w:txbxContent>
                    <w:p w14:paraId="77A68B7D">
                      <w:pPr>
                        <w:rPr>
                          <w:rFonts w:hint="default" w:eastAsia="宋体"/>
                          <w:b/>
                          <w:bCs/>
                          <w:color w:val="FF0000"/>
                          <w:lang w:val="en-US" w:eastAsia="zh-CN"/>
                        </w:rPr>
                      </w:pPr>
                      <w:r>
                        <w:rPr>
                          <w:rFonts w:hint="eastAsia"/>
                          <w:b/>
                          <w:bCs/>
                          <w:color w:val="FF0000"/>
                          <w:lang w:val="en-US" w:eastAsia="zh-CN"/>
                        </w:rPr>
                        <w:t>项目所在地</w:t>
                      </w:r>
                    </w:p>
                  </w:txbxContent>
                </v:textbox>
              </v:rect>
            </w:pict>
          </mc:Fallback>
        </mc:AlternateContent>
      </w:r>
      <w:r>
        <w:rPr>
          <w:rFonts w:hint="default" w:ascii="Times New Roman" w:hAnsi="Times New Roman" w:eastAsia="宋体" w:cs="Times New Roman"/>
          <w:color w:val="auto"/>
          <w:sz w:val="24"/>
        </w:rPr>
        <mc:AlternateContent>
          <mc:Choice Requires="wps">
            <w:drawing>
              <wp:anchor distT="0" distB="0" distL="0" distR="0" simplePos="0" relativeHeight="251660288" behindDoc="0" locked="0" layoutInCell="1" allowOverlap="1">
                <wp:simplePos x="0" y="0"/>
                <wp:positionH relativeFrom="column">
                  <wp:posOffset>3019425</wp:posOffset>
                </wp:positionH>
                <wp:positionV relativeFrom="paragraph">
                  <wp:posOffset>3433445</wp:posOffset>
                </wp:positionV>
                <wp:extent cx="117475" cy="161290"/>
                <wp:effectExtent l="0" t="0" r="15875" b="10160"/>
                <wp:wrapNone/>
                <wp:docPr id="1223" name="下箭头 142"/>
                <wp:cNvGraphicFramePr/>
                <a:graphic xmlns:a="http://schemas.openxmlformats.org/drawingml/2006/main">
                  <a:graphicData uri="http://schemas.microsoft.com/office/word/2010/wordprocessingShape">
                    <wps:wsp>
                      <wps:cNvSpPr/>
                      <wps:spPr>
                        <a:xfrm>
                          <a:off x="0" y="0"/>
                          <a:ext cx="117475" cy="161290"/>
                        </a:xfrm>
                        <a:prstGeom prst="downArrow">
                          <a:avLst/>
                        </a:prstGeom>
                        <a:solidFill>
                          <a:srgbClr val="FF0000"/>
                        </a:solidFill>
                        <a:ln>
                          <a:noFill/>
                        </a:ln>
                      </wps:spPr>
                      <wps:bodyPr/>
                    </wps:wsp>
                  </a:graphicData>
                </a:graphic>
              </wp:anchor>
            </w:drawing>
          </mc:Choice>
          <mc:Fallback>
            <w:pict>
              <v:shape id="下箭头 142" o:spid="_x0000_s1026" o:spt="67" type="#_x0000_t67" style="position:absolute;left:0pt;margin-left:237.75pt;margin-top:270.35pt;height:12.7pt;width:9.25pt;z-index:251660288;mso-width-relative:page;mso-height-relative:page;" fillcolor="#FF0000" filled="t" stroked="f" coordsize="21600,21600" o:gfxdata="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w8JgLZAAAACwEAAA8AAAAAAAAAAQAgAAAAIgAAAGRycy9kb3ducmV2LnhtbFBLAQIU&#10;ABQAAAAIAIdO4kDiqHAkuQEAAF8DAAAOAAAAAAAAAAEAIAAAACgBAABkcnMvZTJvRG9jLnhtbFBL&#10;BQYAAAAABgAGAFkBAABTBQAAAAA=&#10;" adj="13734,5400">
                <v:fill on="t" focussize="0,0"/>
                <v:stroke on="f"/>
                <v:imagedata o:title=""/>
                <o:lock v:ext="edit" aspectratio="f"/>
              </v:shape>
            </w:pict>
          </mc:Fallback>
        </mc:AlternateContent>
      </w:r>
      <w:r>
        <w:rPr>
          <w:rFonts w:hint="default" w:ascii="Times New Roman" w:hAnsi="Times New Roman" w:eastAsia="宋体" w:cs="Times New Roman"/>
          <w:b w:val="0"/>
          <w:bCs w:val="0"/>
          <w:color w:val="auto"/>
          <w:sz w:val="24"/>
          <w:szCs w:val="24"/>
          <w:u w:val="none" w:color="auto"/>
          <w:lang w:val="en-US" w:eastAsia="zh-CN"/>
        </w:rPr>
        <w:drawing>
          <wp:inline distT="0" distB="0" distL="0" distR="0">
            <wp:extent cx="7526655" cy="5321935"/>
            <wp:effectExtent l="0" t="0" r="17145" b="12065"/>
            <wp:docPr id="1224" name="图片 140" descr="规划环评-0705衡阳高新技术产业开发区调区扩区规划环境影响报告书（报批稿）(OCR)_1142"/>
            <wp:cNvGraphicFramePr/>
            <a:graphic xmlns:a="http://schemas.openxmlformats.org/drawingml/2006/main">
              <a:graphicData uri="http://schemas.openxmlformats.org/drawingml/2006/picture">
                <pic:pic xmlns:pic="http://schemas.openxmlformats.org/drawingml/2006/picture">
                  <pic:nvPicPr>
                    <pic:cNvPr id="1224" name="图片 140" descr="规划环评-0705衡阳高新技术产业开发区调区扩区规划环境影响报告书（报批稿）(OCR)_1142"/>
                    <pic:cNvPicPr/>
                  </pic:nvPicPr>
                  <pic:blipFill>
                    <a:blip r:embed="rId84" cstate="print"/>
                    <a:srcRect/>
                    <a:stretch>
                      <a:fillRect/>
                    </a:stretch>
                  </pic:blipFill>
                  <pic:spPr>
                    <a:xfrm>
                      <a:off x="0" y="0"/>
                      <a:ext cx="7526655" cy="5321935"/>
                    </a:xfrm>
                    <a:prstGeom prst="rect">
                      <a:avLst/>
                    </a:prstGeom>
                  </pic:spPr>
                </pic:pic>
              </a:graphicData>
            </a:graphic>
          </wp:inline>
        </w:drawing>
      </w:r>
    </w:p>
    <w:p w14:paraId="49DFE9E3">
      <w:pPr>
        <w:rPr>
          <w:rFonts w:hint="default" w:ascii="Times New Roman" w:hAnsi="Times New Roman" w:eastAsia="宋体" w:cs="Times New Roman"/>
          <w:b w:val="0"/>
          <w:bCs w:val="0"/>
          <w:color w:val="auto"/>
          <w:sz w:val="24"/>
          <w:szCs w:val="24"/>
          <w:u w:val="none" w:color="auto"/>
          <w:lang w:val="en-US" w:eastAsia="zh-CN"/>
        </w:rPr>
      </w:pPr>
      <w:r>
        <w:rPr>
          <w:rFonts w:hint="default" w:ascii="Times New Roman" w:hAnsi="Times New Roman" w:eastAsia="宋体" w:cs="Times New Roman"/>
          <w:b w:val="0"/>
          <w:bCs w:val="0"/>
          <w:color w:val="auto"/>
          <w:sz w:val="24"/>
          <w:szCs w:val="24"/>
          <w:u w:val="none" w:color="auto"/>
          <w:lang w:val="en-US" w:eastAsia="zh-CN"/>
        </w:rPr>
        <w:br w:type="page"/>
      </w:r>
    </w:p>
    <w:p w14:paraId="08FCFF40">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宋体" w:cs="Times New Roman"/>
          <w:b/>
          <w:bCs/>
          <w:color w:val="auto"/>
          <w:sz w:val="24"/>
          <w:szCs w:val="24"/>
          <w:lang w:val="en-US" w:eastAsia="zh-CN"/>
        </w:rPr>
      </w:pPr>
      <w:bookmarkStart w:id="24" w:name="_Toc2095"/>
      <w:r>
        <w:rPr>
          <w:rFonts w:hint="default" w:ascii="Times New Roman" w:hAnsi="Times New Roman" w:eastAsia="宋体" w:cs="Times New Roman"/>
          <w:b/>
          <w:bCs/>
          <w:color w:val="auto"/>
          <w:sz w:val="24"/>
          <w:szCs w:val="24"/>
          <w:lang w:val="en-US" w:eastAsia="zh-CN"/>
        </w:rPr>
        <w:t>附图6 区域水系图</w:t>
      </w:r>
      <w:bookmarkEnd w:id="24"/>
    </w:p>
    <w:p w14:paraId="5BB770B7">
      <w:pPr>
        <w:tabs>
          <w:tab w:val="left" w:pos="0"/>
        </w:tabs>
        <w:spacing w:line="240" w:lineRule="auto"/>
        <w:ind w:left="0" w:leftChars="0" w:firstLine="0" w:firstLineChars="0"/>
        <w:jc w:val="center"/>
        <w:outlineLvl w:val="9"/>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mc:AlternateContent>
          <mc:Choice Requires="wps">
            <w:drawing>
              <wp:anchor distT="0" distB="0" distL="0" distR="0" simplePos="0" relativeHeight="251660288" behindDoc="0" locked="0" layoutInCell="1" allowOverlap="1">
                <wp:simplePos x="0" y="0"/>
                <wp:positionH relativeFrom="column">
                  <wp:posOffset>2790825</wp:posOffset>
                </wp:positionH>
                <wp:positionV relativeFrom="paragraph">
                  <wp:posOffset>3000375</wp:posOffset>
                </wp:positionV>
                <wp:extent cx="997585" cy="347980"/>
                <wp:effectExtent l="0" t="0" r="0" b="0"/>
                <wp:wrapNone/>
                <wp:docPr id="1225" name="文本框 146"/>
                <wp:cNvGraphicFramePr/>
                <a:graphic xmlns:a="http://schemas.openxmlformats.org/drawingml/2006/main">
                  <a:graphicData uri="http://schemas.microsoft.com/office/word/2010/wordprocessingShape">
                    <wps:wsp>
                      <wps:cNvSpPr/>
                      <wps:spPr>
                        <a:xfrm>
                          <a:off x="0" y="0"/>
                          <a:ext cx="997584" cy="347979"/>
                        </a:xfrm>
                        <a:prstGeom prst="rect">
                          <a:avLst/>
                        </a:prstGeom>
                        <a:ln>
                          <a:noFill/>
                        </a:ln>
                      </wps:spPr>
                      <wps:txbx>
                        <w:txbxContent>
                          <w:p w14:paraId="7BAB3255">
                            <w:pPr>
                              <w:rPr>
                                <w:rFonts w:hint="default" w:eastAsia="宋体"/>
                                <w:b/>
                                <w:bCs/>
                                <w:color w:val="00B0F0"/>
                                <w:lang w:val="en-US" w:eastAsia="zh-CN"/>
                              </w:rPr>
                            </w:pPr>
                            <w:r>
                              <w:rPr>
                                <w:rFonts w:hint="eastAsia"/>
                                <w:b/>
                                <w:bCs/>
                                <w:color w:val="00B0F0"/>
                                <w:lang w:val="en-US" w:eastAsia="zh-CN"/>
                              </w:rPr>
                              <w:t>项目所在地</w:t>
                            </w:r>
                          </w:p>
                        </w:txbxContent>
                      </wps:txbx>
                      <wps:bodyPr vert="horz" wrap="square" lIns="91440" tIns="45720" rIns="91440" bIns="45720" anchor="t">
                        <a:noAutofit/>
                      </wps:bodyPr>
                    </wps:wsp>
                  </a:graphicData>
                </a:graphic>
              </wp:anchor>
            </w:drawing>
          </mc:Choice>
          <mc:Fallback>
            <w:pict>
              <v:rect id="文本框 146" o:spid="_x0000_s1026" o:spt="1" style="position:absolute;left:0pt;margin-left:219.75pt;margin-top:236.25pt;height:27.4pt;width:78.55pt;z-index:251660288;mso-width-relative:page;mso-height-relative:page;" filled="f" stroked="f" coordsize="21600,21600" o:gfxdata="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K0bFITbAAAACwEAAA8A&#10;AAAAAAAAAQAgAAAAIgAAAGRycy9kb3ducmV2LnhtbFBLAQIUABQAAAAIAIdO4kAIZMXw2wEAAKQD&#10;AAAOAAAAAAAAAAEAIAAAACoBAABkcnMvZTJvRG9jLnhtbFBLBQYAAAAABgAGAFkBAAB3BQAAAAA=&#10;">
                <v:fill on="f" focussize="0,0"/>
                <v:stroke on="f"/>
                <v:imagedata o:title=""/>
                <o:lock v:ext="edit" aspectratio="f"/>
                <v:textbox>
                  <w:txbxContent>
                    <w:p w14:paraId="7BAB3255">
                      <w:pPr>
                        <w:rPr>
                          <w:rFonts w:hint="default" w:eastAsia="宋体"/>
                          <w:b/>
                          <w:bCs/>
                          <w:color w:val="00B0F0"/>
                          <w:lang w:val="en-US" w:eastAsia="zh-CN"/>
                        </w:rPr>
                      </w:pPr>
                      <w:r>
                        <w:rPr>
                          <w:rFonts w:hint="eastAsia"/>
                          <w:b/>
                          <w:bCs/>
                          <w:color w:val="00B0F0"/>
                          <w:lang w:val="en-US" w:eastAsia="zh-CN"/>
                        </w:rPr>
                        <w:t>项目所在地</w:t>
                      </w:r>
                    </w:p>
                  </w:txbxContent>
                </v:textbox>
              </v:rect>
            </w:pict>
          </mc:Fallback>
        </mc:AlternateContent>
      </w:r>
      <w:r>
        <w:rPr>
          <w:rFonts w:hint="default" w:ascii="Times New Roman" w:hAnsi="Times New Roman" w:eastAsia="宋体" w:cs="Times New Roman"/>
          <w:color w:val="auto"/>
          <w:sz w:val="24"/>
        </w:rPr>
        <mc:AlternateContent>
          <mc:Choice Requires="wps">
            <w:drawing>
              <wp:anchor distT="0" distB="0" distL="0" distR="0" simplePos="0" relativeHeight="251660288" behindDoc="0" locked="0" layoutInCell="1" allowOverlap="1">
                <wp:simplePos x="0" y="0"/>
                <wp:positionH relativeFrom="column">
                  <wp:posOffset>3021330</wp:posOffset>
                </wp:positionH>
                <wp:positionV relativeFrom="paragraph">
                  <wp:posOffset>3252470</wp:posOffset>
                </wp:positionV>
                <wp:extent cx="140335" cy="239395"/>
                <wp:effectExtent l="0" t="0" r="12065" b="8255"/>
                <wp:wrapNone/>
                <wp:docPr id="1226" name="下箭头 145"/>
                <wp:cNvGraphicFramePr/>
                <a:graphic xmlns:a="http://schemas.openxmlformats.org/drawingml/2006/main">
                  <a:graphicData uri="http://schemas.microsoft.com/office/word/2010/wordprocessingShape">
                    <wps:wsp>
                      <wps:cNvSpPr/>
                      <wps:spPr>
                        <a:xfrm>
                          <a:off x="0" y="0"/>
                          <a:ext cx="140335" cy="239395"/>
                        </a:xfrm>
                        <a:prstGeom prst="downArrow">
                          <a:avLst/>
                        </a:prstGeom>
                        <a:solidFill>
                          <a:srgbClr val="00B0F0"/>
                        </a:solidFill>
                        <a:ln>
                          <a:noFill/>
                        </a:ln>
                      </wps:spPr>
                      <wps:bodyPr/>
                    </wps:wsp>
                  </a:graphicData>
                </a:graphic>
              </wp:anchor>
            </w:drawing>
          </mc:Choice>
          <mc:Fallback>
            <w:pict>
              <v:shape id="下箭头 145" o:spid="_x0000_s1026" o:spt="67" type="#_x0000_t67" style="position:absolute;left:0pt;margin-left:237.9pt;margin-top:256.1pt;height:18.85pt;width:11.05pt;z-index:251660288;mso-width-relative:page;mso-height-relative:page;" fillcolor="#00B0F0" filled="t" stroked="f" coordsize="21600,21600" o:gfxdata="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LzHWR90AAAALAQAADwAAAAAAAAABACAAAAAiAAAAZHJzL2Rvd25yZXYueG1s&#10;UEsBAhQAFAAAAAgAh07iQEKXBRK6AQAAXwMAAA4AAAAAAAAAAQAgAAAALAEAAGRycy9lMm9Eb2Mu&#10;eG1sUEsFBgAAAAAGAAYAWQEAAFgFAAAAAA==&#10;" adj="15269,5400">
                <v:fill on="t" focussize="0,0"/>
                <v:stroke on="f"/>
                <v:imagedata o:title=""/>
                <o:lock v:ext="edit" aspectratio="f"/>
              </v:shape>
            </w:pict>
          </mc:Fallback>
        </mc:AlternateContent>
      </w:r>
      <w:r>
        <w:rPr>
          <w:rFonts w:hint="default" w:ascii="Times New Roman" w:hAnsi="Times New Roman" w:eastAsia="宋体" w:cs="Times New Roman"/>
          <w:color w:val="auto"/>
          <w:sz w:val="24"/>
          <w:u w:val="none" w:color="auto"/>
        </w:rPr>
        <w:drawing>
          <wp:inline distT="0" distB="0" distL="0" distR="0">
            <wp:extent cx="7158355" cy="5102225"/>
            <wp:effectExtent l="0" t="0" r="4445" b="3175"/>
            <wp:docPr id="1227" name="图片 144" descr="规划环评-0705衡阳高新技术产业开发区调区扩区规划环境影响报告书（报批稿）(OCR)_1125"/>
            <wp:cNvGraphicFramePr/>
            <a:graphic xmlns:a="http://schemas.openxmlformats.org/drawingml/2006/main">
              <a:graphicData uri="http://schemas.openxmlformats.org/drawingml/2006/picture">
                <pic:pic xmlns:pic="http://schemas.openxmlformats.org/drawingml/2006/picture">
                  <pic:nvPicPr>
                    <pic:cNvPr id="1227" name="图片 144" descr="规划环评-0705衡阳高新技术产业开发区调区扩区规划环境影响报告书（报批稿）(OCR)_1125"/>
                    <pic:cNvPicPr/>
                  </pic:nvPicPr>
                  <pic:blipFill>
                    <a:blip r:embed="rId85" cstate="print"/>
                    <a:srcRect l="1885" t="1339" r="1994" b="1778"/>
                    <a:stretch>
                      <a:fillRect/>
                    </a:stretch>
                  </pic:blipFill>
                  <pic:spPr>
                    <a:xfrm>
                      <a:off x="0" y="0"/>
                      <a:ext cx="7158355" cy="5102225"/>
                    </a:xfrm>
                    <a:prstGeom prst="rect">
                      <a:avLst/>
                    </a:prstGeom>
                  </pic:spPr>
                </pic:pic>
              </a:graphicData>
            </a:graphic>
          </wp:inline>
        </w:drawing>
      </w:r>
    </w:p>
    <w:p w14:paraId="597B9AD6">
      <w:pPr>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br w:type="page"/>
      </w:r>
    </w:p>
    <w:p w14:paraId="6774A2F3">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宋体" w:cs="Times New Roman"/>
          <w:b/>
          <w:bCs/>
          <w:color w:val="auto"/>
          <w:sz w:val="24"/>
          <w:szCs w:val="24"/>
          <w:lang w:val="en-US" w:eastAsia="zh-CN"/>
        </w:rPr>
      </w:pPr>
      <w:bookmarkStart w:id="25" w:name="_Toc27368"/>
      <w:r>
        <w:rPr>
          <w:rFonts w:hint="default" w:ascii="Times New Roman" w:hAnsi="Times New Roman" w:eastAsia="宋体" w:cs="Times New Roman"/>
          <w:b/>
          <w:bCs/>
          <w:color w:val="auto"/>
          <w:sz w:val="24"/>
          <w:szCs w:val="24"/>
          <w:lang w:val="en-US" w:eastAsia="zh-CN"/>
        </w:rPr>
        <w:t>附图7 衡阳高新技术产业开发区（白沙片）控制性详细规划  土地利用规划图</w:t>
      </w:r>
      <w:bookmarkEnd w:id="25"/>
    </w:p>
    <w:p w14:paraId="6E63CC04">
      <w:pPr>
        <w:tabs>
          <w:tab w:val="left" w:pos="0"/>
        </w:tabs>
        <w:spacing w:line="240" w:lineRule="auto"/>
        <w:ind w:left="0" w:leftChars="0" w:firstLine="0" w:firstLineChars="0"/>
        <w:jc w:val="center"/>
        <w:outlineLvl w:val="9"/>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u w:val="none" w:color="auto"/>
        </w:rPr>
        <mc:AlternateContent>
          <mc:Choice Requires="wps">
            <w:drawing>
              <wp:anchor distT="0" distB="0" distL="0" distR="0" simplePos="0" relativeHeight="251660288" behindDoc="0" locked="0" layoutInCell="1" allowOverlap="1">
                <wp:simplePos x="0" y="0"/>
                <wp:positionH relativeFrom="column">
                  <wp:posOffset>1739265</wp:posOffset>
                </wp:positionH>
                <wp:positionV relativeFrom="paragraph">
                  <wp:posOffset>2953385</wp:posOffset>
                </wp:positionV>
                <wp:extent cx="997585" cy="347980"/>
                <wp:effectExtent l="0" t="0" r="0" b="0"/>
                <wp:wrapNone/>
                <wp:docPr id="1228" name="文本框 152"/>
                <wp:cNvGraphicFramePr/>
                <a:graphic xmlns:a="http://schemas.openxmlformats.org/drawingml/2006/main">
                  <a:graphicData uri="http://schemas.microsoft.com/office/word/2010/wordprocessingShape">
                    <wps:wsp>
                      <wps:cNvSpPr/>
                      <wps:spPr>
                        <a:xfrm>
                          <a:off x="0" y="0"/>
                          <a:ext cx="997585" cy="347979"/>
                        </a:xfrm>
                        <a:prstGeom prst="rect">
                          <a:avLst/>
                        </a:prstGeom>
                        <a:ln>
                          <a:noFill/>
                        </a:ln>
                      </wps:spPr>
                      <wps:txbx>
                        <w:txbxContent>
                          <w:p w14:paraId="26CEF35B">
                            <w:pPr>
                              <w:rPr>
                                <w:rFonts w:hint="default" w:eastAsia="宋体"/>
                                <w:b/>
                                <w:bCs/>
                                <w:color w:val="FF0000"/>
                                <w:lang w:val="en-US" w:eastAsia="zh-CN"/>
                              </w:rPr>
                            </w:pPr>
                            <w:r>
                              <w:rPr>
                                <w:rFonts w:hint="eastAsia"/>
                                <w:b/>
                                <w:bCs/>
                                <w:color w:val="FF0000"/>
                                <w:lang w:val="en-US" w:eastAsia="zh-CN"/>
                              </w:rPr>
                              <w:t>项目所在地</w:t>
                            </w:r>
                          </w:p>
                        </w:txbxContent>
                      </wps:txbx>
                      <wps:bodyPr vert="horz" wrap="square" lIns="91440" tIns="45720" rIns="91440" bIns="45720" anchor="t">
                        <a:noAutofit/>
                      </wps:bodyPr>
                    </wps:wsp>
                  </a:graphicData>
                </a:graphic>
              </wp:anchor>
            </w:drawing>
          </mc:Choice>
          <mc:Fallback>
            <w:pict>
              <v:rect id="文本框 152" o:spid="_x0000_s1026" o:spt="1" style="position:absolute;left:0pt;margin-left:136.95pt;margin-top:232.55pt;height:27.4pt;width:78.55pt;z-index:251660288;mso-width-relative:page;mso-height-relative:page;" filled="f" stroked="f" coordsize="21600,21600" o:gfxdata="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7+js03AAAAAsBAAAP&#10;AAAAAAAAAAEAIAAAACIAAABkcnMvZG93bnJldi54bWxQSwECFAAUAAAACACHTuJAok/jS9sBAACk&#10;AwAADgAAAAAAAAABACAAAAArAQAAZHJzL2Uyb0RvYy54bWxQSwUGAAAAAAYABgBZAQAAeAUAAAAA&#10;">
                <v:fill on="f" focussize="0,0"/>
                <v:stroke on="f"/>
                <v:imagedata o:title=""/>
                <o:lock v:ext="edit" aspectratio="f"/>
                <v:textbox>
                  <w:txbxContent>
                    <w:p w14:paraId="26CEF35B">
                      <w:pPr>
                        <w:rPr>
                          <w:rFonts w:hint="default" w:eastAsia="宋体"/>
                          <w:b/>
                          <w:bCs/>
                          <w:color w:val="FF0000"/>
                          <w:lang w:val="en-US" w:eastAsia="zh-CN"/>
                        </w:rPr>
                      </w:pPr>
                      <w:r>
                        <w:rPr>
                          <w:rFonts w:hint="eastAsia"/>
                          <w:b/>
                          <w:bCs/>
                          <w:color w:val="FF0000"/>
                          <w:lang w:val="en-US" w:eastAsia="zh-CN"/>
                        </w:rPr>
                        <w:t>项目所在地</w:t>
                      </w:r>
                    </w:p>
                  </w:txbxContent>
                </v:textbox>
              </v:rect>
            </w:pict>
          </mc:Fallback>
        </mc:AlternateContent>
      </w:r>
      <w:r>
        <w:rPr>
          <w:rFonts w:hint="default" w:ascii="Times New Roman" w:hAnsi="Times New Roman" w:eastAsia="宋体" w:cs="Times New Roman"/>
          <w:color w:val="auto"/>
          <w:sz w:val="24"/>
        </w:rPr>
        <mc:AlternateContent>
          <mc:Choice Requires="wps">
            <w:drawing>
              <wp:anchor distT="0" distB="0" distL="0" distR="0" simplePos="0" relativeHeight="251660288" behindDoc="0" locked="0" layoutInCell="1" allowOverlap="1">
                <wp:simplePos x="0" y="0"/>
                <wp:positionH relativeFrom="column">
                  <wp:posOffset>2020570</wp:posOffset>
                </wp:positionH>
                <wp:positionV relativeFrom="paragraph">
                  <wp:posOffset>3307080</wp:posOffset>
                </wp:positionV>
                <wp:extent cx="118745" cy="277495"/>
                <wp:effectExtent l="0" t="0" r="14605" b="8255"/>
                <wp:wrapNone/>
                <wp:docPr id="1229" name="下箭头 151"/>
                <wp:cNvGraphicFramePr/>
                <a:graphic xmlns:a="http://schemas.openxmlformats.org/drawingml/2006/main">
                  <a:graphicData uri="http://schemas.microsoft.com/office/word/2010/wordprocessingShape">
                    <wps:wsp>
                      <wps:cNvSpPr/>
                      <wps:spPr>
                        <a:xfrm>
                          <a:off x="0" y="0"/>
                          <a:ext cx="118745" cy="277495"/>
                        </a:xfrm>
                        <a:prstGeom prst="downArrow">
                          <a:avLst/>
                        </a:prstGeom>
                        <a:solidFill>
                          <a:srgbClr val="FF0000"/>
                        </a:solidFill>
                        <a:ln>
                          <a:noFill/>
                        </a:ln>
                      </wps:spPr>
                      <wps:bodyPr/>
                    </wps:wsp>
                  </a:graphicData>
                </a:graphic>
              </wp:anchor>
            </w:drawing>
          </mc:Choice>
          <mc:Fallback>
            <w:pict>
              <v:shape id="下箭头 151" o:spid="_x0000_s1026" o:spt="67" type="#_x0000_t67" style="position:absolute;left:0pt;margin-left:159.1pt;margin-top:260.4pt;height:21.85pt;width:9.35pt;z-index:251660288;mso-width-relative:page;mso-height-relative:page;" fillcolor="#FF0000" filled="t" stroked="f" coordsize="21600,21600" o:gfxdata="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XRZcD9kAAAALAQAADwAAAAAAAAABACAAAAAiAAAAZHJzL2Rvd25yZXYueG1sUEsBAhQA&#10;FAAAAAgAh07iQFSRF2a4AQAAXwMAAA4AAAAAAAAAAQAgAAAAKAEAAGRycy9lMm9Eb2MueG1sUEsF&#10;BgAAAAAGAAYAWQEAAFIFAAAAAA==&#10;" adj="16979,5400">
                <v:fill on="t" focussize="0,0"/>
                <v:stroke on="f"/>
                <v:imagedata o:title=""/>
                <o:lock v:ext="edit" aspectratio="f"/>
              </v:shape>
            </w:pict>
          </mc:Fallback>
        </mc:AlternateContent>
      </w:r>
      <w:r>
        <w:rPr>
          <w:rFonts w:hint="default" w:ascii="Times New Roman" w:hAnsi="Times New Roman" w:eastAsia="宋体" w:cs="Times New Roman"/>
          <w:color w:val="auto"/>
          <w:sz w:val="24"/>
          <w:szCs w:val="24"/>
          <w:u w:val="none" w:color="auto"/>
          <w:lang w:val="en-US" w:eastAsia="zh-CN"/>
        </w:rPr>
        <w:drawing>
          <wp:inline distT="0" distB="0" distL="0" distR="0">
            <wp:extent cx="7065010" cy="5006340"/>
            <wp:effectExtent l="0" t="0" r="2540" b="3810"/>
            <wp:docPr id="1230" name="图片 147" descr="规划环评-0705衡阳高新技术产业开发区调区扩区规划环境影响报告书（报批稿）(OCR)_1134"/>
            <wp:cNvGraphicFramePr/>
            <a:graphic xmlns:a="http://schemas.openxmlformats.org/drawingml/2006/main">
              <a:graphicData uri="http://schemas.openxmlformats.org/drawingml/2006/picture">
                <pic:pic xmlns:pic="http://schemas.openxmlformats.org/drawingml/2006/picture">
                  <pic:nvPicPr>
                    <pic:cNvPr id="1230" name="图片 147" descr="规划环评-0705衡阳高新技术产业开发区调区扩区规划环境影响报告书（报批稿）(OCR)_1134"/>
                    <pic:cNvPicPr/>
                  </pic:nvPicPr>
                  <pic:blipFill>
                    <a:blip r:embed="rId86" cstate="print"/>
                    <a:srcRect l="2101" t="1745" r="2272" b="2431"/>
                    <a:stretch>
                      <a:fillRect/>
                    </a:stretch>
                  </pic:blipFill>
                  <pic:spPr>
                    <a:xfrm>
                      <a:off x="0" y="0"/>
                      <a:ext cx="7065010" cy="5006340"/>
                    </a:xfrm>
                    <a:prstGeom prst="rect">
                      <a:avLst/>
                    </a:prstGeom>
                  </pic:spPr>
                </pic:pic>
              </a:graphicData>
            </a:graphic>
          </wp:inline>
        </w:drawing>
      </w:r>
    </w:p>
    <w:p w14:paraId="2C247A24">
      <w:pPr>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br w:type="page"/>
      </w:r>
    </w:p>
    <w:p w14:paraId="3925AB86">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宋体" w:cs="Times New Roman"/>
          <w:b/>
          <w:bCs/>
          <w:color w:val="auto"/>
          <w:sz w:val="24"/>
          <w:szCs w:val="24"/>
          <w:lang w:val="en-US" w:eastAsia="zh-CN"/>
        </w:rPr>
      </w:pPr>
      <w:bookmarkStart w:id="26" w:name="_Toc6448"/>
      <w:r>
        <w:rPr>
          <w:rFonts w:hint="default" w:ascii="Times New Roman" w:hAnsi="Times New Roman" w:eastAsia="宋体" w:cs="Times New Roman"/>
          <w:b/>
          <w:bCs/>
          <w:color w:val="auto"/>
          <w:sz w:val="24"/>
          <w:szCs w:val="24"/>
          <w:lang w:val="en-US" w:eastAsia="zh-CN"/>
        </w:rPr>
        <w:t>附图8 衡阳市生态保护红线分布图</w:t>
      </w:r>
      <w:bookmarkEnd w:id="26"/>
    </w:p>
    <w:p w14:paraId="352C3672">
      <w:pPr>
        <w:tabs>
          <w:tab w:val="left" w:pos="0"/>
        </w:tabs>
        <w:spacing w:line="240" w:lineRule="auto"/>
        <w:ind w:left="0" w:leftChars="0" w:firstLine="0" w:firstLineChars="0"/>
        <w:jc w:val="center"/>
        <w:outlineLvl w:val="9"/>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4"/>
          <w:u w:val="none" w:color="auto"/>
        </w:rPr>
        <mc:AlternateContent>
          <mc:Choice Requires="wps">
            <w:drawing>
              <wp:anchor distT="0" distB="0" distL="0" distR="0" simplePos="0" relativeHeight="251660288" behindDoc="0" locked="0" layoutInCell="1" allowOverlap="1">
                <wp:simplePos x="0" y="0"/>
                <wp:positionH relativeFrom="column">
                  <wp:posOffset>4293235</wp:posOffset>
                </wp:positionH>
                <wp:positionV relativeFrom="paragraph">
                  <wp:posOffset>1847215</wp:posOffset>
                </wp:positionV>
                <wp:extent cx="997585" cy="347980"/>
                <wp:effectExtent l="0" t="0" r="0" b="0"/>
                <wp:wrapNone/>
                <wp:docPr id="1231" name="文本框 154"/>
                <wp:cNvGraphicFramePr/>
                <a:graphic xmlns:a="http://schemas.openxmlformats.org/drawingml/2006/main">
                  <a:graphicData uri="http://schemas.microsoft.com/office/word/2010/wordprocessingShape">
                    <wps:wsp>
                      <wps:cNvSpPr/>
                      <wps:spPr>
                        <a:xfrm>
                          <a:off x="0" y="0"/>
                          <a:ext cx="997584" cy="347979"/>
                        </a:xfrm>
                        <a:prstGeom prst="rect">
                          <a:avLst/>
                        </a:prstGeom>
                        <a:ln>
                          <a:noFill/>
                        </a:ln>
                      </wps:spPr>
                      <wps:txbx>
                        <w:txbxContent>
                          <w:p w14:paraId="66B4EAFC">
                            <w:pPr>
                              <w:rPr>
                                <w:rFonts w:hint="default" w:eastAsia="宋体"/>
                                <w:b/>
                                <w:bCs/>
                                <w:color w:val="FF0000"/>
                                <w:lang w:val="en-US" w:eastAsia="zh-CN"/>
                              </w:rPr>
                            </w:pPr>
                            <w:r>
                              <w:rPr>
                                <w:rFonts w:hint="eastAsia"/>
                                <w:b/>
                                <w:bCs/>
                                <w:color w:val="FF0000"/>
                                <w:lang w:val="en-US" w:eastAsia="zh-CN"/>
                              </w:rPr>
                              <w:t>项目所在地</w:t>
                            </w:r>
                          </w:p>
                        </w:txbxContent>
                      </wps:txbx>
                      <wps:bodyPr vert="horz" wrap="square" lIns="91440" tIns="45720" rIns="91440" bIns="45720" anchor="t">
                        <a:noAutofit/>
                      </wps:bodyPr>
                    </wps:wsp>
                  </a:graphicData>
                </a:graphic>
              </wp:anchor>
            </w:drawing>
          </mc:Choice>
          <mc:Fallback>
            <w:pict>
              <v:rect id="文本框 154" o:spid="_x0000_s1026" o:spt="1" style="position:absolute;left:0pt;margin-left:338.05pt;margin-top:145.45pt;height:27.4pt;width:78.55pt;z-index:251660288;mso-width-relative:page;mso-height-relative:page;" filled="f" stroked="f" coordsize="21600,21600" o:gfxdata="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KpIJX7dAAAACwEA&#10;AA8AAAAAAAAAAQAgAAAAIgAAAGRycy9kb3ducmV2LnhtbFBLAQIUABQAAAAIAIdO4kBRBbK03AEA&#10;AKQDAAAOAAAAAAAAAAEAIAAAACwBAABkcnMvZTJvRG9jLnhtbFBLBQYAAAAABgAGAFkBAAB6BQAA&#10;AAA=&#10;">
                <v:fill on="f" focussize="0,0"/>
                <v:stroke on="f"/>
                <v:imagedata o:title=""/>
                <o:lock v:ext="edit" aspectratio="f"/>
                <v:textbox>
                  <w:txbxContent>
                    <w:p w14:paraId="66B4EAFC">
                      <w:pPr>
                        <w:rPr>
                          <w:rFonts w:hint="default" w:eastAsia="宋体"/>
                          <w:b/>
                          <w:bCs/>
                          <w:color w:val="FF0000"/>
                          <w:lang w:val="en-US" w:eastAsia="zh-CN"/>
                        </w:rPr>
                      </w:pPr>
                      <w:r>
                        <w:rPr>
                          <w:rFonts w:hint="eastAsia"/>
                          <w:b/>
                          <w:bCs/>
                          <w:color w:val="FF0000"/>
                          <w:lang w:val="en-US" w:eastAsia="zh-CN"/>
                        </w:rPr>
                        <w:t>项目所在地</w:t>
                      </w:r>
                    </w:p>
                  </w:txbxContent>
                </v:textbox>
              </v:rect>
            </w:pict>
          </mc:Fallback>
        </mc:AlternateContent>
      </w:r>
      <w:r>
        <w:rPr>
          <w:rFonts w:hint="default" w:ascii="Times New Roman" w:hAnsi="Times New Roman" w:eastAsia="宋体" w:cs="Times New Roman"/>
          <w:color w:val="auto"/>
          <w:sz w:val="22"/>
        </w:rPr>
        <mc:AlternateContent>
          <mc:Choice Requires="wps">
            <w:drawing>
              <wp:anchor distT="0" distB="0" distL="0" distR="0" simplePos="0" relativeHeight="251660288" behindDoc="0" locked="0" layoutInCell="1" allowOverlap="1">
                <wp:simplePos x="0" y="0"/>
                <wp:positionH relativeFrom="column">
                  <wp:posOffset>4716780</wp:posOffset>
                </wp:positionH>
                <wp:positionV relativeFrom="paragraph">
                  <wp:posOffset>2306320</wp:posOffset>
                </wp:positionV>
                <wp:extent cx="107315" cy="129540"/>
                <wp:effectExtent l="0" t="0" r="6985" b="3810"/>
                <wp:wrapNone/>
                <wp:docPr id="1232" name="下箭头 153"/>
                <wp:cNvGraphicFramePr/>
                <a:graphic xmlns:a="http://schemas.openxmlformats.org/drawingml/2006/main">
                  <a:graphicData uri="http://schemas.microsoft.com/office/word/2010/wordprocessingShape">
                    <wps:wsp>
                      <wps:cNvSpPr/>
                      <wps:spPr>
                        <a:xfrm>
                          <a:off x="0" y="0"/>
                          <a:ext cx="107315" cy="129539"/>
                        </a:xfrm>
                        <a:prstGeom prst="downArrow">
                          <a:avLst/>
                        </a:prstGeom>
                        <a:solidFill>
                          <a:srgbClr val="FF0000"/>
                        </a:solidFill>
                        <a:ln>
                          <a:noFill/>
                        </a:ln>
                      </wps:spPr>
                      <wps:bodyPr/>
                    </wps:wsp>
                  </a:graphicData>
                </a:graphic>
              </wp:anchor>
            </w:drawing>
          </mc:Choice>
          <mc:Fallback>
            <w:pict>
              <v:shape id="下箭头 153" o:spid="_x0000_s1026" o:spt="67" type="#_x0000_t67" style="position:absolute;left:0pt;margin-left:371.4pt;margin-top:181.6pt;height:10.2pt;width:8.45pt;z-index:251660288;mso-width-relative:page;mso-height-relative:page;" fillcolor="#FF0000" filled="t" stroked="f" coordsize="21600,21600" o:gfxdata="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iyoyo2wAAAAsBAAAPAAAAAAAAAAEAIAAAACIAAABkcnMvZG93bnJldi54bWxQSwEC&#10;FAAUAAAACACHTuJAZzgaI7gBAABfAwAADgAAAAAAAAABACAAAAAqAQAAZHJzL2Uyb0RvYy54bWxQ&#10;SwUGAAAAAAYABgBZAQAAVAUAAAAA&#10;" adj="12653,5400">
                <v:fill on="t" focussize="0,0"/>
                <v:stroke on="f"/>
                <v:imagedata o:title=""/>
                <o:lock v:ext="edit" aspectratio="f"/>
              </v:shape>
            </w:pict>
          </mc:Fallback>
        </mc:AlternateContent>
      </w:r>
      <w:r>
        <w:rPr>
          <w:rFonts w:hint="default" w:ascii="Times New Roman" w:hAnsi="Times New Roman" w:eastAsia="宋体" w:cs="Times New Roman"/>
          <w:snapToGrid w:val="0"/>
          <w:color w:val="auto"/>
          <w:sz w:val="22"/>
          <w:szCs w:val="22"/>
          <w:u w:val="none" w:color="auto"/>
          <w:lang w:val="en-US" w:eastAsia="zh-CN"/>
        </w:rPr>
        <w:drawing>
          <wp:inline distT="0" distB="0" distL="0" distR="0">
            <wp:extent cx="6395085" cy="5194935"/>
            <wp:effectExtent l="0" t="0" r="5715" b="5715"/>
            <wp:docPr id="1233" name="图片 148" descr="015cde38718a2161e22c91f98dbeb70"/>
            <wp:cNvGraphicFramePr/>
            <a:graphic xmlns:a="http://schemas.openxmlformats.org/drawingml/2006/main">
              <a:graphicData uri="http://schemas.openxmlformats.org/drawingml/2006/picture">
                <pic:pic xmlns:pic="http://schemas.openxmlformats.org/drawingml/2006/picture">
                  <pic:nvPicPr>
                    <pic:cNvPr id="1233" name="图片 148" descr="015cde38718a2161e22c91f98dbeb70"/>
                    <pic:cNvPicPr/>
                  </pic:nvPicPr>
                  <pic:blipFill>
                    <a:blip r:embed="rId87" cstate="print"/>
                    <a:srcRect/>
                    <a:stretch>
                      <a:fillRect/>
                    </a:stretch>
                  </pic:blipFill>
                  <pic:spPr>
                    <a:xfrm>
                      <a:off x="0" y="0"/>
                      <a:ext cx="6395085" cy="5194935"/>
                    </a:xfrm>
                    <a:prstGeom prst="rect">
                      <a:avLst/>
                    </a:prstGeom>
                  </pic:spPr>
                </pic:pic>
              </a:graphicData>
            </a:graphic>
          </wp:inline>
        </w:drawing>
      </w:r>
    </w:p>
    <w:sectPr>
      <w:pgSz w:w="16838" w:h="11906" w:orient="landscape"/>
      <w:pgMar w:top="1531" w:right="1701" w:bottom="1531" w:left="1701" w:header="851" w:footer="851"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Wingdings 2">
    <w:altName w:val="Wingdings"/>
    <w:panose1 w:val="05020102010000070707"/>
    <w:charset w:val="02"/>
    <w:family w:val="auto"/>
    <w:pitch w:val="default"/>
    <w:sig w:usb0="00000000" w:usb1="00000000" w:usb2="00000000" w:usb3="00000000" w:csb0="80000000" w:csb1="00000000"/>
  </w:font>
  <w:font w:name="Cambria Math">
    <w:panose1 w:val="02040503050406030204"/>
    <w:charset w:val="00"/>
    <w:family w:val="auto"/>
    <w:pitch w:val="default"/>
    <w:sig w:usb0="E00006FF" w:usb1="420024FF" w:usb2="02000000" w:usb3="00000000" w:csb0="2000019F" w:csb1="00000000"/>
  </w:font>
  <w:font w:name="Kingsoft UE">
    <w:panose1 w:val="02000100010000000000"/>
    <w:charset w:val="00"/>
    <w:family w:val="auto"/>
    <w:pitch w:val="default"/>
    <w:sig w:usb0="00000001" w:usb1="00004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1C099A">
    <w:pPr>
      <w:pStyle w:val="12"/>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063C32">
    <w:pPr>
      <w:pStyle w:val="12"/>
      <w:framePr w:wrap="around" w:vAnchor="text" w:hAnchor="margin" w:xAlign="center" w:y="1"/>
      <w:rPr>
        <w:rStyle w:val="20"/>
      </w:rPr>
    </w:pPr>
    <w:r>
      <w:fldChar w:fldCharType="begin"/>
    </w:r>
    <w:r>
      <w:rPr>
        <w:rStyle w:val="20"/>
      </w:rPr>
      <w:instrText xml:space="preserve">PAGE  </w:instrText>
    </w:r>
    <w:r>
      <w:fldChar w:fldCharType="end"/>
    </w:r>
  </w:p>
  <w:p w14:paraId="027647D0">
    <w:pPr>
      <w:pStyle w:val="12"/>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915508">
    <w:pPr>
      <w:pStyle w:val="12"/>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E1BC38">
    <w:pPr>
      <w:pStyle w:val="12"/>
      <w:ind w:right="360" w:firstLine="360"/>
      <w:jc w:val="center"/>
    </w:pPr>
    <w:r>
      <w:rPr>
        <w:sz w:val="18"/>
      </w:rPr>
      <mc:AlternateContent>
        <mc:Choice Requires="wps">
          <w:drawing>
            <wp:anchor distT="0" distB="0" distL="0" distR="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8" name="文本框 1032"/>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2F4EAD8C">
                          <w:pPr>
                            <w:pStyle w:val="12"/>
                          </w:pPr>
                          <w:r>
                            <w:fldChar w:fldCharType="begin"/>
                          </w:r>
                          <w:r>
                            <w:instrText xml:space="preserve"> PAGE  \* MERGEFORMAT </w:instrText>
                          </w:r>
                          <w:r>
                            <w:fldChar w:fldCharType="separate"/>
                          </w:r>
                          <w:r>
                            <w:t>1</w:t>
                          </w:r>
                          <w:r>
                            <w:fldChar w:fldCharType="end"/>
                          </w:r>
                        </w:p>
                      </w:txbxContent>
                    </wps:txbx>
                    <wps:bodyPr vert="horz" wrap="none" lIns="0" tIns="0" rIns="0" bIns="0" anchor="t" upright="0">
                      <a:spAutoFit/>
                    </wps:bodyPr>
                  </wps:wsp>
                </a:graphicData>
              </a:graphic>
            </wp:anchor>
          </w:drawing>
        </mc:Choice>
        <mc:Fallback>
          <w:pict>
            <v:rect id="文本框 1032" o:spid="_x0000_s1026" o:spt="1"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&#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l1uVLQAAAABQEAAA8AAAAAAAAAAQAgAAAAIgAAAGRy&#10;cy9kb3ducmV2LnhtbFBLAQIUABQAAAAIAIdO4kDY0Yao1AEAAKEDAAAOAAAAAAAAAAEAIAAAAB8B&#10;AABkcnMvZTJvRG9jLnhtbFBLBQYAAAAABgAGAFkBAABlBQAAAAA=&#10;">
              <v:fill on="f" focussize="0,0"/>
              <v:stroke on="f"/>
              <v:imagedata o:title=""/>
              <o:lock v:ext="edit" aspectratio="f"/>
              <v:textbox inset="0mm,0mm,0mm,0mm" style="mso-fit-shape-to-text:t;">
                <w:txbxContent>
                  <w:p w14:paraId="2F4EAD8C">
                    <w:pPr>
                      <w:pStyle w:val="12"/>
                    </w:pPr>
                    <w:r>
                      <w:fldChar w:fldCharType="begin"/>
                    </w:r>
                    <w:r>
                      <w:instrText xml:space="preserve"> PAGE  \* MERGEFORMAT </w:instrText>
                    </w:r>
                    <w:r>
                      <w:fldChar w:fldCharType="separate"/>
                    </w:r>
                    <w:r>
                      <w:t>1</w:t>
                    </w:r>
                    <w:r>
                      <w:fldChar w:fldCharType="end"/>
                    </w:r>
                  </w:p>
                </w:txbxContent>
              </v:textbox>
            </v:rect>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605D2C">
    <w:pPr>
      <w:pStyle w:val="12"/>
      <w:ind w:right="360" w:firstLine="360"/>
      <w:jc w:val="center"/>
    </w:pPr>
    <w:r>
      <w:rPr>
        <w:sz w:val="18"/>
      </w:rPr>
      <mc:AlternateContent>
        <mc:Choice Requires="wps">
          <w:drawing>
            <wp:anchor distT="0" distB="0" distL="0" distR="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9" name="文本框 1033"/>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58ADB999">
                          <w:pPr>
                            <w:pStyle w:val="12"/>
                          </w:pPr>
                          <w:r>
                            <w:fldChar w:fldCharType="begin"/>
                          </w:r>
                          <w:r>
                            <w:instrText xml:space="preserve"> PAGE  \* MERGEFORMAT </w:instrText>
                          </w:r>
                          <w:r>
                            <w:fldChar w:fldCharType="separate"/>
                          </w:r>
                          <w:r>
                            <w:t>2</w:t>
                          </w:r>
                          <w:r>
                            <w:fldChar w:fldCharType="end"/>
                          </w:r>
                        </w:p>
                      </w:txbxContent>
                    </wps:txbx>
                    <wps:bodyPr vert="horz" wrap="none" lIns="0" tIns="0" rIns="0" bIns="0" anchor="t" upright="0">
                      <a:spAutoFit/>
                    </wps:bodyPr>
                  </wps:wsp>
                </a:graphicData>
              </a:graphic>
            </wp:anchor>
          </w:drawing>
        </mc:Choice>
        <mc:Fallback>
          <w:pict>
            <v:rect id="文本框 1033" o:spid="_x0000_s1026" o:spt="1"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5dblS0AAAAAUBAAAPAAAAAAAAAAEAIAAAACIAAABk&#10;cnMvZG93bnJldi54bWxQSwECFAAUAAAACACHTuJAOiQi59UBAAChAwAADgAAAAAAAAABACAAAAAf&#10;AQAAZHJzL2Uyb0RvYy54bWxQSwUGAAAAAAYABgBZAQAAZgUAAAAA&#10;">
              <v:fill on="f" focussize="0,0"/>
              <v:stroke on="f"/>
              <v:imagedata o:title=""/>
              <o:lock v:ext="edit" aspectratio="f"/>
              <v:textbox inset="0mm,0mm,0mm,0mm" style="mso-fit-shape-to-text:t;">
                <w:txbxContent>
                  <w:p w14:paraId="58ADB999">
                    <w:pPr>
                      <w:pStyle w:val="12"/>
                    </w:pPr>
                    <w:r>
                      <w:fldChar w:fldCharType="begin"/>
                    </w:r>
                    <w:r>
                      <w:instrText xml:space="preserve"> PAGE  \* MERGEFORMAT </w:instrText>
                    </w:r>
                    <w:r>
                      <w:fldChar w:fldCharType="separate"/>
                    </w:r>
                    <w:r>
                      <w:t>2</w:t>
                    </w:r>
                    <w:r>
                      <w:fldChar w:fldCharType="end"/>
                    </w:r>
                  </w:p>
                </w:txbxContent>
              </v:textbox>
            </v:rect>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1037DF">
    <w:pPr>
      <w:pStyle w:val="12"/>
      <w:ind w:right="360" w:firstLine="360"/>
      <w:jc w:val="center"/>
    </w:pPr>
    <w:r>
      <w:rPr>
        <w:sz w:val="18"/>
      </w:rPr>
      <mc:AlternateContent>
        <mc:Choice Requires="wps">
          <w:drawing>
            <wp:anchor distT="0" distB="0" distL="0" distR="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100" name="文本框 1034"/>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4B63ED4C">
                          <w:pPr>
                            <w:pStyle w:val="12"/>
                          </w:pPr>
                          <w:r>
                            <w:fldChar w:fldCharType="begin"/>
                          </w:r>
                          <w:r>
                            <w:instrText xml:space="preserve"> PAGE  \* MERGEFORMAT </w:instrText>
                          </w:r>
                          <w:r>
                            <w:fldChar w:fldCharType="separate"/>
                          </w:r>
                          <w:r>
                            <w:t>7</w:t>
                          </w:r>
                          <w:r>
                            <w:fldChar w:fldCharType="end"/>
                          </w:r>
                        </w:p>
                      </w:txbxContent>
                    </wps:txbx>
                    <wps:bodyPr vert="horz" wrap="none" lIns="0" tIns="0" rIns="0" bIns="0" anchor="t" upright="0">
                      <a:spAutoFit/>
                    </wps:bodyPr>
                  </wps:wsp>
                </a:graphicData>
              </a:graphic>
            </wp:anchor>
          </w:drawing>
        </mc:Choice>
        <mc:Fallback>
          <w:pict>
            <v:rect id="文本框 1034" o:spid="_x0000_s1026" o:spt="1"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uXW5UtAAAAAFAQAADwAAAAAAAAABACAAAAAiAAAAZHJz&#10;L2Rvd25yZXYueG1sUEsBAhQAFAAAAAgAh07iQPu9iRzTAQAAoQMAAA4AAAAAAAAAAQAgAAAAHwEA&#10;AGRycy9lMm9Eb2MueG1sUEsFBgAAAAAGAAYAWQEAAGQFAAAAAA==&#10;">
              <v:fill on="f" focussize="0,0"/>
              <v:stroke on="f"/>
              <v:imagedata o:title=""/>
              <o:lock v:ext="edit" aspectratio="f"/>
              <v:textbox inset="0mm,0mm,0mm,0mm" style="mso-fit-shape-to-text:t;">
                <w:txbxContent>
                  <w:p w14:paraId="4B63ED4C">
                    <w:pPr>
                      <w:pStyle w:val="12"/>
                    </w:pPr>
                    <w:r>
                      <w:fldChar w:fldCharType="begin"/>
                    </w:r>
                    <w:r>
                      <w:instrText xml:space="preserve"> PAGE  \* MERGEFORMAT </w:instrText>
                    </w:r>
                    <w:r>
                      <w:fldChar w:fldCharType="separate"/>
                    </w:r>
                    <w:r>
                      <w:t>7</w:t>
                    </w:r>
                    <w:r>
                      <w:fldChar w:fldCharType="end"/>
                    </w:r>
                  </w:p>
                </w:txbxContent>
              </v:textbox>
            </v:rect>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1156B7">
    <w:pPr>
      <w:pStyle w:val="12"/>
      <w:ind w:right="360" w:firstLine="360"/>
      <w:jc w:val="center"/>
    </w:pPr>
    <w:r>
      <w:rPr>
        <w:sz w:val="18"/>
      </w:rPr>
      <mc:AlternateContent>
        <mc:Choice Requires="wps">
          <w:drawing>
            <wp:anchor distT="0" distB="0" distL="0" distR="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101" name="文本框 1035"/>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0941662A">
                          <w:pPr>
                            <w:pStyle w:val="12"/>
                          </w:pPr>
                          <w:r>
                            <w:fldChar w:fldCharType="begin"/>
                          </w:r>
                          <w:r>
                            <w:instrText xml:space="preserve"> PAGE  \* MERGEFORMAT </w:instrText>
                          </w:r>
                          <w:r>
                            <w:fldChar w:fldCharType="separate"/>
                          </w:r>
                          <w:r>
                            <w:t>8</w:t>
                          </w:r>
                          <w:r>
                            <w:fldChar w:fldCharType="end"/>
                          </w:r>
                        </w:p>
                      </w:txbxContent>
                    </wps:txbx>
                    <wps:bodyPr vert="horz" wrap="none" lIns="0" tIns="0" rIns="0" bIns="0" anchor="t" upright="0">
                      <a:spAutoFit/>
                    </wps:bodyPr>
                  </wps:wsp>
                </a:graphicData>
              </a:graphic>
            </wp:anchor>
          </w:drawing>
        </mc:Choice>
        <mc:Fallback>
          <w:pict>
            <v:rect id="文本框 1035" o:spid="_x0000_s1026" o:spt="1"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&#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l1uVLQAAAABQEAAA8AAAAAAAAAAQAgAAAAIgAAAGRy&#10;cy9kb3ducmV2LnhtbFBLAQIUABQAAAAIAIdO4kAZSC1T1AEAAKEDAAAOAAAAAAAAAAEAIAAAAB8B&#10;AABkcnMvZTJvRG9jLnhtbFBLBQYAAAAABgAGAFkBAABlBQAAAAA=&#10;">
              <v:fill on="f" focussize="0,0"/>
              <v:stroke on="f"/>
              <v:imagedata o:title=""/>
              <o:lock v:ext="edit" aspectratio="f"/>
              <v:textbox inset="0mm,0mm,0mm,0mm" style="mso-fit-shape-to-text:t;">
                <w:txbxContent>
                  <w:p w14:paraId="0941662A">
                    <w:pPr>
                      <w:pStyle w:val="12"/>
                    </w:pPr>
                    <w:r>
                      <w:fldChar w:fldCharType="begin"/>
                    </w:r>
                    <w:r>
                      <w:instrText xml:space="preserve"> PAGE  \* MERGEFORMAT </w:instrText>
                    </w:r>
                    <w:r>
                      <w:fldChar w:fldCharType="separate"/>
                    </w:r>
                    <w:r>
                      <w:t>8</w:t>
                    </w:r>
                    <w:r>
                      <w:fldChar w:fldCharType="end"/>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B6645C">
    <w:pPr>
      <w:pStyle w:val="13"/>
      <w:rPr>
        <w:rFonts w:hint="default"/>
        <w:lang w:val="en-US"/>
      </w:rPr>
    </w:pPr>
    <w:r>
      <w:rPr>
        <w:rFonts w:hint="eastAsia"/>
      </w:rPr>
      <w:t>衡阳铂科电子器件制造生产项目</w:t>
    </w:r>
    <w:r>
      <w:rPr>
        <w:sz w:val="18"/>
      </w:rPr>
      <w:pict>
        <v:shape id="4097" o:spid="_x0000_s2049" o:spt="136" type="#_x0000_t136" style="position:absolute;left:0pt;height:57.6pt;width:529.65pt;mso-position-horizontal:center;mso-position-horizontal-relative:margin;mso-position-vertical:center;mso-position-vertical-relative:margin;rotation:-2949120f;z-index:-251657216;mso-width-relative:page;mso-height-relative:page;" fillcolor="#C0C0C0" filled="t" stroked="f" coordsize="21600,21600">
          <v:path/>
          <v:fill on="t" opacity="25559f" focussize="0,0"/>
          <v:stroke on="f"/>
          <v:imagedata o:title=""/>
          <o:lock v:ext="edit" aspectratio="t"/>
          <v:textpath on="t" fitshape="t" fitpath="t" trim="t" xscale="f" string="&#10;" style="font-family:微软雅黑;font-size:36pt;v-text-align:center;"/>
        </v:shape>
      </w:pict>
    </w:r>
    <w:r>
      <w:rPr>
        <w:rFonts w:hint="eastAsia"/>
        <w:lang w:val="en-US" w:eastAsia="zh-CN"/>
      </w:rPr>
      <w:t>环境影响报告表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decimal"/>
      <w:lvlText w:val="%1."/>
      <w:lvlJc w:val="left"/>
      <w:pPr>
        <w:tabs>
          <w:tab w:val="left" w:pos="312"/>
        </w:tabs>
      </w:pPr>
    </w:lvl>
  </w:abstractNum>
  <w:abstractNum w:abstractNumId="1">
    <w:nsid w:val="00000001"/>
    <w:multiLevelType w:val="singleLevel"/>
    <w:tmpl w:val="00000001"/>
    <w:lvl w:ilvl="0" w:tentative="0">
      <w:start w:val="1"/>
      <w:numFmt w:val="decimal"/>
      <w:lvlText w:val="%1."/>
      <w:lvlJc w:val="left"/>
      <w:pPr>
        <w:tabs>
          <w:tab w:val="left" w:pos="312"/>
        </w:tabs>
      </w:pPr>
    </w:lvl>
  </w:abstractNum>
  <w:abstractNum w:abstractNumId="2">
    <w:nsid w:val="00000002"/>
    <w:multiLevelType w:val="singleLevel"/>
    <w:tmpl w:val="00000002"/>
    <w:lvl w:ilvl="0" w:tentative="0">
      <w:start w:val="1"/>
      <w:numFmt w:val="decimal"/>
      <w:suff w:val="nothing"/>
      <w:lvlText w:val="%1、"/>
      <w:lvlJc w:val="left"/>
    </w:lvl>
  </w:abstractNum>
  <w:abstractNum w:abstractNumId="3">
    <w:nsid w:val="00000003"/>
    <w:multiLevelType w:val="singleLevel"/>
    <w:tmpl w:val="00000003"/>
    <w:lvl w:ilvl="0" w:tentative="0">
      <w:start w:val="1"/>
      <w:numFmt w:val="decimal"/>
      <w:lvlText w:val="%1、"/>
      <w:lvlJc w:val="left"/>
      <w:pPr>
        <w:tabs>
          <w:tab w:val="left" w:pos="397"/>
        </w:tabs>
        <w:ind w:left="0" w:firstLine="0"/>
      </w:pPr>
      <w:rPr>
        <w:rFonts w:hint="default"/>
        <w:b/>
      </w:rPr>
    </w:lvl>
  </w:abstractNum>
  <w:abstractNum w:abstractNumId="4">
    <w:nsid w:val="00000004"/>
    <w:multiLevelType w:val="singleLevel"/>
    <w:tmpl w:val="00000004"/>
    <w:lvl w:ilvl="0" w:tentative="0">
      <w:start w:val="1"/>
      <w:numFmt w:val="decimal"/>
      <w:suff w:val="nothing"/>
      <w:lvlText w:val="%1、"/>
      <w:lvlJc w:val="left"/>
    </w:lvl>
  </w:abstractNum>
  <w:abstractNum w:abstractNumId="5">
    <w:nsid w:val="00000005"/>
    <w:multiLevelType w:val="singleLevel"/>
    <w:tmpl w:val="00000005"/>
    <w:lvl w:ilvl="0" w:tentative="0">
      <w:start w:val="1"/>
      <w:numFmt w:val="decimal"/>
      <w:suff w:val="nothing"/>
      <w:lvlText w:val="%1、"/>
      <w:lvlJc w:val="left"/>
      <w:rPr>
        <w:rFonts w:hint="default"/>
        <w:b/>
        <w:bCs/>
      </w:rPr>
    </w:lvl>
  </w:abstractNum>
  <w:abstractNum w:abstractNumId="6">
    <w:nsid w:val="00000006"/>
    <w:multiLevelType w:val="singleLevel"/>
    <w:tmpl w:val="00000006"/>
    <w:lvl w:ilvl="0" w:tentative="0">
      <w:start w:val="1"/>
      <w:numFmt w:val="decimal"/>
      <w:suff w:val="nothing"/>
      <w:lvlText w:val="%1）"/>
      <w:lvlJc w:val="left"/>
    </w:lvl>
  </w:abstractNum>
  <w:abstractNum w:abstractNumId="7">
    <w:nsid w:val="00000007"/>
    <w:multiLevelType w:val="singleLevel"/>
    <w:tmpl w:val="00000007"/>
    <w:lvl w:ilvl="0" w:tentative="0">
      <w:start w:val="1"/>
      <w:numFmt w:val="decimal"/>
      <w:suff w:val="nothing"/>
      <w:lvlText w:val="%1、"/>
      <w:lvlJc w:val="left"/>
    </w:lvl>
  </w:abstractNum>
  <w:abstractNum w:abstractNumId="8">
    <w:nsid w:val="00000008"/>
    <w:multiLevelType w:val="singleLevel"/>
    <w:tmpl w:val="00000008"/>
    <w:lvl w:ilvl="0" w:tentative="0">
      <w:start w:val="1"/>
      <w:numFmt w:val="decimal"/>
      <w:suff w:val="nothing"/>
      <w:lvlText w:val="（%1）"/>
      <w:lvlJc w:val="left"/>
    </w:lvl>
  </w:abstractNum>
  <w:abstractNum w:abstractNumId="9">
    <w:nsid w:val="00000009"/>
    <w:multiLevelType w:val="singleLevel"/>
    <w:tmpl w:val="00000009"/>
    <w:lvl w:ilvl="0" w:tentative="0">
      <w:start w:val="1"/>
      <w:numFmt w:val="decimal"/>
      <w:lvlText w:val="%1、"/>
      <w:lvlJc w:val="left"/>
      <w:pPr>
        <w:tabs>
          <w:tab w:val="left" w:pos="397"/>
        </w:tabs>
        <w:ind w:left="0" w:firstLine="0"/>
      </w:pPr>
      <w:rPr>
        <w:rFonts w:hint="default"/>
        <w:b/>
      </w:rPr>
    </w:lvl>
  </w:abstractNum>
  <w:abstractNum w:abstractNumId="10">
    <w:nsid w:val="0000000A"/>
    <w:multiLevelType w:val="singleLevel"/>
    <w:tmpl w:val="0000000A"/>
    <w:lvl w:ilvl="0" w:tentative="0">
      <w:start w:val="1"/>
      <w:numFmt w:val="decimal"/>
      <w:lvlText w:val="%1、"/>
      <w:lvlJc w:val="left"/>
      <w:pPr>
        <w:tabs>
          <w:tab w:val="left" w:pos="420"/>
        </w:tabs>
        <w:ind w:left="420" w:hanging="420"/>
      </w:pPr>
      <w:rPr>
        <w:rFonts w:hint="default"/>
        <w:b/>
      </w:rPr>
    </w:lvl>
  </w:abstractNum>
  <w:num w:numId="1">
    <w:abstractNumId w:val="9"/>
  </w:num>
  <w:num w:numId="2">
    <w:abstractNumId w:val="2"/>
  </w:num>
  <w:num w:numId="3">
    <w:abstractNumId w:val="8"/>
  </w:num>
  <w:num w:numId="4">
    <w:abstractNumId w:val="10"/>
  </w:num>
  <w:num w:numId="5">
    <w:abstractNumId w:val="4"/>
  </w:num>
  <w:num w:numId="6">
    <w:abstractNumId w:val="0"/>
  </w:num>
  <w:num w:numId="7">
    <w:abstractNumId w:val="1"/>
  </w:num>
  <w:num w:numId="8">
    <w:abstractNumId w:val="7"/>
  </w:num>
  <w:num w:numId="9">
    <w:abstractNumId w:val="3"/>
  </w:num>
  <w:num w:numId="10">
    <w:abstractNumId w:val="5"/>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6C934011"/>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
    <w:name w:val="heading 2"/>
    <w:basedOn w:val="1"/>
    <w:next w:val="1"/>
    <w:qFormat/>
    <w:uiPriority w:val="0"/>
    <w:pPr>
      <w:tabs>
        <w:tab w:val="left" w:pos="0"/>
      </w:tabs>
      <w:adjustRightInd/>
      <w:snapToGrid/>
      <w:spacing w:before="50" w:beforeLines="50" w:after="50" w:afterLines="50" w:line="440" w:lineRule="exact"/>
      <w:ind w:left="0" w:firstLine="720" w:firstLineChars="200"/>
      <w:outlineLvl w:val="1"/>
    </w:pPr>
    <w:rPr>
      <w:rFonts w:ascii="Times New Roman" w:hAnsi="Times New Roman" w:eastAsia="宋体" w:cs="Times New Roman"/>
      <w:b/>
      <w:bCs/>
      <w:snapToGrid w:val="0"/>
      <w:color w:val="000000"/>
      <w:kern w:val="0"/>
      <w:sz w:val="21"/>
      <w:szCs w:val="30"/>
      <w:lang w:val="zh-CN" w:bidi="zh-CN"/>
    </w:rPr>
  </w:style>
  <w:style w:type="paragraph" w:styleId="4">
    <w:name w:val="heading 3"/>
    <w:basedOn w:val="1"/>
    <w:next w:val="5"/>
    <w:qFormat/>
    <w:uiPriority w:val="0"/>
    <w:pPr>
      <w:keepNext/>
      <w:keepLines/>
      <w:adjustRightInd w:val="0"/>
      <w:spacing w:line="348" w:lineRule="auto"/>
      <w:textAlignment w:val="baseline"/>
      <w:outlineLvl w:val="2"/>
    </w:pPr>
    <w:rPr>
      <w:kern w:val="0"/>
      <w:sz w:val="28"/>
    </w:rPr>
  </w:style>
  <w:style w:type="character" w:default="1" w:styleId="19">
    <w:name w:val="Default Paragraph Font"/>
    <w:qFormat/>
    <w:uiPriority w:val="0"/>
  </w:style>
  <w:style w:type="table" w:default="1" w:styleId="17">
    <w:name w:val="Normal Table"/>
    <w:qFormat/>
    <w:uiPriority w:val="0"/>
    <w:tblPr>
      <w:tblCellMar>
        <w:top w:w="0" w:type="dxa"/>
        <w:left w:w="108" w:type="dxa"/>
        <w:bottom w:w="0" w:type="dxa"/>
        <w:right w:w="108" w:type="dxa"/>
      </w:tblCellMar>
    </w:tblPr>
  </w:style>
  <w:style w:type="paragraph" w:styleId="5">
    <w:name w:val="Normal Indent"/>
    <w:basedOn w:val="1"/>
    <w:next w:val="1"/>
    <w:qFormat/>
    <w:uiPriority w:val="0"/>
    <w:pPr>
      <w:ind w:firstLine="420" w:firstLineChars="200"/>
    </w:pPr>
    <w:rPr>
      <w:szCs w:val="20"/>
    </w:rPr>
  </w:style>
  <w:style w:type="paragraph" w:styleId="6">
    <w:name w:val="annotation text"/>
    <w:basedOn w:val="1"/>
    <w:link w:val="22"/>
    <w:qFormat/>
    <w:uiPriority w:val="0"/>
    <w:pPr>
      <w:jc w:val="left"/>
    </w:pPr>
    <w:rPr>
      <w:kern w:val="0"/>
      <w:sz w:val="24"/>
      <w:szCs w:val="20"/>
    </w:rPr>
  </w:style>
  <w:style w:type="paragraph" w:styleId="7">
    <w:name w:val="Body Text"/>
    <w:basedOn w:val="1"/>
    <w:next w:val="8"/>
    <w:link w:val="23"/>
    <w:qFormat/>
    <w:uiPriority w:val="0"/>
    <w:pPr>
      <w:widowControl/>
      <w:snapToGrid w:val="0"/>
      <w:spacing w:before="60" w:after="160" w:line="259" w:lineRule="auto"/>
      <w:ind w:right="113"/>
    </w:pPr>
    <w:rPr>
      <w:kern w:val="0"/>
      <w:sz w:val="18"/>
      <w:szCs w:val="20"/>
    </w:rPr>
  </w:style>
  <w:style w:type="paragraph" w:styleId="8">
    <w:name w:val="Body Text First Indent"/>
    <w:basedOn w:val="1"/>
    <w:next w:val="7"/>
    <w:qFormat/>
    <w:uiPriority w:val="0"/>
    <w:pPr>
      <w:spacing w:line="360" w:lineRule="auto"/>
      <w:ind w:firstLine="567"/>
    </w:pPr>
    <w:rPr>
      <w:rFonts w:eastAsia="宋体" w:cs="Times New Roman"/>
      <w:kern w:val="10"/>
      <w:sz w:val="24"/>
    </w:rPr>
  </w:style>
  <w:style w:type="paragraph" w:styleId="9">
    <w:name w:val="Body Text Indent"/>
    <w:basedOn w:val="1"/>
    <w:link w:val="24"/>
    <w:qFormat/>
    <w:uiPriority w:val="0"/>
    <w:pPr>
      <w:spacing w:after="120"/>
      <w:ind w:left="420" w:leftChars="200"/>
    </w:pPr>
    <w:rPr>
      <w:kern w:val="0"/>
      <w:sz w:val="24"/>
      <w:szCs w:val="20"/>
    </w:rPr>
  </w:style>
  <w:style w:type="paragraph" w:styleId="10">
    <w:name w:val="Date"/>
    <w:basedOn w:val="1"/>
    <w:next w:val="1"/>
    <w:link w:val="25"/>
    <w:qFormat/>
    <w:uiPriority w:val="0"/>
    <w:pPr>
      <w:ind w:left="100" w:leftChars="2500"/>
    </w:pPr>
    <w:rPr>
      <w:kern w:val="0"/>
      <w:sz w:val="24"/>
      <w:szCs w:val="20"/>
    </w:rPr>
  </w:style>
  <w:style w:type="paragraph" w:styleId="11">
    <w:name w:val="Balloon Text"/>
    <w:basedOn w:val="1"/>
    <w:link w:val="26"/>
    <w:qFormat/>
    <w:uiPriority w:val="0"/>
    <w:rPr>
      <w:kern w:val="0"/>
      <w:sz w:val="18"/>
      <w:szCs w:val="20"/>
    </w:rPr>
  </w:style>
  <w:style w:type="paragraph" w:styleId="12">
    <w:name w:val="footer"/>
    <w:basedOn w:val="1"/>
    <w:link w:val="27"/>
    <w:qFormat/>
    <w:uiPriority w:val="99"/>
    <w:pPr>
      <w:tabs>
        <w:tab w:val="center" w:pos="4153"/>
        <w:tab w:val="right" w:pos="8306"/>
      </w:tabs>
      <w:snapToGrid w:val="0"/>
      <w:jc w:val="left"/>
    </w:pPr>
    <w:rPr>
      <w:kern w:val="0"/>
      <w:sz w:val="18"/>
      <w:szCs w:val="20"/>
    </w:rPr>
  </w:style>
  <w:style w:type="paragraph" w:styleId="13">
    <w:name w:val="header"/>
    <w:basedOn w:val="1"/>
    <w:link w:val="28"/>
    <w:qFormat/>
    <w:uiPriority w:val="0"/>
    <w:pPr>
      <w:pBdr>
        <w:bottom w:val="single" w:color="auto" w:sz="6" w:space="1"/>
      </w:pBdr>
      <w:tabs>
        <w:tab w:val="center" w:pos="4153"/>
        <w:tab w:val="right" w:pos="8306"/>
      </w:tabs>
      <w:snapToGrid w:val="0"/>
      <w:jc w:val="center"/>
    </w:pPr>
    <w:rPr>
      <w:kern w:val="0"/>
      <w:sz w:val="18"/>
      <w:szCs w:val="20"/>
    </w:rPr>
  </w:style>
  <w:style w:type="paragraph" w:styleId="14">
    <w:name w:val="toc 1"/>
    <w:basedOn w:val="1"/>
    <w:next w:val="1"/>
    <w:qFormat/>
    <w:uiPriority w:val="0"/>
  </w:style>
  <w:style w:type="paragraph" w:styleId="15">
    <w:name w:val="Normal (Web)"/>
    <w:basedOn w:val="1"/>
    <w:link w:val="29"/>
    <w:qFormat/>
    <w:uiPriority w:val="0"/>
    <w:pPr>
      <w:widowControl/>
      <w:spacing w:before="100" w:beforeAutospacing="1" w:after="100" w:afterAutospacing="1"/>
      <w:jc w:val="left"/>
    </w:pPr>
    <w:rPr>
      <w:rFonts w:ascii="宋体" w:hAnsi="宋体"/>
      <w:kern w:val="0"/>
      <w:sz w:val="24"/>
      <w:szCs w:val="20"/>
    </w:rPr>
  </w:style>
  <w:style w:type="paragraph" w:styleId="16">
    <w:name w:val="annotation subject"/>
    <w:basedOn w:val="6"/>
    <w:next w:val="6"/>
    <w:link w:val="30"/>
    <w:qFormat/>
    <w:uiPriority w:val="0"/>
    <w:rPr>
      <w:b/>
      <w:sz w:val="24"/>
      <w:szCs w:val="20"/>
    </w:rPr>
  </w:style>
  <w:style w:type="table" w:styleId="18">
    <w:name w:val="Table Grid"/>
    <w:basedOn w:val="17"/>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page number"/>
    <w:basedOn w:val="19"/>
    <w:qFormat/>
    <w:uiPriority w:val="0"/>
  </w:style>
  <w:style w:type="character" w:styleId="21">
    <w:name w:val="annotation reference"/>
    <w:qFormat/>
    <w:uiPriority w:val="0"/>
    <w:rPr>
      <w:sz w:val="21"/>
    </w:rPr>
  </w:style>
  <w:style w:type="character" w:customStyle="1" w:styleId="22">
    <w:name w:val="批注文字 Char"/>
    <w:link w:val="6"/>
    <w:qFormat/>
    <w:uiPriority w:val="0"/>
    <w:rPr>
      <w:rFonts w:ascii="Times New Roman" w:hAnsi="Times New Roman" w:eastAsia="宋体"/>
      <w:sz w:val="24"/>
    </w:rPr>
  </w:style>
  <w:style w:type="character" w:customStyle="1" w:styleId="23">
    <w:name w:val="正文文本 Char"/>
    <w:link w:val="7"/>
    <w:qFormat/>
    <w:uiPriority w:val="0"/>
    <w:rPr>
      <w:sz w:val="18"/>
    </w:rPr>
  </w:style>
  <w:style w:type="character" w:customStyle="1" w:styleId="24">
    <w:name w:val="正文文本缩进 Char"/>
    <w:link w:val="9"/>
    <w:qFormat/>
    <w:uiPriority w:val="0"/>
    <w:rPr>
      <w:rFonts w:ascii="Times New Roman" w:hAnsi="Times New Roman" w:eastAsia="宋体"/>
      <w:sz w:val="24"/>
    </w:rPr>
  </w:style>
  <w:style w:type="character" w:customStyle="1" w:styleId="25">
    <w:name w:val="日期 Char"/>
    <w:link w:val="10"/>
    <w:qFormat/>
    <w:uiPriority w:val="0"/>
    <w:rPr>
      <w:rFonts w:ascii="Times New Roman" w:hAnsi="Times New Roman" w:eastAsia="宋体"/>
      <w:sz w:val="24"/>
    </w:rPr>
  </w:style>
  <w:style w:type="character" w:customStyle="1" w:styleId="26">
    <w:name w:val="批注框文本 Char"/>
    <w:link w:val="11"/>
    <w:qFormat/>
    <w:uiPriority w:val="0"/>
    <w:rPr>
      <w:rFonts w:ascii="Times New Roman" w:hAnsi="Times New Roman" w:eastAsia="宋体"/>
      <w:sz w:val="18"/>
    </w:rPr>
  </w:style>
  <w:style w:type="character" w:customStyle="1" w:styleId="27">
    <w:name w:val="页脚 Char"/>
    <w:link w:val="12"/>
    <w:qFormat/>
    <w:uiPriority w:val="99"/>
    <w:rPr>
      <w:sz w:val="18"/>
    </w:rPr>
  </w:style>
  <w:style w:type="character" w:customStyle="1" w:styleId="28">
    <w:name w:val="页眉 Char"/>
    <w:link w:val="13"/>
    <w:qFormat/>
    <w:uiPriority w:val="0"/>
    <w:rPr>
      <w:sz w:val="18"/>
    </w:rPr>
  </w:style>
  <w:style w:type="character" w:customStyle="1" w:styleId="29">
    <w:name w:val="普通(网站) Char"/>
    <w:link w:val="15"/>
    <w:qFormat/>
    <w:uiPriority w:val="0"/>
    <w:rPr>
      <w:rFonts w:ascii="宋体" w:hAnsi="宋体" w:eastAsia="宋体"/>
      <w:sz w:val="24"/>
    </w:rPr>
  </w:style>
  <w:style w:type="character" w:customStyle="1" w:styleId="30">
    <w:name w:val="批注主题 Char"/>
    <w:link w:val="16"/>
    <w:qFormat/>
    <w:uiPriority w:val="0"/>
    <w:rPr>
      <w:rFonts w:ascii="Times New Roman" w:hAnsi="Times New Roman" w:eastAsia="宋体"/>
      <w:b/>
      <w:kern w:val="2"/>
      <w:sz w:val="24"/>
    </w:rPr>
  </w:style>
  <w:style w:type="character" w:customStyle="1" w:styleId="31">
    <w:name w:val="页脚 字符"/>
    <w:basedOn w:val="19"/>
    <w:qFormat/>
    <w:uiPriority w:val="99"/>
  </w:style>
  <w:style w:type="character" w:customStyle="1" w:styleId="32">
    <w:name w:val="正文文本 字符1"/>
    <w:qFormat/>
    <w:uiPriority w:val="0"/>
    <w:rPr>
      <w:rFonts w:ascii="Times New Roman" w:hAnsi="Times New Roman" w:eastAsia="宋体"/>
      <w:sz w:val="24"/>
    </w:rPr>
  </w:style>
  <w:style w:type="character" w:customStyle="1" w:styleId="33">
    <w:name w:val="表格 Char"/>
    <w:link w:val="34"/>
    <w:qFormat/>
    <w:uiPriority w:val="0"/>
    <w:rPr>
      <w:rFonts w:ascii="宋体"/>
      <w:sz w:val="21"/>
    </w:rPr>
  </w:style>
  <w:style w:type="paragraph" w:customStyle="1" w:styleId="34">
    <w:name w:val="表格"/>
    <w:basedOn w:val="1"/>
    <w:next w:val="1"/>
    <w:link w:val="33"/>
    <w:qFormat/>
    <w:uiPriority w:val="0"/>
    <w:pPr>
      <w:adjustRightInd w:val="0"/>
      <w:snapToGrid w:val="0"/>
      <w:spacing w:beforeLines="10" w:afterLines="10" w:line="259" w:lineRule="auto"/>
      <w:jc w:val="center"/>
    </w:pPr>
    <w:rPr>
      <w:rFonts w:ascii="宋体"/>
      <w:kern w:val="0"/>
      <w:szCs w:val="20"/>
    </w:rPr>
  </w:style>
  <w:style w:type="character" w:customStyle="1" w:styleId="35">
    <w:name w:val="日期 字符"/>
    <w:qFormat/>
    <w:uiPriority w:val="0"/>
    <w:rPr>
      <w:rFonts w:ascii="Times New Roman" w:hAnsi="Times New Roman" w:eastAsia="宋体"/>
      <w:sz w:val="24"/>
    </w:rPr>
  </w:style>
  <w:style w:type="character" w:customStyle="1" w:styleId="36">
    <w:name w:val="批注文字 字符1"/>
    <w:qFormat/>
    <w:uiPriority w:val="0"/>
    <w:rPr>
      <w:rFonts w:ascii="Times New Roman" w:hAnsi="Times New Roman" w:eastAsia="宋体"/>
      <w:sz w:val="24"/>
    </w:rPr>
  </w:style>
  <w:style w:type="paragraph" w:customStyle="1" w:styleId="37">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38">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39">
    <w:name w:val="缩进正文"/>
    <w:basedOn w:val="1"/>
    <w:qFormat/>
    <w:uiPriority w:val="0"/>
    <w:pPr>
      <w:spacing w:line="360" w:lineRule="auto"/>
      <w:ind w:firstLine="720" w:firstLineChars="200"/>
    </w:pPr>
    <w:rPr>
      <w:sz w:val="24"/>
    </w:rPr>
  </w:style>
  <w:style w:type="paragraph" w:customStyle="1" w:styleId="40">
    <w:name w:val="表格1"/>
    <w:basedOn w:val="1"/>
    <w:qFormat/>
    <w:uiPriority w:val="0"/>
    <w:pPr>
      <w:tabs>
        <w:tab w:val="left" w:pos="1325"/>
      </w:tabs>
      <w:adjustRightInd w:val="0"/>
      <w:snapToGrid w:val="0"/>
      <w:jc w:val="center"/>
    </w:pPr>
    <w:rPr>
      <w:kern w:val="0"/>
      <w:sz w:val="24"/>
    </w:rPr>
  </w:style>
  <w:style w:type="paragraph" w:customStyle="1" w:styleId="41">
    <w:name w:val="Default"/>
    <w:qFormat/>
    <w:uiPriority w:val="99"/>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42">
    <w:name w:val="表格小标题"/>
    <w:basedOn w:val="43"/>
    <w:qFormat/>
    <w:uiPriority w:val="0"/>
  </w:style>
  <w:style w:type="paragraph" w:customStyle="1" w:styleId="43">
    <w:name w:val="表格标题"/>
    <w:basedOn w:val="1"/>
    <w:qFormat/>
    <w:uiPriority w:val="0"/>
    <w:pPr>
      <w:widowControl/>
      <w:shd w:val="clear" w:color="auto" w:fill="FFFFFF"/>
      <w:wordWrap/>
      <w:spacing w:line="240" w:lineRule="auto"/>
      <w:ind w:firstLine="0" w:firstLineChars="0"/>
      <w:jc w:val="center"/>
    </w:pPr>
    <w:rPr>
      <w:rFonts w:cs="宋体"/>
      <w:b/>
      <w:sz w:val="21"/>
      <w:szCs w:val="21"/>
    </w:rPr>
  </w:style>
  <w:style w:type="character" w:customStyle="1" w:styleId="44">
    <w:name w:val="font11"/>
    <w:basedOn w:val="19"/>
    <w:qFormat/>
    <w:uiPriority w:val="0"/>
    <w:rPr>
      <w:rFonts w:hint="default" w:ascii="Times New Roman" w:hAnsi="Times New Roman" w:cs="Times New Roman"/>
      <w:color w:val="000000"/>
      <w:sz w:val="21"/>
      <w:szCs w:val="21"/>
      <w:u w:val="none"/>
    </w:rPr>
  </w:style>
  <w:style w:type="paragraph" w:customStyle="1" w:styleId="45">
    <w:name w:val="WPSOffice手动目录 1"/>
    <w:qFormat/>
    <w:uiPriority w:val="0"/>
    <w:pPr>
      <w:ind w:leftChars="0"/>
    </w:pPr>
    <w:rPr>
      <w:rFonts w:ascii="Times New Roman" w:hAnsi="Times New Roman" w:eastAsia="宋体" w:cs="Times New Roman"/>
      <w:sz w:val="20"/>
      <w:szCs w:val="20"/>
    </w:rPr>
  </w:style>
  <w:style w:type="paragraph" w:customStyle="1" w:styleId="46">
    <w:name w:val="正文文"/>
    <w:basedOn w:val="1"/>
    <w:qFormat/>
    <w:uiPriority w:val="0"/>
    <w:pPr>
      <w:ind w:firstLine="1441"/>
      <w:jc w:val="left"/>
    </w:pPr>
  </w:style>
</w:styles>
</file>

<file path=word/_rels/document.xml.rels><?xml version="1.0" encoding="UTF-8" standalone="yes"?>
<Relationships xmlns="http://schemas.openxmlformats.org/package/2006/relationships"><Relationship Id="rId90" Type="http://schemas.openxmlformats.org/officeDocument/2006/relationships/fontTable" Target="fontTable.xml"/><Relationship Id="rId9" Type="http://schemas.openxmlformats.org/officeDocument/2006/relationships/footer" Target="footer6.xml"/><Relationship Id="rId89" Type="http://schemas.openxmlformats.org/officeDocument/2006/relationships/numbering" Target="numbering.xml"/><Relationship Id="rId88" Type="http://schemas.openxmlformats.org/officeDocument/2006/relationships/customXml" Target="../customXml/item1.xml"/><Relationship Id="rId87" Type="http://schemas.openxmlformats.org/officeDocument/2006/relationships/image" Target="media/image74.png"/><Relationship Id="rId86" Type="http://schemas.openxmlformats.org/officeDocument/2006/relationships/image" Target="media/image73.jpeg"/><Relationship Id="rId85" Type="http://schemas.openxmlformats.org/officeDocument/2006/relationships/image" Target="media/image72.jpeg"/><Relationship Id="rId84" Type="http://schemas.openxmlformats.org/officeDocument/2006/relationships/image" Target="media/image71.jpeg"/><Relationship Id="rId83" Type="http://schemas.openxmlformats.org/officeDocument/2006/relationships/image" Target="media/image70.png"/><Relationship Id="rId82" Type="http://schemas.openxmlformats.org/officeDocument/2006/relationships/image" Target="media/image69.jpeg"/><Relationship Id="rId81" Type="http://schemas.openxmlformats.org/officeDocument/2006/relationships/image" Target="media/image68.png"/><Relationship Id="rId80" Type="http://schemas.openxmlformats.org/officeDocument/2006/relationships/image" Target="media/image67.png"/><Relationship Id="rId8" Type="http://schemas.openxmlformats.org/officeDocument/2006/relationships/footer" Target="footer5.xml"/><Relationship Id="rId79" Type="http://schemas.openxmlformats.org/officeDocument/2006/relationships/image" Target="media/image66.png"/><Relationship Id="rId78" Type="http://schemas.openxmlformats.org/officeDocument/2006/relationships/image" Target="media/image65.png"/><Relationship Id="rId77" Type="http://schemas.openxmlformats.org/officeDocument/2006/relationships/image" Target="media/image64.png"/><Relationship Id="rId76" Type="http://schemas.openxmlformats.org/officeDocument/2006/relationships/image" Target="media/image63.png"/><Relationship Id="rId75" Type="http://schemas.openxmlformats.org/officeDocument/2006/relationships/image" Target="media/image62.png"/><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pn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footer" Target="footer4.xml"/><Relationship Id="rId69" Type="http://schemas.openxmlformats.org/officeDocument/2006/relationships/image" Target="media/image56.png"/><Relationship Id="rId68" Type="http://schemas.openxmlformats.org/officeDocument/2006/relationships/image" Target="media/image55.pn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3.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header" Target="header1.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footer" Target="footer2.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jpeg"/><Relationship Id="rId35" Type="http://schemas.openxmlformats.org/officeDocument/2006/relationships/image" Target="media/image22.jpe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jpe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er" Target="footer1.xml"/><Relationship Id="rId29" Type="http://schemas.openxmlformats.org/officeDocument/2006/relationships/image" Target="media/image16.jpeg"/><Relationship Id="rId28" Type="http://schemas.openxmlformats.org/officeDocument/2006/relationships/image" Target="media/image15.png"/><Relationship Id="rId27" Type="http://schemas.openxmlformats.org/officeDocument/2006/relationships/image" Target="media/image14.jpe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wmf"/><Relationship Id="rId17" Type="http://schemas.openxmlformats.org/officeDocument/2006/relationships/oleObject" Target="embeddings/oleObject2.bin"/><Relationship Id="rId16" Type="http://schemas.openxmlformats.org/officeDocument/2006/relationships/image" Target="media/image4.wmf"/><Relationship Id="rId15" Type="http://schemas.openxmlformats.org/officeDocument/2006/relationships/oleObject" Target="embeddings/oleObject1.bin"/><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125</Pages>
  <Words>1964</Words>
  <Characters>2144</Characters>
  <Paragraphs>4556</Paragraphs>
  <TotalTime>1</TotalTime>
  <ScaleCrop>false</ScaleCrop>
  <LinksUpToDate>false</LinksUpToDate>
  <CharactersWithSpaces>2256</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2025-06-14T13:37:00Z</dcterms:created>
  <dc:creator>lhj</dc:creator>
  <cp:lastModifiedBy>周静如</cp:lastModifiedBy>
  <cp:lastPrinted>2020-12-29T02:43:00Z</cp:lastPrinted>
  <dcterms:modified xsi:type="dcterms:W3CDTF">2025-06-16T00:04:11Z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d8feb773fc33405e940c8f1a97adf2a4_23</vt:lpwstr>
  </property>
  <property fmtid="{D5CDD505-2E9C-101B-9397-08002B2CF9AE}" pid="4" name="KSOTemplateDocerSaveRecord">
    <vt:lpwstr>eyJoZGlkIjoiZWU2OTc5ZDY4NzRjYWM4YWI3NDgwZDU5YjRkZDY1Y2MiLCJ1c2VySWQiOiIyODQ4NTgwNjQifQ==</vt:lpwstr>
  </property>
</Properties>
</file>