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8FBA3">
      <w:pPr>
        <w:jc w:val="center"/>
        <w:rPr>
          <w:rFonts w:hint="eastAsia" w:ascii="宋体" w:hAnsi="宋体" w:eastAsia="宋体" w:cs="宋体"/>
          <w:b w:val="0"/>
          <w:bCs w:val="0"/>
          <w:spacing w:val="7"/>
          <w:sz w:val="21"/>
          <w:szCs w:val="21"/>
        </w:rPr>
      </w:pPr>
      <w:r>
        <w:rPr>
          <w:rFonts w:hint="eastAsia" w:ascii="方正小标宋简体" w:hAnsi="方正小标宋简体" w:eastAsia="方正小标宋简体" w:cs="方正小标宋简体"/>
          <w:b w:val="0"/>
          <w:bCs w:val="0"/>
          <w:spacing w:val="7"/>
          <w:sz w:val="32"/>
          <w:szCs w:val="32"/>
          <w:lang w:val="en-US" w:eastAsia="zh-CN"/>
        </w:rPr>
        <w:t>衡阳市</w:t>
      </w:r>
      <w:r>
        <w:rPr>
          <w:rFonts w:hint="eastAsia" w:ascii="方正小标宋简体" w:hAnsi="方正小标宋简体" w:eastAsia="方正小标宋简体" w:cs="方正小标宋简体"/>
          <w:b w:val="0"/>
          <w:bCs w:val="0"/>
          <w:spacing w:val="7"/>
          <w:sz w:val="32"/>
          <w:szCs w:val="32"/>
        </w:rPr>
        <w:t>交通运输综合行政执法事项指导目录（</w:t>
      </w:r>
      <w:r>
        <w:rPr>
          <w:rFonts w:hint="eastAsia" w:ascii="方正小标宋简体" w:hAnsi="方正小标宋简体" w:eastAsia="方正小标宋简体" w:cs="方正小标宋简体"/>
          <w:b w:val="0"/>
          <w:bCs w:val="0"/>
          <w:color w:val="000000"/>
          <w:kern w:val="0"/>
          <w:sz w:val="32"/>
          <w:szCs w:val="32"/>
        </w:rPr>
        <w:t>交通</w:t>
      </w:r>
      <w:r>
        <w:rPr>
          <w:rFonts w:hint="eastAsia" w:ascii="方正小标宋简体" w:hAnsi="方正小标宋简体" w:eastAsia="方正小标宋简体" w:cs="方正小标宋简体"/>
          <w:b w:val="0"/>
          <w:bCs w:val="0"/>
          <w:color w:val="000000"/>
          <w:kern w:val="0"/>
          <w:sz w:val="32"/>
          <w:szCs w:val="32"/>
          <w:lang w:eastAsia="zh-CN"/>
        </w:rPr>
        <w:t>建设</w:t>
      </w:r>
      <w:r>
        <w:rPr>
          <w:rFonts w:hint="eastAsia" w:ascii="方正小标宋简体" w:hAnsi="方正小标宋简体" w:eastAsia="方正小标宋简体" w:cs="方正小标宋简体"/>
          <w:b w:val="0"/>
          <w:bCs w:val="0"/>
          <w:color w:val="000000"/>
          <w:kern w:val="0"/>
          <w:sz w:val="32"/>
          <w:szCs w:val="32"/>
        </w:rPr>
        <w:t>工程</w:t>
      </w:r>
      <w:r>
        <w:rPr>
          <w:rFonts w:hint="eastAsia" w:ascii="方正小标宋简体" w:hAnsi="方正小标宋简体" w:eastAsia="方正小标宋简体" w:cs="方正小标宋简体"/>
          <w:b w:val="0"/>
          <w:bCs w:val="0"/>
          <w:color w:val="000000"/>
          <w:kern w:val="0"/>
          <w:sz w:val="32"/>
          <w:szCs w:val="32"/>
          <w:lang w:eastAsia="zh-CN"/>
        </w:rPr>
        <w:t>质量安全监</w:t>
      </w:r>
      <w:r>
        <w:rPr>
          <w:rFonts w:hint="eastAsia" w:ascii="方正小标宋简体" w:hAnsi="方正小标宋简体" w:eastAsia="方正小标宋简体" w:cs="方正小标宋简体"/>
          <w:b w:val="0"/>
          <w:bCs w:val="0"/>
          <w:color w:val="auto"/>
          <w:kern w:val="0"/>
          <w:sz w:val="32"/>
          <w:szCs w:val="32"/>
          <w:lang w:eastAsia="zh-CN"/>
        </w:rPr>
        <w:t>督</w:t>
      </w:r>
      <w:r>
        <w:rPr>
          <w:rFonts w:hint="eastAsia" w:ascii="方正小标宋简体" w:hAnsi="方正小标宋简体" w:eastAsia="方正小标宋简体" w:cs="方正小标宋简体"/>
          <w:b w:val="0"/>
          <w:bCs w:val="0"/>
          <w:color w:val="auto"/>
          <w:kern w:val="0"/>
          <w:sz w:val="32"/>
          <w:szCs w:val="32"/>
          <w:lang w:val="en-US" w:eastAsia="zh-CN"/>
        </w:rPr>
        <w:t>106</w:t>
      </w:r>
      <w:r>
        <w:rPr>
          <w:rFonts w:hint="eastAsia" w:ascii="方正小标宋简体" w:hAnsi="方正小标宋简体" w:eastAsia="方正小标宋简体" w:cs="方正小标宋简体"/>
          <w:b w:val="0"/>
          <w:bCs w:val="0"/>
          <w:color w:val="000000"/>
          <w:kern w:val="0"/>
          <w:sz w:val="32"/>
          <w:szCs w:val="32"/>
          <w:lang w:val="en-US" w:eastAsia="zh-CN"/>
        </w:rPr>
        <w:t>项</w:t>
      </w:r>
      <w:r>
        <w:rPr>
          <w:rFonts w:hint="eastAsia" w:ascii="方正小标宋简体" w:hAnsi="方正小标宋简体" w:eastAsia="方正小标宋简体" w:cs="方正小标宋简体"/>
          <w:b w:val="0"/>
          <w:bCs w:val="0"/>
          <w:spacing w:val="7"/>
          <w:sz w:val="32"/>
          <w:szCs w:val="32"/>
        </w:rPr>
        <w:t>）</w:t>
      </w:r>
      <w:r>
        <w:rPr>
          <w:rFonts w:hint="eastAsia" w:ascii="宋体" w:hAnsi="宋体" w:eastAsia="宋体" w:cs="宋体"/>
          <w:b w:val="0"/>
          <w:bCs w:val="0"/>
          <w:spacing w:val="7"/>
          <w:sz w:val="19"/>
          <w:szCs w:val="19"/>
          <w:lang w:val="en-US" w:eastAsia="zh-CN"/>
        </w:rPr>
        <w:t xml:space="preserve"> </w:t>
      </w:r>
    </w:p>
    <w:tbl>
      <w:tblPr>
        <w:tblStyle w:val="9"/>
        <w:tblW w:w="14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104"/>
        <w:gridCol w:w="1104"/>
        <w:gridCol w:w="8552"/>
        <w:gridCol w:w="1549"/>
        <w:gridCol w:w="1739"/>
      </w:tblGrid>
      <w:tr w14:paraId="712B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20" w:type="dxa"/>
            <w:vMerge w:val="restart"/>
            <w:shd w:val="clear" w:color="auto" w:fill="auto"/>
            <w:noWrap w:val="0"/>
            <w:vAlign w:val="center"/>
          </w:tcPr>
          <w:p w14:paraId="64531EE8">
            <w:pPr>
              <w:spacing w:line="240" w:lineRule="exact"/>
              <w:jc w:val="center"/>
              <w:rPr>
                <w:rFonts w:hint="eastAsia" w:ascii="宋体" w:hAnsi="宋体" w:eastAsia="宋体"/>
                <w:b/>
                <w:bCs/>
                <w:sz w:val="18"/>
                <w:szCs w:val="18"/>
                <w:lang w:eastAsia="zh-CN"/>
              </w:rPr>
            </w:pPr>
            <w:r>
              <w:rPr>
                <w:rFonts w:hint="eastAsia" w:ascii="宋体" w:hAnsi="宋体" w:eastAsia="宋体"/>
                <w:b/>
                <w:bCs/>
                <w:sz w:val="18"/>
                <w:szCs w:val="18"/>
                <w:lang w:eastAsia="zh-CN"/>
              </w:rPr>
              <w:t>序号</w:t>
            </w:r>
          </w:p>
        </w:tc>
        <w:tc>
          <w:tcPr>
            <w:tcW w:w="1104" w:type="dxa"/>
            <w:vMerge w:val="restart"/>
            <w:shd w:val="clear" w:color="auto" w:fill="auto"/>
            <w:noWrap w:val="0"/>
            <w:vAlign w:val="center"/>
          </w:tcPr>
          <w:p w14:paraId="3B0A9489">
            <w:pPr>
              <w:jc w:val="center"/>
              <w:rPr>
                <w:rFonts w:hint="eastAsia" w:ascii="宋体" w:hAnsi="宋体" w:eastAsia="宋体"/>
                <w:b/>
                <w:bCs/>
                <w:sz w:val="18"/>
                <w:szCs w:val="18"/>
                <w:lang w:eastAsia="zh-CN"/>
              </w:rPr>
            </w:pPr>
            <w:r>
              <w:rPr>
                <w:rFonts w:hint="eastAsia" w:ascii="宋体" w:hAnsi="宋体" w:eastAsia="宋体"/>
                <w:b/>
                <w:bCs/>
                <w:sz w:val="18"/>
                <w:szCs w:val="18"/>
              </w:rPr>
              <w:t>事项</w:t>
            </w:r>
            <w:r>
              <w:rPr>
                <w:rFonts w:hint="eastAsia" w:ascii="宋体" w:hAnsi="宋体" w:eastAsia="宋体"/>
                <w:b/>
                <w:bCs/>
                <w:sz w:val="18"/>
                <w:szCs w:val="18"/>
                <w:lang w:eastAsia="zh-CN"/>
              </w:rPr>
              <w:t>名称</w:t>
            </w:r>
          </w:p>
        </w:tc>
        <w:tc>
          <w:tcPr>
            <w:tcW w:w="1104" w:type="dxa"/>
            <w:vMerge w:val="restart"/>
            <w:shd w:val="clear" w:color="auto" w:fill="auto"/>
            <w:noWrap w:val="0"/>
            <w:tcMar>
              <w:top w:w="0" w:type="dxa"/>
              <w:left w:w="0" w:type="dxa"/>
              <w:bottom w:w="0" w:type="dxa"/>
              <w:right w:w="0" w:type="dxa"/>
            </w:tcMar>
            <w:vAlign w:val="center"/>
          </w:tcPr>
          <w:p w14:paraId="3F8DCB76">
            <w:pPr>
              <w:jc w:val="center"/>
              <w:rPr>
                <w:rFonts w:hint="eastAsia" w:ascii="宋体" w:hAnsi="宋体" w:eastAsia="宋体"/>
                <w:b/>
                <w:bCs/>
                <w:sz w:val="18"/>
                <w:szCs w:val="18"/>
                <w:lang w:eastAsia="zh-CN"/>
              </w:rPr>
            </w:pPr>
            <w:r>
              <w:rPr>
                <w:rFonts w:hint="eastAsia" w:ascii="宋体" w:hAnsi="宋体" w:eastAsia="宋体"/>
                <w:b/>
                <w:bCs/>
                <w:sz w:val="18"/>
                <w:szCs w:val="18"/>
                <w:lang w:eastAsia="zh-CN"/>
              </w:rPr>
              <w:t>职权类型</w:t>
            </w:r>
          </w:p>
        </w:tc>
        <w:tc>
          <w:tcPr>
            <w:tcW w:w="8552" w:type="dxa"/>
            <w:vMerge w:val="restart"/>
            <w:shd w:val="clear" w:color="auto" w:fill="auto"/>
            <w:noWrap w:val="0"/>
            <w:vAlign w:val="center"/>
          </w:tcPr>
          <w:p w14:paraId="190703BD">
            <w:pPr>
              <w:jc w:val="center"/>
              <w:rPr>
                <w:rFonts w:ascii="宋体" w:hAnsi="宋体" w:eastAsia="宋体"/>
                <w:b/>
                <w:bCs/>
                <w:sz w:val="18"/>
                <w:szCs w:val="18"/>
              </w:rPr>
            </w:pPr>
            <w:r>
              <w:rPr>
                <w:rFonts w:hint="eastAsia" w:ascii="宋体" w:hAnsi="宋体" w:eastAsia="宋体"/>
                <w:b/>
                <w:bCs/>
                <w:sz w:val="18"/>
                <w:szCs w:val="18"/>
              </w:rPr>
              <w:t>实施依据</w:t>
            </w:r>
          </w:p>
        </w:tc>
        <w:tc>
          <w:tcPr>
            <w:tcW w:w="3288" w:type="dxa"/>
            <w:gridSpan w:val="2"/>
            <w:shd w:val="clear" w:color="auto" w:fill="auto"/>
            <w:noWrap w:val="0"/>
            <w:vAlign w:val="center"/>
          </w:tcPr>
          <w:p w14:paraId="400AE5EF">
            <w:pPr>
              <w:keepNext w:val="0"/>
              <w:keepLines w:val="0"/>
              <w:pageBreakBefore w:val="0"/>
              <w:wordWrap/>
              <w:overflowPunct/>
              <w:topLinePunct w:val="0"/>
              <w:bidi w:val="0"/>
              <w:adjustRightInd/>
              <w:snapToGrid/>
              <w:jc w:val="center"/>
              <w:rPr>
                <w:rFonts w:hint="eastAsia" w:ascii="宋体" w:hAnsi="宋体" w:eastAsia="宋体"/>
                <w:b/>
                <w:bCs/>
                <w:sz w:val="18"/>
                <w:szCs w:val="18"/>
                <w:lang w:eastAsia="zh-CN"/>
              </w:rPr>
            </w:pPr>
            <w:r>
              <w:rPr>
                <w:rFonts w:hint="eastAsia" w:ascii="宋体" w:hAnsi="宋体" w:eastAsia="宋体"/>
                <w:b/>
                <w:bCs/>
                <w:sz w:val="18"/>
                <w:szCs w:val="18"/>
                <w:lang w:eastAsia="zh-CN"/>
              </w:rPr>
              <w:t>实施主体</w:t>
            </w:r>
          </w:p>
        </w:tc>
      </w:tr>
      <w:tr w14:paraId="0D07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20" w:type="dxa"/>
            <w:vMerge w:val="continue"/>
            <w:shd w:val="clear" w:color="auto" w:fill="auto"/>
            <w:noWrap w:val="0"/>
            <w:vAlign w:val="center"/>
          </w:tcPr>
          <w:p w14:paraId="24C70827">
            <w:pPr>
              <w:spacing w:line="240" w:lineRule="exact"/>
              <w:jc w:val="center"/>
              <w:rPr>
                <w:rFonts w:hint="eastAsia" w:ascii="宋体" w:hAnsi="宋体" w:eastAsia="宋体"/>
                <w:b/>
                <w:bCs/>
                <w:sz w:val="18"/>
                <w:szCs w:val="18"/>
              </w:rPr>
            </w:pPr>
          </w:p>
        </w:tc>
        <w:tc>
          <w:tcPr>
            <w:tcW w:w="1104" w:type="dxa"/>
            <w:vMerge w:val="continue"/>
            <w:shd w:val="clear" w:color="auto" w:fill="auto"/>
            <w:noWrap w:val="0"/>
            <w:vAlign w:val="center"/>
          </w:tcPr>
          <w:p w14:paraId="473EB831">
            <w:pPr>
              <w:jc w:val="both"/>
              <w:rPr>
                <w:rFonts w:hint="eastAsia" w:ascii="宋体" w:hAnsi="宋体" w:eastAsia="宋体"/>
                <w:b/>
                <w:bCs/>
                <w:sz w:val="18"/>
                <w:szCs w:val="18"/>
                <w:lang w:eastAsia="zh-CN"/>
              </w:rPr>
            </w:pPr>
          </w:p>
        </w:tc>
        <w:tc>
          <w:tcPr>
            <w:tcW w:w="1104" w:type="dxa"/>
            <w:vMerge w:val="continue"/>
            <w:shd w:val="clear" w:color="auto" w:fill="auto"/>
            <w:noWrap w:val="0"/>
            <w:tcMar>
              <w:top w:w="0" w:type="dxa"/>
              <w:left w:w="0" w:type="dxa"/>
              <w:bottom w:w="0" w:type="dxa"/>
              <w:right w:w="0" w:type="dxa"/>
            </w:tcMar>
            <w:vAlign w:val="center"/>
          </w:tcPr>
          <w:p w14:paraId="5E605353">
            <w:pPr>
              <w:jc w:val="both"/>
              <w:rPr>
                <w:rFonts w:hint="eastAsia" w:ascii="宋体" w:hAnsi="宋体" w:eastAsia="宋体"/>
                <w:b/>
                <w:bCs/>
                <w:sz w:val="18"/>
                <w:szCs w:val="18"/>
                <w:lang w:eastAsia="zh-CN"/>
              </w:rPr>
            </w:pPr>
          </w:p>
        </w:tc>
        <w:tc>
          <w:tcPr>
            <w:tcW w:w="8552" w:type="dxa"/>
            <w:vMerge w:val="continue"/>
            <w:shd w:val="clear" w:color="auto" w:fill="auto"/>
            <w:noWrap w:val="0"/>
            <w:vAlign w:val="center"/>
          </w:tcPr>
          <w:p w14:paraId="50D4D2CF">
            <w:pPr>
              <w:jc w:val="center"/>
              <w:rPr>
                <w:rFonts w:ascii="宋体" w:hAnsi="宋体" w:eastAsia="宋体"/>
                <w:b/>
                <w:bCs/>
                <w:sz w:val="18"/>
                <w:szCs w:val="18"/>
              </w:rPr>
            </w:pPr>
          </w:p>
        </w:tc>
        <w:tc>
          <w:tcPr>
            <w:tcW w:w="1549" w:type="dxa"/>
            <w:shd w:val="clear" w:color="auto" w:fill="auto"/>
            <w:noWrap w:val="0"/>
            <w:vAlign w:val="center"/>
          </w:tcPr>
          <w:p w14:paraId="2122C3FD">
            <w:pPr>
              <w:keepNext w:val="0"/>
              <w:keepLines w:val="0"/>
              <w:pageBreakBefore w:val="0"/>
              <w:wordWrap/>
              <w:overflowPunct/>
              <w:topLinePunct w:val="0"/>
              <w:bidi w:val="0"/>
              <w:adjustRightInd/>
              <w:snapToGrid/>
              <w:jc w:val="center"/>
              <w:rPr>
                <w:rFonts w:hint="eastAsia" w:ascii="宋体" w:hAnsi="宋体" w:eastAsia="宋体"/>
                <w:b/>
                <w:bCs/>
                <w:sz w:val="18"/>
                <w:szCs w:val="18"/>
                <w:lang w:eastAsia="zh-CN"/>
              </w:rPr>
            </w:pPr>
            <w:r>
              <w:rPr>
                <w:rFonts w:hint="eastAsia" w:ascii="宋体" w:hAnsi="宋体" w:eastAsia="宋体"/>
                <w:b/>
                <w:bCs/>
                <w:sz w:val="18"/>
                <w:szCs w:val="18"/>
                <w:lang w:eastAsia="zh-CN"/>
              </w:rPr>
              <w:t>责任部门</w:t>
            </w:r>
          </w:p>
        </w:tc>
        <w:tc>
          <w:tcPr>
            <w:tcW w:w="1739" w:type="dxa"/>
            <w:shd w:val="clear" w:color="auto" w:fill="auto"/>
            <w:noWrap w:val="0"/>
            <w:tcMar>
              <w:top w:w="0" w:type="dxa"/>
              <w:left w:w="57" w:type="dxa"/>
              <w:bottom w:w="0" w:type="dxa"/>
              <w:right w:w="57" w:type="dxa"/>
            </w:tcMar>
            <w:vAlign w:val="center"/>
          </w:tcPr>
          <w:p w14:paraId="65ACAD52">
            <w:pPr>
              <w:jc w:val="center"/>
              <w:rPr>
                <w:rFonts w:hint="eastAsia" w:ascii="宋体" w:hAnsi="宋体" w:eastAsia="宋体"/>
                <w:b/>
                <w:bCs/>
                <w:sz w:val="18"/>
                <w:szCs w:val="18"/>
                <w:lang w:eastAsia="zh-CN"/>
              </w:rPr>
            </w:pPr>
            <w:r>
              <w:rPr>
                <w:rFonts w:hint="eastAsia" w:ascii="宋体" w:hAnsi="宋体" w:eastAsia="宋体"/>
                <w:b/>
                <w:bCs/>
                <w:sz w:val="18"/>
                <w:szCs w:val="18"/>
                <w:lang w:eastAsia="zh-CN"/>
              </w:rPr>
              <w:t>承办机构</w:t>
            </w:r>
          </w:p>
        </w:tc>
      </w:tr>
      <w:tr w14:paraId="23FD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1" w:hRule="atLeast"/>
        </w:trPr>
        <w:tc>
          <w:tcPr>
            <w:tcW w:w="620" w:type="dxa"/>
            <w:shd w:val="clear" w:color="auto" w:fill="auto"/>
            <w:noWrap w:val="0"/>
            <w:vAlign w:val="center"/>
          </w:tcPr>
          <w:p w14:paraId="2A98E15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w:t>
            </w:r>
          </w:p>
        </w:tc>
        <w:tc>
          <w:tcPr>
            <w:tcW w:w="1104" w:type="dxa"/>
            <w:shd w:val="clear" w:color="auto" w:fill="auto"/>
            <w:noWrap w:val="0"/>
            <w:tcMar>
              <w:top w:w="0" w:type="dxa"/>
              <w:left w:w="57" w:type="dxa"/>
              <w:bottom w:w="0" w:type="dxa"/>
              <w:right w:w="57" w:type="dxa"/>
            </w:tcMar>
            <w:vAlign w:val="center"/>
          </w:tcPr>
          <w:p w14:paraId="7DA08A55">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default"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对擅自进行公路建设项目施工等行为的行政处罚</w:t>
            </w:r>
          </w:p>
        </w:tc>
        <w:tc>
          <w:tcPr>
            <w:tcW w:w="1104" w:type="dxa"/>
            <w:shd w:val="clear" w:color="auto" w:fill="auto"/>
            <w:noWrap w:val="0"/>
            <w:tcMar>
              <w:top w:w="0" w:type="dxa"/>
              <w:left w:w="0" w:type="dxa"/>
              <w:bottom w:w="0" w:type="dxa"/>
              <w:right w:w="0" w:type="dxa"/>
            </w:tcMar>
            <w:vAlign w:val="center"/>
          </w:tcPr>
          <w:p w14:paraId="05513DEA">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宋体" w:hAnsi="宋体" w:eastAsia="宋体" w:cs="宋体"/>
                <w:b w:val="0"/>
                <w:bCs w:val="0"/>
                <w:color w:val="000000"/>
                <w:kern w:val="0"/>
                <w:sz w:val="18"/>
                <w:szCs w:val="18"/>
                <w:lang w:eastAsia="zh-CN"/>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16B117B0">
            <w:pPr>
              <w:pStyle w:val="11"/>
              <w:keepNext w:val="0"/>
              <w:keepLines w:val="0"/>
              <w:pageBreakBefore w:val="0"/>
              <w:widowControl/>
              <w:kinsoku/>
              <w:wordWrap/>
              <w:overflowPunct/>
              <w:topLinePunct w:val="0"/>
              <w:autoSpaceDE w:val="0"/>
              <w:autoSpaceDN w:val="0"/>
              <w:bidi w:val="0"/>
              <w:adjustRightInd w:val="0"/>
              <w:snapToGrid w:val="0"/>
              <w:spacing w:line="240" w:lineRule="exact"/>
              <w:ind w:left="0" w:leftChars="0" w:right="0" w:firstLine="361" w:firstLineChars="200"/>
              <w:jc w:val="both"/>
              <w:textAlignment w:val="baseline"/>
              <w:rPr>
                <w:rFonts w:hint="eastAsia" w:asciiTheme="majorEastAsia" w:hAnsiTheme="majorEastAsia" w:eastAsiaTheme="majorEastAsia" w:cstheme="majorEastAsia"/>
                <w:b w:val="0"/>
                <w:bCs w:val="0"/>
                <w:spacing w:val="-4"/>
                <w:sz w:val="18"/>
                <w:szCs w:val="18"/>
                <w:lang w:eastAsia="zh-CN"/>
              </w:rPr>
            </w:pPr>
            <w:r>
              <w:rPr>
                <w:rFonts w:hint="eastAsia" w:asciiTheme="majorEastAsia" w:hAnsiTheme="majorEastAsia" w:eastAsiaTheme="majorEastAsia" w:cstheme="majorEastAsia"/>
                <w:b/>
                <w:bCs/>
                <w:color w:val="000000"/>
                <w:kern w:val="0"/>
                <w:sz w:val="18"/>
                <w:szCs w:val="18"/>
              </w:rPr>
              <w:t>1.《中华人民共和国公路法》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第二十五条  公路建设项目的施工，须按国务院交通主管部门的规定报请县级以上地方人民政府交通主管部门批准。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第七十五条  违反本法第二十五条规定，未经有关交通主管部门批准擅自施工的，交通主管部门可以责令停止施工，并可以处五万元以下的罚款｡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第七条第一款  建设单位应当将工程发包给具有相应资质等级的单位。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第十二条第一款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建设单位在开工前，应当按照国家有关规定办理工程质量监督手续，工程质量监督手续可以与施工许可证或者开工报告合并办理。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违反本条例规定，建设单位将建设工程发包给不具有相应资质等级的勘察、设计、施工单位或者委托给不具有相应资质等级的工程监理单位的，责令改正，处50万元以上100万元以下的罚款。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违反本条例规定，建设单位未取得施工许可证或者开工报告未经批准，擅自施工的，责令停止施工，限期改正，处工程合同价款百分之一以上百分之二以下的罚款。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  公路建设项目法人应当依法选择勘察、设计、施工、咨询、监理单位，采购与工程建设有关的重要设备、材料，办理施工许可，组织项目实施，组织项目交工验收，准备项目竣工验收和后评价。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第三十八条  违反本办法第十二条规定，项目法人将工程发包给不具有相应资质等级的勘察、设计、施工和监理单位的，责令改正，处50万元以上100万元以下的罚款；未按规定办理施工许可擅自施工的，责令停止施工、限期改正，视情节可处工程合同价款1%以上2%以下罚款。</w:t>
            </w:r>
          </w:p>
        </w:tc>
        <w:tc>
          <w:tcPr>
            <w:tcW w:w="1549" w:type="dxa"/>
            <w:shd w:val="clear" w:color="auto" w:fill="auto"/>
            <w:noWrap w:val="0"/>
            <w:vAlign w:val="center"/>
          </w:tcPr>
          <w:p w14:paraId="51C4A8E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eastAsia="zh-CN"/>
              </w:rPr>
            </w:pPr>
            <w:r>
              <w:rPr>
                <w:rFonts w:hint="eastAsia"/>
                <w:color w:val="auto"/>
                <w:spacing w:val="-4"/>
                <w:lang w:eastAsia="zh-CN"/>
              </w:rPr>
              <w:t>衡阳市交通运输局</w:t>
            </w:r>
          </w:p>
        </w:tc>
        <w:tc>
          <w:tcPr>
            <w:tcW w:w="1739" w:type="dxa"/>
            <w:shd w:val="clear" w:color="auto" w:fill="auto"/>
            <w:noWrap w:val="0"/>
            <w:tcMar>
              <w:top w:w="0" w:type="dxa"/>
              <w:left w:w="57" w:type="dxa"/>
              <w:bottom w:w="0" w:type="dxa"/>
              <w:right w:w="57" w:type="dxa"/>
            </w:tcMar>
            <w:vAlign w:val="center"/>
          </w:tcPr>
          <w:p w14:paraId="2A34284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5B3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3A3ACD53">
            <w:pPr>
              <w:pStyle w:val="11"/>
              <w:numPr>
                <w:ilvl w:val="0"/>
                <w:numId w:val="0"/>
              </w:numPr>
              <w:spacing w:before="0" w:line="240" w:lineRule="exact"/>
              <w:ind w:left="0" w:leftChars="0" w:right="0" w:firstLine="0" w:firstLineChars="0"/>
              <w:jc w:val="center"/>
              <w:rPr>
                <w:b w:val="0"/>
                <w:bCs w:val="0"/>
                <w:spacing w:val="-4"/>
                <w:lang w:eastAsia="zh-CN"/>
              </w:rPr>
            </w:pPr>
            <w:bookmarkStart w:id="44" w:name="_GoBack" w:colFirst="4" w:colLast="5"/>
            <w:r>
              <w:rPr>
                <w:rFonts w:ascii="宋体" w:hAnsi="宋体" w:eastAsia="宋体" w:cs="宋体"/>
                <w:b w:val="0"/>
                <w:bCs w:val="0"/>
                <w:snapToGrid w:val="0"/>
                <w:color w:val="000000"/>
                <w:spacing w:val="-4"/>
                <w:kern w:val="0"/>
                <w:sz w:val="18"/>
                <w:szCs w:val="18"/>
                <w:lang w:val="en-US" w:eastAsia="zh-CN" w:bidi="ar-SA"/>
              </w:rPr>
              <w:t>2</w:t>
            </w:r>
          </w:p>
        </w:tc>
        <w:tc>
          <w:tcPr>
            <w:tcW w:w="1104" w:type="dxa"/>
            <w:shd w:val="clear" w:color="auto" w:fill="auto"/>
            <w:noWrap w:val="0"/>
            <w:tcMar>
              <w:left w:w="57" w:type="dxa"/>
              <w:right w:w="57" w:type="dxa"/>
            </w:tcMar>
            <w:vAlign w:val="center"/>
          </w:tcPr>
          <w:p w14:paraId="5959CBB7">
            <w:pPr>
              <w:pStyle w:val="11"/>
              <w:keepNext w:val="0"/>
              <w:keepLines w:val="0"/>
              <w:pageBreakBefore w:val="0"/>
              <w:widowControl/>
              <w:kinsoku/>
              <w:wordWrap/>
              <w:overflowPunct/>
              <w:topLinePunct w:val="0"/>
              <w:autoSpaceDE/>
              <w:autoSpaceDN/>
              <w:bidi w:val="0"/>
              <w:adjustRightInd/>
              <w:snapToGrid/>
              <w:spacing w:line="240" w:lineRule="exact"/>
              <w:ind w:left="0" w:right="0" w:rightChars="0"/>
              <w:jc w:val="both"/>
              <w:textAlignment w:val="auto"/>
              <w:rPr>
                <w:rFonts w:hint="eastAsia" w:ascii="宋体" w:hAnsi="宋体" w:eastAsia="宋体" w:cs="宋体"/>
                <w:b w:val="0"/>
                <w:bCs w:val="0"/>
                <w:color w:val="000000"/>
                <w:kern w:val="0"/>
                <w:sz w:val="18"/>
                <w:szCs w:val="18"/>
                <w:lang w:val="en-US" w:eastAsia="zh-CN"/>
              </w:rPr>
            </w:pPr>
            <w:r>
              <w:rPr>
                <w:rFonts w:hint="eastAsia" w:ascii="宋体" w:hAnsi="宋体" w:eastAsia="宋体" w:cs="宋体"/>
                <w:b w:val="0"/>
                <w:bCs w:val="0"/>
                <w:color w:val="000000"/>
                <w:kern w:val="0"/>
                <w:sz w:val="18"/>
                <w:szCs w:val="18"/>
              </w:rPr>
              <w:t>对擅自进行港口设施建设项目施工等行为的行政处罚</w:t>
            </w:r>
          </w:p>
        </w:tc>
        <w:tc>
          <w:tcPr>
            <w:tcW w:w="1104" w:type="dxa"/>
            <w:shd w:val="clear" w:color="auto" w:fill="auto"/>
            <w:noWrap w:val="0"/>
            <w:tcMar>
              <w:top w:w="0" w:type="dxa"/>
              <w:left w:w="0" w:type="dxa"/>
              <w:bottom w:w="0" w:type="dxa"/>
              <w:right w:w="0" w:type="dxa"/>
            </w:tcMar>
            <w:vAlign w:val="center"/>
          </w:tcPr>
          <w:p w14:paraId="7F2C0A95">
            <w:pPr>
              <w:pStyle w:val="11"/>
              <w:keepNext w:val="0"/>
              <w:keepLines w:val="0"/>
              <w:pageBreakBefore w:val="0"/>
              <w:widowControl/>
              <w:kinsoku/>
              <w:wordWrap/>
              <w:overflowPunct/>
              <w:topLinePunct w:val="0"/>
              <w:autoSpaceDE w:val="0"/>
              <w:autoSpaceDN w:val="0"/>
              <w:bidi w:val="0"/>
              <w:adjustRightInd/>
              <w:snapToGrid/>
              <w:spacing w:line="240" w:lineRule="exact"/>
              <w:ind w:left="0" w:right="0" w:rightChars="0"/>
              <w:jc w:val="both"/>
              <w:textAlignment w:val="baseline"/>
              <w:rPr>
                <w:rFonts w:hint="eastAsia" w:ascii="宋体" w:hAnsi="宋体" w:eastAsia="宋体" w:cs="宋体"/>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6A5CD238">
            <w:pPr>
              <w:pStyle w:val="11"/>
              <w:keepNext w:val="0"/>
              <w:keepLines w:val="0"/>
              <w:pageBreakBefore w:val="0"/>
              <w:widowControl/>
              <w:numPr>
                <w:ilvl w:val="-1"/>
                <w:numId w:val="0"/>
              </w:numPr>
              <w:kinsoku/>
              <w:wordWrap/>
              <w:overflowPunct/>
              <w:topLinePunct w:val="0"/>
              <w:autoSpaceDE w:val="0"/>
              <w:autoSpaceDN w:val="0"/>
              <w:bidi w:val="0"/>
              <w:adjustRightInd w:val="0"/>
              <w:snapToGrid w:val="0"/>
              <w:spacing w:line="240" w:lineRule="exact"/>
              <w:ind w:left="0" w:leftChars="0" w:right="0" w:firstLine="361" w:firstLineChars="200"/>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第七条第一款  建设单位应当将工程发包给具有相应资质等级的单位。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第十二条第一款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建设单位在开工前，应当按照国家有关规定办理工程质量监督手续，工程质量监督手续可以与施工许可证或者开工报告合并办理。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违反本条例规定，建设单位将建设工程发包给不具有相应资质等级的勘察、设计、施工单位或者委托给不具有相应资质等级的工程监理单位的，责令改正，处50万元以上100万元以下的罚款。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违反本条例规定，建设单位未取得施工许可证或者开工报告未经批准，擅自施工的，责令停止施工，限期改正，处工程合同价款百分之一以上百分之二以下的罚款。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2.《湖南省实施〈中华人民共和国港口法〉办法》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w:t>
            </w:r>
            <w:r>
              <w:rPr>
                <w:rFonts w:hint="eastAsia" w:asciiTheme="majorEastAsia" w:hAnsiTheme="majorEastAsia" w:eastAsiaTheme="majorEastAsia" w:cstheme="majorEastAsia"/>
                <w:b w:val="0"/>
                <w:bCs w:val="0"/>
                <w:color w:val="000000"/>
                <w:kern w:val="0"/>
                <w:sz w:val="18"/>
                <w:szCs w:val="18"/>
                <w:lang w:val="en-US" w:eastAsia="zh-CN"/>
              </w:rPr>
              <w:t>十五</w:t>
            </w:r>
            <w:r>
              <w:rPr>
                <w:rFonts w:hint="eastAsia" w:asciiTheme="majorEastAsia" w:hAnsiTheme="majorEastAsia" w:eastAsiaTheme="majorEastAsia" w:cstheme="majorEastAsia"/>
                <w:b w:val="0"/>
                <w:bCs w:val="0"/>
                <w:color w:val="000000"/>
                <w:kern w:val="0"/>
                <w:sz w:val="18"/>
                <w:szCs w:val="18"/>
              </w:rPr>
              <w:t xml:space="preserve">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港口设施建设工程必须具备国务院交通行政主管部门规定的施工条件，由建设单位向县级以上人民政府交通行政主管部门申请办理施工许可后，方可进行施工。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themeColor="text1"/>
                <w:kern w:val="0"/>
                <w:sz w:val="18"/>
                <w:szCs w:val="18"/>
                <w14:textFill>
                  <w14:solidFill>
                    <w14:schemeClr w14:val="tx1"/>
                  </w14:solidFill>
                </w14:textFill>
              </w:rPr>
              <w:t>3.《水运建设市场监督管理办法》</w:t>
            </w:r>
            <w:r>
              <w:rPr>
                <w:rFonts w:hint="eastAsia" w:asciiTheme="majorEastAsia" w:hAnsiTheme="majorEastAsia" w:eastAsiaTheme="majorEastAsia" w:cstheme="majorEastAsia"/>
                <w:b/>
                <w:bCs/>
                <w:color w:val="000000" w:themeColor="text1"/>
                <w:kern w:val="0"/>
                <w:sz w:val="18"/>
                <w:szCs w:val="18"/>
                <w:lang w:eastAsia="zh-CN"/>
                <w14:textFill>
                  <w14:solidFill>
                    <w14:schemeClr w14:val="tx1"/>
                  </w14:solidFill>
                </w14:textFill>
              </w:rPr>
              <w:t>（交通运输部令2016年第74号</w:t>
            </w:r>
          </w:p>
          <w:p w14:paraId="3C901806">
            <w:pPr>
              <w:pStyle w:val="11"/>
              <w:keepNext w:val="0"/>
              <w:keepLines w:val="0"/>
              <w:pageBreakBefore w:val="0"/>
              <w:widowControl/>
              <w:numPr>
                <w:ilvl w:val="-1"/>
                <w:numId w:val="0"/>
              </w:numPr>
              <w:kinsoku/>
              <w:wordWrap/>
              <w:overflowPunct/>
              <w:topLinePunct w:val="0"/>
              <w:autoSpaceDE w:val="0"/>
              <w:autoSpaceDN w:val="0"/>
              <w:bidi w:val="0"/>
              <w:adjustRightInd w:val="0"/>
              <w:snapToGrid w:val="0"/>
              <w:spacing w:line="240" w:lineRule="exact"/>
              <w:ind w:left="0" w:leftChars="0" w:right="0" w:firstLine="360" w:firstLineChars="200"/>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第三十六条　违反本办法规定，项目单位将工程发包给不具有相应资质等级的勘察、设计、施工、工程监理单位的，依照《建设工程质量管理条例》第五十四条规定，责令改正，按照以下标准处以罚款：（一）项目单位选择超越资质等级的勘察、设计、施工、工程监理单位进行工程建设的，处50万元以上80万元以下的罚款；（二）项目单位选择无资质的勘察、设计、施工、工程监理单位进行工程建设的，处80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　违反国家关于基本建设程序相关规定，项目单位未取得施工许可证或者开工报告未经批准，擅自施工的，依据《建设工程质量管理条例》第五十七条规定，责令停止施工，限期改正，按照以下标准处以罚款：（一）已通过项目审批、核准或者设计审批手续，但是未取得施工许可证或者开工报告未经批准，擅自施工的，处工程合同价款1%以上1.5%以下的罚款；（二）未取得项目审批、核准或者设计审批，擅自施工的，处工程合同价款1.5%以上2%以下的罚款。</w:t>
            </w:r>
          </w:p>
        </w:tc>
        <w:tc>
          <w:tcPr>
            <w:tcW w:w="1549" w:type="dxa"/>
            <w:shd w:val="clear" w:color="auto" w:fill="auto"/>
            <w:noWrap w:val="0"/>
            <w:vAlign w:val="center"/>
          </w:tcPr>
          <w:p w14:paraId="6560FA0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rPr>
            </w:pPr>
            <w:r>
              <w:rPr>
                <w:rFonts w:hint="eastAsia"/>
                <w:color w:val="auto"/>
                <w:spacing w:val="-4"/>
                <w:lang w:eastAsia="zh-CN"/>
              </w:rPr>
              <w:t>衡阳市交通运输局</w:t>
            </w:r>
          </w:p>
        </w:tc>
        <w:tc>
          <w:tcPr>
            <w:tcW w:w="1739" w:type="dxa"/>
            <w:shd w:val="clear" w:color="auto" w:fill="auto"/>
            <w:noWrap w:val="0"/>
            <w:vAlign w:val="center"/>
          </w:tcPr>
          <w:p w14:paraId="5058AD0F">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577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7BB9DA5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w:t>
            </w:r>
          </w:p>
        </w:tc>
        <w:tc>
          <w:tcPr>
            <w:tcW w:w="1104" w:type="dxa"/>
            <w:shd w:val="clear" w:color="auto" w:fill="auto"/>
            <w:noWrap w:val="0"/>
            <w:tcMar>
              <w:left w:w="57" w:type="dxa"/>
              <w:right w:w="57" w:type="dxa"/>
            </w:tcMar>
            <w:vAlign w:val="center"/>
          </w:tcPr>
          <w:p w14:paraId="6863608F">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对公路工程施工单位违反工程建设强制性标准等行为的行政处罚</w:t>
            </w:r>
            <w:r>
              <w:rPr>
                <w:rFonts w:hint="eastAsia" w:ascii="宋体" w:hAnsi="宋体" w:eastAsia="宋体" w:cs="宋体"/>
                <w:b w:val="0"/>
                <w:bCs w:val="0"/>
                <w:color w:val="000000"/>
                <w:kern w:val="0"/>
                <w:sz w:val="18"/>
                <w:szCs w:val="18"/>
              </w:rPr>
              <w:br w:type="textWrapping"/>
            </w:r>
          </w:p>
          <w:p w14:paraId="5BD5C7E4">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宋体" w:hAnsi="宋体" w:eastAsia="宋体" w:cs="宋体"/>
                <w:b w:val="0"/>
                <w:bCs w:val="0"/>
                <w:color w:val="000000"/>
                <w:kern w:val="0"/>
                <w:sz w:val="18"/>
                <w:szCs w:val="18"/>
                <w:lang w:val="en-US" w:eastAsia="zh-CN"/>
              </w:rPr>
            </w:pPr>
          </w:p>
        </w:tc>
        <w:tc>
          <w:tcPr>
            <w:tcW w:w="1104" w:type="dxa"/>
            <w:shd w:val="clear" w:color="auto" w:fill="auto"/>
            <w:noWrap w:val="0"/>
            <w:tcMar>
              <w:top w:w="0" w:type="dxa"/>
              <w:left w:w="0" w:type="dxa"/>
              <w:bottom w:w="0" w:type="dxa"/>
              <w:right w:w="0" w:type="dxa"/>
            </w:tcMar>
            <w:vAlign w:val="center"/>
          </w:tcPr>
          <w:p w14:paraId="48B2C7AB">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宋体" w:hAnsi="宋体" w:eastAsia="宋体" w:cs="宋体"/>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333813AB">
            <w:pPr>
              <w:keepNext w:val="0"/>
              <w:keepLines w:val="0"/>
              <w:pageBreakBefore w:val="0"/>
              <w:widowControl/>
              <w:kinsoku/>
              <w:wordWrap/>
              <w:overflowPunct/>
              <w:topLinePunct w:val="0"/>
              <w:autoSpaceDE/>
              <w:autoSpaceDN/>
              <w:bidi w:val="0"/>
              <w:adjustRightInd/>
              <w:snapToGrid/>
              <w:spacing w:line="220" w:lineRule="exact"/>
              <w:ind w:left="0" w:right="0" w:firstLine="361" w:firstLineChars="200"/>
              <w:jc w:val="both"/>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1.《中华人民共和国标准化法》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第二条  本法所称标准（含标准样品），是指农业、工业、服务业以及社会事业等领域需要统一的技术要求。</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标准包括国家标准、行业标准、地方标准和团体标准、企业标准。国家标准分为强制性标准、推荐性标准，行业标准、地方标准是推荐性标准。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强制性标准必须执行。国家鼓励采用推荐性标准。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2.《中华人民共和国公路法》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公路建设应当按照国家规定的基本建设程序和有关规定进行。</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第二十六条  公路建设必须符合公路工程技术标准。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承担公路建设项目的设计单位、施工单位和工程监理单位，应当按照国家有关规定建立健全质量保证体系，落实岗位责任制，并依照有关法律、法规、规章以及公路工程技术标准的要求和合同约定进行设计、施工和监理，保证公路工程质量。</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第十九条第一款  勘察、设计单位必须按照工程建设强制性标准进行勘察、设计，并对其勘察、设计的质量负责。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第二十八条第一款  施工单位必须按照工程设计图纸和施工技术标准施工、不得擅自修改工程设计，不得偷工减料。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国务院建设行政主管部门和国务院铁路、交通、水利等有关部门应当加强对有关建设工程质量的法律、法规和强制性标准执行情况的监督检查。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  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  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第七十五条  本条例规定的责令停业整顿，降低资质等级和吊销资质证书的行政处罚，由颁发资质证书的机关决定；其他行政处罚，由建设行政主管部门或者其他有关部门依照法定职权决定。</w:t>
            </w:r>
          </w:p>
          <w:p w14:paraId="4215B059">
            <w:pPr>
              <w:keepNext w:val="0"/>
              <w:keepLines w:val="0"/>
              <w:pageBreakBefore w:val="0"/>
              <w:widowControl/>
              <w:kinsoku/>
              <w:wordWrap/>
              <w:overflowPunct/>
              <w:topLinePunct w:val="0"/>
              <w:autoSpaceDE/>
              <w:autoSpaceDN/>
              <w:bidi w:val="0"/>
              <w:adjustRightInd/>
              <w:snapToGrid/>
              <w:spacing w:line="220" w:lineRule="exact"/>
              <w:ind w:left="0" w:right="0" w:firstLine="360" w:firstLineChars="200"/>
              <w:jc w:val="both"/>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val="en-US" w:eastAsia="zh-CN"/>
              </w:rPr>
              <w:t>依照本条例规定被吊销资质证书的，由工商行政管理部门吊销其营业执照。</w:t>
            </w:r>
            <w:r>
              <w:rPr>
                <w:rFonts w:hint="eastAsia" w:asciiTheme="majorEastAsia" w:hAnsiTheme="majorEastAsia" w:eastAsiaTheme="majorEastAsia" w:cstheme="majorEastAsia"/>
                <w:b w:val="0"/>
                <w:bCs w:val="0"/>
                <w:color w:val="000000"/>
                <w:kern w:val="0"/>
                <w:sz w:val="18"/>
                <w:szCs w:val="18"/>
                <w:lang w:val="en-US" w:eastAsia="zh-CN"/>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bCs/>
                <w:color w:val="000000"/>
                <w:kern w:val="0"/>
                <w:sz w:val="18"/>
                <w:szCs w:val="18"/>
                <w:lang w:val="en-US" w:eastAsia="zh-CN"/>
              </w:rPr>
              <w:t xml:space="preserve"> 4.《实施工程建设强制性标准监督规定》（中华人民共和国住房和城乡建设部令第52号）</w:t>
            </w:r>
            <w:r>
              <w:rPr>
                <w:rFonts w:hint="eastAsia" w:asciiTheme="majorEastAsia" w:hAnsiTheme="majorEastAsia" w:eastAsiaTheme="majorEastAsia" w:cstheme="majorEastAsia"/>
                <w:b w:val="0"/>
                <w:bCs w:val="0"/>
                <w:color w:val="000000"/>
                <w:kern w:val="0"/>
                <w:sz w:val="18"/>
                <w:szCs w:val="18"/>
                <w:lang w:val="en-US" w:eastAsia="zh-CN"/>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第二条  在中华人民共和国境内从事新建、扩建、改建等工程建设活动，必须执行工程建设强制性标准。</w:t>
            </w:r>
            <w:r>
              <w:rPr>
                <w:rFonts w:hint="eastAsia" w:asciiTheme="majorEastAsia" w:hAnsiTheme="majorEastAsia" w:eastAsiaTheme="majorEastAsia" w:cstheme="majorEastAsia"/>
                <w:b w:val="0"/>
                <w:bCs w:val="0"/>
                <w:color w:val="000000"/>
                <w:kern w:val="0"/>
                <w:sz w:val="18"/>
                <w:szCs w:val="18"/>
                <w:lang w:val="en-US" w:eastAsia="zh-CN"/>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第十八条  施工单位违反工程建设强制性标准的，责令改正，处工程合同价款2%以上4%以下的罚款；造成建设工程质量不符合规定的质量标准的，负责返工、修理，并赔偿因此造成的损失；情节严重的，责令停业整顿，降低资质等级或者吊销资质证书。</w:t>
            </w:r>
          </w:p>
        </w:tc>
        <w:tc>
          <w:tcPr>
            <w:tcW w:w="1549" w:type="dxa"/>
            <w:shd w:val="clear" w:color="auto" w:fill="auto"/>
            <w:noWrap w:val="0"/>
            <w:vAlign w:val="center"/>
          </w:tcPr>
          <w:p w14:paraId="2A51ECEB">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rPr>
            </w:pPr>
            <w:r>
              <w:rPr>
                <w:rFonts w:hint="eastAsia"/>
                <w:color w:val="auto"/>
                <w:spacing w:val="-4"/>
                <w:lang w:eastAsia="zh-CN"/>
              </w:rPr>
              <w:t>衡阳市交通运输局</w:t>
            </w:r>
          </w:p>
        </w:tc>
        <w:tc>
          <w:tcPr>
            <w:tcW w:w="1739" w:type="dxa"/>
            <w:shd w:val="clear" w:color="auto" w:fill="auto"/>
            <w:noWrap w:val="0"/>
            <w:vAlign w:val="center"/>
          </w:tcPr>
          <w:p w14:paraId="62345EF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A36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4269FC2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w:t>
            </w:r>
          </w:p>
        </w:tc>
        <w:tc>
          <w:tcPr>
            <w:tcW w:w="1104" w:type="dxa"/>
            <w:shd w:val="clear" w:color="auto" w:fill="auto"/>
            <w:noWrap w:val="0"/>
            <w:tcMar>
              <w:left w:w="57" w:type="dxa"/>
              <w:right w:w="57" w:type="dxa"/>
            </w:tcMar>
            <w:vAlign w:val="center"/>
          </w:tcPr>
          <w:p w14:paraId="194B8B1B">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宋体" w:hAnsi="宋体" w:eastAsia="宋体" w:cs="宋体"/>
                <w:b w:val="0"/>
                <w:bCs w:val="0"/>
                <w:color w:val="000000"/>
                <w:kern w:val="0"/>
                <w:sz w:val="18"/>
                <w:szCs w:val="18"/>
              </w:rPr>
            </w:pPr>
            <w:r>
              <w:rPr>
                <w:rFonts w:hint="eastAsia" w:ascii="宋体" w:hAnsi="宋体" w:eastAsia="宋体" w:cs="宋体"/>
                <w:b w:val="0"/>
                <w:bCs w:val="0"/>
                <w:color w:val="000000"/>
                <w:kern w:val="0"/>
                <w:sz w:val="18"/>
                <w:szCs w:val="18"/>
              </w:rPr>
              <w:t>对交通运输领域建设工程项目必须招标而不招标行为的行政处罚</w:t>
            </w:r>
          </w:p>
          <w:p w14:paraId="146D9DBE">
            <w:pPr>
              <w:pStyle w:val="8"/>
              <w:ind w:left="0" w:leftChars="0" w:firstLine="0" w:firstLineChars="0"/>
              <w:jc w:val="both"/>
              <w:rPr>
                <w:rFonts w:hint="eastAsia" w:eastAsiaTheme="majorEastAsia"/>
                <w:lang w:val="en-US" w:eastAsia="zh-CN"/>
              </w:rPr>
            </w:pPr>
          </w:p>
        </w:tc>
        <w:tc>
          <w:tcPr>
            <w:tcW w:w="1104" w:type="dxa"/>
            <w:shd w:val="clear" w:color="auto" w:fill="auto"/>
            <w:noWrap w:val="0"/>
            <w:tcMar>
              <w:top w:w="0" w:type="dxa"/>
              <w:left w:w="0" w:type="dxa"/>
              <w:bottom w:w="0" w:type="dxa"/>
              <w:right w:w="0" w:type="dxa"/>
            </w:tcMar>
            <w:vAlign w:val="center"/>
          </w:tcPr>
          <w:p w14:paraId="537C1559">
            <w:pPr>
              <w:keepNext w:val="0"/>
              <w:keepLines w:val="0"/>
              <w:pageBreakBefore w:val="0"/>
              <w:widowControl/>
              <w:wordWrap/>
              <w:overflowPunct/>
              <w:topLinePunct w:val="0"/>
              <w:bidi w:val="0"/>
              <w:spacing w:line="240" w:lineRule="exact"/>
              <w:ind w:left="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eastAsia="zh-CN"/>
              </w:rPr>
              <w:t>行政处罚</w:t>
            </w:r>
          </w:p>
        </w:tc>
        <w:tc>
          <w:tcPr>
            <w:tcW w:w="8552" w:type="dxa"/>
            <w:shd w:val="clear" w:color="auto" w:fill="auto"/>
            <w:noWrap w:val="0"/>
            <w:vAlign w:val="center"/>
          </w:tcPr>
          <w:p w14:paraId="24D703E6">
            <w:pPr>
              <w:pStyle w:val="11"/>
              <w:keepNext w:val="0"/>
              <w:keepLines w:val="0"/>
              <w:pageBreakBefore w:val="0"/>
              <w:widowControl/>
              <w:kinsoku/>
              <w:wordWrap/>
              <w:overflowPunct/>
              <w:topLinePunct w:val="0"/>
              <w:bidi w:val="0"/>
              <w:spacing w:line="220" w:lineRule="exact"/>
              <w:ind w:left="0" w:right="0" w:firstLine="361" w:firstLineChars="200"/>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第三条  在中华人民共和国境内进行下列工程建设项目包括项目的勘察、设计、施工、监理以及与工程建设有关的重要设备、材料等的采购，必须进行招标：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（一）大型基础设施、公用事业等关系社会公共利益、公众安全的项目；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（二）全部或者部分使用国有资金投资或者国家融资的项目；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（三）使用国际组织或者外国政府贷款、援助资金的项目。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前款所列项目的具体范围和规模标准，由国务院发展计划部门会同国务院有关部门制订，报国务院批准。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法律或者国务院对必须进行招标的其他项目的范围有规定的，依照其规定。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tc>
        <w:tc>
          <w:tcPr>
            <w:tcW w:w="1549" w:type="dxa"/>
            <w:shd w:val="clear" w:color="auto" w:fill="auto"/>
            <w:noWrap w:val="0"/>
            <w:vAlign w:val="center"/>
          </w:tcPr>
          <w:p w14:paraId="4A167BE1">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45372A2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CD3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2058B4F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w:t>
            </w:r>
          </w:p>
        </w:tc>
        <w:tc>
          <w:tcPr>
            <w:tcW w:w="1104" w:type="dxa"/>
            <w:shd w:val="clear" w:color="auto" w:fill="auto"/>
            <w:noWrap w:val="0"/>
            <w:tcMar>
              <w:left w:w="57" w:type="dxa"/>
              <w:right w:w="57" w:type="dxa"/>
            </w:tcMar>
            <w:vAlign w:val="center"/>
          </w:tcPr>
          <w:p w14:paraId="198431E3">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对交通运输领域建设工程项目肢解发包行为的行政处罚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01FF0A92">
            <w:pPr>
              <w:pStyle w:val="11"/>
              <w:keepNext w:val="0"/>
              <w:keepLines w:val="0"/>
              <w:pageBreakBefore w:val="0"/>
              <w:widowControl/>
              <w:kinsoku/>
              <w:wordWrap/>
              <w:overflowPunct/>
              <w:topLinePunct w:val="0"/>
              <w:bidi w:val="0"/>
              <w:adjustRightInd/>
              <w:snapToGrid/>
              <w:spacing w:line="240" w:lineRule="exact"/>
              <w:ind w:left="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eastAsia="zh-CN"/>
              </w:rPr>
              <w:t>行政处罚</w:t>
            </w:r>
          </w:p>
        </w:tc>
        <w:tc>
          <w:tcPr>
            <w:tcW w:w="8552" w:type="dxa"/>
            <w:shd w:val="clear" w:color="auto" w:fill="auto"/>
            <w:noWrap w:val="0"/>
            <w:vAlign w:val="center"/>
          </w:tcPr>
          <w:p w14:paraId="10DF027B">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第四条  任何单位和个人不得将依法必须进行招标的项目化整为零或者以其他任何方式规避招标。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2.《中华人民共和国招标投标法实施条例》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第五十九条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中标人应当按照合同约定履行义务，完成中标项目。中标人不得向他人转让中标项目，也不得将中标项目肢解后分别向他人转让。</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中标人按照合同约定或者经招标人同意，可以将中标项目的部分非主体、非关键性工作分包给他人完成。接受分包的人应当具备相应的资格条件，并不得再次分包。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中标人应当就分包项目向招标人负责，接受分包的人就分包项目承担连带责任。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3.《建设工程质量管理条例》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第七条第二款  建设单位不得将建设工程肢解发包。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第五十五条  违反本条例规定，建设单位将建设工程肢解发包的，责令改正，处工程合同价款百分之零点五以上百分之一以下的罚款；对全部或者部分使用国有资金的项目，并可以暂停项目执行或者暂停资金拨付。</w:t>
            </w:r>
          </w:p>
        </w:tc>
        <w:tc>
          <w:tcPr>
            <w:tcW w:w="1549" w:type="dxa"/>
            <w:shd w:val="clear" w:color="auto" w:fill="auto"/>
            <w:noWrap w:val="0"/>
            <w:vAlign w:val="center"/>
          </w:tcPr>
          <w:p w14:paraId="1ED09DA7">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noWrap w:val="0"/>
            <w:vAlign w:val="center"/>
          </w:tcPr>
          <w:p w14:paraId="72F0B83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E50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0" w:hRule="atLeast"/>
        </w:trPr>
        <w:tc>
          <w:tcPr>
            <w:tcW w:w="620" w:type="dxa"/>
            <w:shd w:val="clear" w:color="auto" w:fill="auto"/>
            <w:noWrap w:val="0"/>
            <w:vAlign w:val="center"/>
          </w:tcPr>
          <w:p w14:paraId="0910215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w:t>
            </w:r>
          </w:p>
        </w:tc>
        <w:tc>
          <w:tcPr>
            <w:tcW w:w="1104" w:type="dxa"/>
            <w:shd w:val="clear" w:color="auto" w:fill="auto"/>
            <w:noWrap w:val="0"/>
            <w:tcMar>
              <w:left w:w="57" w:type="dxa"/>
              <w:right w:w="57" w:type="dxa"/>
            </w:tcMar>
            <w:vAlign w:val="center"/>
          </w:tcPr>
          <w:p w14:paraId="4C26AC4A">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对交通运输领域建设工程项目不按照规定发布资格预审公告或者招标公告等行为的行政处罚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1F44E00C">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eastAsia="zh-CN"/>
              </w:rPr>
              <w:t>行政处罚</w:t>
            </w:r>
          </w:p>
        </w:tc>
        <w:tc>
          <w:tcPr>
            <w:tcW w:w="8552" w:type="dxa"/>
            <w:shd w:val="clear" w:color="auto" w:fill="auto"/>
            <w:noWrap w:val="0"/>
            <w:vAlign w:val="center"/>
          </w:tcPr>
          <w:p w14:paraId="52C61D0A">
            <w:pPr>
              <w:keepNext w:val="0"/>
              <w:keepLines w:val="0"/>
              <w:pageBreakBefore w:val="0"/>
              <w:widowControl/>
              <w:numPr>
                <w:ilvl w:val="0"/>
                <w:numId w:val="0"/>
              </w:numPr>
              <w:wordWrap/>
              <w:overflowPunct/>
              <w:topLinePunct w:val="0"/>
              <w:bidi w:val="0"/>
              <w:spacing w:line="240" w:lineRule="exact"/>
              <w:ind w:right="0" w:rightChars="0" w:firstLine="361" w:firstLineChars="20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第十六条  招标人采用公开招标方式的，应当发布招标公告。依法必须进行招标的项目的招标公告，应当通过国家指定的报刊、信息网络或者其他媒介发布。</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招标公告应当载明招标人的名称和地址、招标项目的性质、数量、实施地点和时间以及获取招标文件的办法等事项。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第五十一条  招标人以不合理的条件限制或者排斥潜在投标人的，对潜在投标人实行歧视待遇的，强制要求投标人组成联合体共同投标的，或者限制投标人之间竞争的，责令改正，可以处一万元以上五万元以下的罚款。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第十五条  公开招标的项目，应当依照招标投标法和本条例的规定发布招标公告、编制招标文件。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招标人采用资格预审办法对潜在投标人进行资格审查的，应当发布资格预审公告、编制资格预审文件。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编制依法必须进行招标的项目的资格预审文件和招标文件，应当使用国务院发展改革部门会同有关行政监督部门制定的标准文本。</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第六十三条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招标人有下列限制或者排斥潜在投标人行为之一的，由有关行政监督部门依照招标投标法第五十一条的规定处罚</w:t>
            </w:r>
            <w:r>
              <w:rPr>
                <w:rFonts w:hint="eastAsia" w:asciiTheme="majorEastAsia" w:hAnsiTheme="majorEastAsia" w:eastAsiaTheme="majorEastAsia" w:cstheme="majorEastAsia"/>
                <w:b w:val="0"/>
                <w:bCs w:val="0"/>
                <w:color w:val="000000"/>
                <w:kern w:val="0"/>
                <w:sz w:val="18"/>
                <w:szCs w:val="18"/>
                <w:lang w:eastAsia="zh-CN"/>
              </w:rPr>
              <w:t>：</w:t>
            </w:r>
            <w:r>
              <w:rPr>
                <w:rFonts w:hint="eastAsia" w:asciiTheme="majorEastAsia" w:hAnsiTheme="majorEastAsia" w:eastAsiaTheme="majorEastAsia" w:cstheme="majorEastAsia"/>
                <w:b w:val="0"/>
                <w:bCs w:val="0"/>
                <w:color w:val="000000"/>
                <w:kern w:val="0"/>
                <w:sz w:val="18"/>
                <w:szCs w:val="18"/>
              </w:rPr>
              <w:t>（一）依法应当公开招标的项目不按照规定在指定媒介发布资格预审公告或者招标公告</w:t>
            </w:r>
            <w:r>
              <w:rPr>
                <w:rFonts w:hint="eastAsia" w:asciiTheme="majorEastAsia" w:hAnsiTheme="majorEastAsia" w:eastAsiaTheme="majorEastAsia" w:cstheme="majorEastAsia"/>
                <w:b w:val="0"/>
                <w:bCs w:val="0"/>
                <w:color w:val="000000"/>
                <w:kern w:val="0"/>
                <w:sz w:val="18"/>
                <w:szCs w:val="18"/>
                <w:lang w:eastAsia="zh-CN"/>
              </w:rPr>
              <w:t>；</w:t>
            </w:r>
            <w:r>
              <w:rPr>
                <w:rFonts w:hint="eastAsia" w:asciiTheme="majorEastAsia" w:hAnsiTheme="majorEastAsia" w:eastAsiaTheme="majorEastAsia" w:cstheme="majorEastAsia"/>
                <w:b w:val="0"/>
                <w:bCs w:val="0"/>
                <w:color w:val="000000"/>
                <w:kern w:val="0"/>
                <w:sz w:val="18"/>
                <w:szCs w:val="18"/>
              </w:rPr>
              <w:t>（二）在不同媒介发布的同一招标项目的资格预审公告或者招标公告的内容不一致，影响潜在投标人申请资格预审或者投标。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依法必须进行招标的项目的招标人不按照规定发布资格预审公告或者招标公告，构成规避招标的，依照招标投标法第四十九条的规定处罚。</w:t>
            </w:r>
          </w:p>
        </w:tc>
        <w:tc>
          <w:tcPr>
            <w:tcW w:w="1549" w:type="dxa"/>
            <w:shd w:val="clear" w:color="auto" w:fill="auto"/>
            <w:noWrap w:val="0"/>
            <w:vAlign w:val="center"/>
          </w:tcPr>
          <w:p w14:paraId="71927CB4">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7940FBC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468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8" w:hRule="atLeast"/>
        </w:trPr>
        <w:tc>
          <w:tcPr>
            <w:tcW w:w="620" w:type="dxa"/>
            <w:shd w:val="clear" w:color="auto" w:fill="auto"/>
            <w:noWrap w:val="0"/>
            <w:vAlign w:val="center"/>
          </w:tcPr>
          <w:p w14:paraId="254FDDB9">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7</w:t>
            </w:r>
          </w:p>
        </w:tc>
        <w:tc>
          <w:tcPr>
            <w:tcW w:w="1104" w:type="dxa"/>
            <w:shd w:val="clear" w:color="auto" w:fill="auto"/>
            <w:noWrap w:val="0"/>
            <w:tcMar>
              <w:left w:w="57" w:type="dxa"/>
              <w:right w:w="57" w:type="dxa"/>
            </w:tcMar>
            <w:vAlign w:val="center"/>
          </w:tcPr>
          <w:p w14:paraId="51B24E04">
            <w:pPr>
              <w:pStyle w:val="11"/>
              <w:keepNext w:val="0"/>
              <w:keepLines w:val="0"/>
              <w:pageBreakBefore w:val="0"/>
              <w:widowControl/>
              <w:tabs>
                <w:tab w:val="left" w:pos="840"/>
              </w:tabs>
              <w:kinsoku/>
              <w:wordWrap/>
              <w:overflowPunct/>
              <w:topLinePunct w:val="0"/>
              <w:bidi w:val="0"/>
              <w:adjustRightInd/>
              <w:snapToGrid/>
              <w:spacing w:line="240" w:lineRule="exact"/>
              <w:ind w:left="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对泄露应当保密的与交通运输领域建设工程项目招标投标活动有关的情况和资料等行为的行政处罚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2F3E7B34">
            <w:pPr>
              <w:pStyle w:val="11"/>
              <w:keepNext w:val="0"/>
              <w:keepLines w:val="0"/>
              <w:pageBreakBefore w:val="0"/>
              <w:widowControl/>
              <w:tabs>
                <w:tab w:val="left" w:pos="840"/>
              </w:tabs>
              <w:kinsoku/>
              <w:wordWrap/>
              <w:overflowPunct/>
              <w:topLinePunct w:val="0"/>
              <w:bidi w:val="0"/>
              <w:adjustRightInd/>
              <w:snapToGrid/>
              <w:spacing w:line="240" w:lineRule="exact"/>
              <w:ind w:left="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779F0C8D">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第十五条　招标代理机构应当在招标人委托的范围内办理招标事宜，并遵守本法关于招标人的规定。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招标人不得向他人透露已获取招标文件的潜在投标人的名称、数量以及可能影响公平竞争的有关招标投标的其他情况。</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招标人设有标底的，标底必须保密。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前款所列行为影响中标结果的，中标无效。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第十三条第二款　招标代理机构代理招标业务，应当遵守招标投标法和本条例关于招标人的规定。招标代理机构不得在所代理的招标项目中投标或者代理投标，也不得为所代理的招标项目的投标人提供咨询。</w:t>
            </w:r>
          </w:p>
        </w:tc>
        <w:tc>
          <w:tcPr>
            <w:tcW w:w="1549" w:type="dxa"/>
            <w:shd w:val="clear" w:color="auto" w:fill="auto"/>
            <w:noWrap w:val="0"/>
            <w:vAlign w:val="center"/>
          </w:tcPr>
          <w:p w14:paraId="387928FC">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259B2370">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E2E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5" w:hRule="atLeast"/>
        </w:trPr>
        <w:tc>
          <w:tcPr>
            <w:tcW w:w="620" w:type="dxa"/>
            <w:shd w:val="clear" w:color="auto" w:fill="auto"/>
            <w:noWrap w:val="0"/>
            <w:vAlign w:val="center"/>
          </w:tcPr>
          <w:p w14:paraId="5E1A86C7">
            <w:pPr>
              <w:pStyle w:val="11"/>
              <w:keepNext w:val="0"/>
              <w:keepLines w:val="0"/>
              <w:pageBreakBefore w:val="0"/>
              <w:widowControl/>
              <w:numPr>
                <w:ilvl w:val="0"/>
                <w:numId w:val="0"/>
              </w:numPr>
              <w:wordWrap/>
              <w:overflowPunct/>
              <w:topLinePunct w:val="0"/>
              <w:bidi w:val="0"/>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w:t>
            </w:r>
          </w:p>
        </w:tc>
        <w:tc>
          <w:tcPr>
            <w:tcW w:w="1104" w:type="dxa"/>
            <w:shd w:val="clear" w:color="auto" w:fill="auto"/>
            <w:noWrap w:val="0"/>
            <w:tcMar>
              <w:left w:w="57" w:type="dxa"/>
              <w:right w:w="57" w:type="dxa"/>
            </w:tcMar>
            <w:vAlign w:val="center"/>
          </w:tcPr>
          <w:p w14:paraId="7C20153F">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对交通运输领域建设工程项目招标中介机构与他人串通行为的行政处罚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3BFFD4D4">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175795DE">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第三十二条  投标人不得相互串通投标报价，不得排挤其他投标人的公平竞争，损害招标人或者其他投标人的合法权益。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投标人不得与招标人串通投标，损害国家利益、社会公共利益或者他人的合法权益。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禁止投标人以向招标人或者评标委员会成员行贿的手段谋取中标。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前款所列行为影响中标结果的，中标无效。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2.《中华人民共和国招标投标法实施条例》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招标代理机构代理招标业务，应当遵守招标投标法和本条例关于招标人的规定。招标代理机构不得在所代理的招标项目中投标或者代理投标，也不得为所代理的招标项目的投标人提供咨询。</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  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tc>
        <w:tc>
          <w:tcPr>
            <w:tcW w:w="1549" w:type="dxa"/>
            <w:shd w:val="clear" w:color="auto" w:fill="auto"/>
            <w:noWrap w:val="0"/>
            <w:vAlign w:val="center"/>
          </w:tcPr>
          <w:p w14:paraId="1307A5CD">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noWrap w:val="0"/>
            <w:vAlign w:val="center"/>
          </w:tcPr>
          <w:p w14:paraId="4F2116C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78D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369F1F8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w:t>
            </w:r>
          </w:p>
        </w:tc>
        <w:tc>
          <w:tcPr>
            <w:tcW w:w="1104" w:type="dxa"/>
            <w:shd w:val="clear" w:color="auto" w:fill="auto"/>
            <w:noWrap w:val="0"/>
            <w:tcMar>
              <w:left w:w="57" w:type="dxa"/>
              <w:right w:w="57" w:type="dxa"/>
            </w:tcMar>
            <w:vAlign w:val="center"/>
          </w:tcPr>
          <w:p w14:paraId="5B094A52">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对交通运输领域建设工程项目招标人限制或排斥潜在投标人行为的行政处罚</w:t>
            </w:r>
          </w:p>
        </w:tc>
        <w:tc>
          <w:tcPr>
            <w:tcW w:w="1104" w:type="dxa"/>
            <w:shd w:val="clear" w:color="auto" w:fill="auto"/>
            <w:noWrap w:val="0"/>
            <w:tcMar>
              <w:top w:w="0" w:type="dxa"/>
              <w:left w:w="0" w:type="dxa"/>
              <w:bottom w:w="0" w:type="dxa"/>
              <w:right w:w="0" w:type="dxa"/>
            </w:tcMar>
            <w:vAlign w:val="center"/>
          </w:tcPr>
          <w:p w14:paraId="309B2331">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1D66A526">
            <w:pPr>
              <w:pStyle w:val="11"/>
              <w:keepNext w:val="0"/>
              <w:keepLines w:val="0"/>
              <w:pageBreakBefore w:val="0"/>
              <w:widowControl/>
              <w:kinsoku/>
              <w:wordWrap/>
              <w:overflowPunct/>
              <w:topLinePunct w:val="0"/>
              <w:bidi w:val="0"/>
              <w:spacing w:line="240" w:lineRule="exact"/>
              <w:ind w:left="0" w:right="0" w:firstLine="361" w:firstLineChars="200"/>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第六条  依法必须进行招标的项目，其招标投标活动不受地区或者部门的限制。任何单位和个人不得违法限制或者排斥本地区、本系统以外的法人或者其他组织参加投标，不得以任何方式非法干涉招标投标活动。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第十八条第二款  招标人不得以不合理的条件限制或者排斥潜在投标人，不得对潜在投标人实行歧视待遇。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第三十一条第四款  招标人不得强制投标人组成联合体共同投标，不得限制投标人之间的竞争。</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第五十一条  招标人以不合理的条件限制或者排斥潜在投标人的，对潜在投标人实行歧视待遇的，强制要求投标人组成联合体共同投标的，或者限制投标人之间竞争的，责令改正，可以处一万元以上五万元以下的罚款。</w:t>
            </w:r>
          </w:p>
        </w:tc>
        <w:tc>
          <w:tcPr>
            <w:tcW w:w="1549" w:type="dxa"/>
            <w:shd w:val="clear" w:color="auto" w:fill="auto"/>
            <w:noWrap w:val="0"/>
            <w:vAlign w:val="center"/>
          </w:tcPr>
          <w:p w14:paraId="5D64B398">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24565C1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825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620" w:type="dxa"/>
            <w:shd w:val="clear" w:color="auto" w:fill="auto"/>
            <w:noWrap w:val="0"/>
            <w:vAlign w:val="center"/>
          </w:tcPr>
          <w:p w14:paraId="503EA22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w:t>
            </w:r>
          </w:p>
        </w:tc>
        <w:tc>
          <w:tcPr>
            <w:tcW w:w="1104" w:type="dxa"/>
            <w:shd w:val="clear" w:color="auto" w:fill="auto"/>
            <w:noWrap w:val="0"/>
            <w:tcMar>
              <w:left w:w="57" w:type="dxa"/>
              <w:right w:w="57" w:type="dxa"/>
            </w:tcMar>
            <w:vAlign w:val="center"/>
          </w:tcPr>
          <w:p w14:paraId="0306E52A">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对交通运输领域建设工程项目招标人向他人透露可能影响公平竞争的有关招标投标情况或者泄露标底行为的行政处罚</w:t>
            </w:r>
          </w:p>
        </w:tc>
        <w:tc>
          <w:tcPr>
            <w:tcW w:w="1104" w:type="dxa"/>
            <w:shd w:val="clear" w:color="auto" w:fill="auto"/>
            <w:noWrap w:val="0"/>
            <w:tcMar>
              <w:top w:w="0" w:type="dxa"/>
              <w:left w:w="0" w:type="dxa"/>
              <w:bottom w:w="0" w:type="dxa"/>
              <w:right w:w="0" w:type="dxa"/>
            </w:tcMar>
            <w:vAlign w:val="center"/>
          </w:tcPr>
          <w:p w14:paraId="1BEEFC1A">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36062BEE">
            <w:pPr>
              <w:pStyle w:val="11"/>
              <w:keepNext w:val="0"/>
              <w:keepLines w:val="0"/>
              <w:pageBreakBefore w:val="0"/>
              <w:widowControl/>
              <w:kinsoku/>
              <w:wordWrap/>
              <w:overflowPunct/>
              <w:topLinePunct w:val="0"/>
              <w:autoSpaceDE w:val="0"/>
              <w:autoSpaceDN w:val="0"/>
              <w:bidi w:val="0"/>
              <w:adjustRightInd w:val="0"/>
              <w:snapToGrid w:val="0"/>
              <w:spacing w:line="240" w:lineRule="exact"/>
              <w:ind w:left="0" w:right="0" w:firstLine="361" w:firstLineChars="20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招标人不得向他人透露已获取招标文件的潜在投标人的名称、数量以及可能影响公平竞争的有关招标投标的其他情况。</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招标人设有标底的，标底必须保密。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第四十四条第三款  评标委员会成员和参与评标的有关工作人员不得透露对投标文件的评审和比较、中标候选人的推荐情况以及与评标有关的其他情况。</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第五十二条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前款所列行为影响中标结果的，中标无效。</w:t>
            </w:r>
          </w:p>
        </w:tc>
        <w:tc>
          <w:tcPr>
            <w:tcW w:w="1549" w:type="dxa"/>
            <w:shd w:val="clear" w:color="auto" w:fill="auto"/>
            <w:noWrap w:val="0"/>
            <w:vAlign w:val="center"/>
          </w:tcPr>
          <w:p w14:paraId="161EAE2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0D10869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1E9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2849426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11</w:t>
            </w:r>
          </w:p>
        </w:tc>
        <w:tc>
          <w:tcPr>
            <w:tcW w:w="1104" w:type="dxa"/>
            <w:shd w:val="clear" w:color="auto" w:fill="auto"/>
            <w:noWrap w:val="0"/>
            <w:tcMar>
              <w:left w:w="57" w:type="dxa"/>
              <w:right w:w="57" w:type="dxa"/>
            </w:tcMar>
            <w:vAlign w:val="center"/>
          </w:tcPr>
          <w:p w14:paraId="1712969A">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对交通运输领域建设工程项目投标人与他人串通投标或者以行贿手段中标等行为的行政处罚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067C47D3">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5AC29697">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第三十二条  投标人不得相互串通投标报价，不得排挤其他投标人的公平竞争，损害招标人或者其他投标人的合法权益。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投标人不得与招标人串通投标，损害国家利益、社会公共利益或者他人的合法权益。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禁止投标人以向招标人或者评标委员会成员行贿的手段谋取中标。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第五十三条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第三十九条第一款  禁止投标人相互串通投标。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第五十一条第（七）项  有下列情形之一的，评标委员会应当否决其投标：（七）投标人有串通投标、弄虚作假、行贿等违法行为。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第六十七条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投标人有下列行为之一的，属于招标投标法第五十三条规定的情节严重行为，由有关行政监督部门取消其1年至2年内参加依法必须进行招标的项目的投标资格：（一）以行贿谋取中标； （二）3年内2次以上串通投标；（三）串通投标行为损害招标人、其他投标人或者国家、集体、公民的合法利益，造成直接经济损失30万元以上；（四）其他串通投标情节严重的行为。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投标人自本条第二款规定的处罚执行期限届满之日起3年内又有该款所列违法行为之一的，或者串通投标、以行贿谋取中标情节特别严重的，由工商行政管理机关吊销营业执照。 </w:t>
            </w:r>
          </w:p>
          <w:p w14:paraId="61DE849D">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法律、行政法规对串通投标报价行为的处罚另有规定的，从其规定。                                           </w:t>
            </w:r>
          </w:p>
          <w:p w14:paraId="49B5231D">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3.</w:t>
            </w:r>
            <w:r>
              <w:rPr>
                <w:rFonts w:hint="eastAsia" w:asciiTheme="majorEastAsia" w:hAnsiTheme="majorEastAsia" w:eastAsiaTheme="majorEastAsia" w:cstheme="majorEastAsia"/>
                <w:b/>
                <w:bCs/>
                <w:color w:val="000000"/>
                <w:kern w:val="0"/>
                <w:sz w:val="18"/>
                <w:szCs w:val="18"/>
                <w:lang w:eastAsia="zh-CN"/>
              </w:rPr>
              <w:t>《公路建设市场管理办法》（交通运输部令2015年第11号）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第二十二条  公路工程的勘察、设计、施工、监理单位和设备、材料供应单位应当依法投标，不得弄虚作假，不得串通投标，不得以行贿等不合法手段谋取中标。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第四十九条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 投标人相互串通投标或者与招标人串通投标的，投标人以向招标人或者评标委员会成员行贿的手段谋取中标的，中标无效，处中标项目金额5‰以上10‰以下的罚款，对单位直接负责的主管人员和其他直接责任人员处单位罚款数额5%以上10%以下的罚款；有违法所得的，并处没收违法所得；情节严重的，取消其1年至2年内参加依法必须进行招标的项目的投标资格并予以公告；构成犯罪的，依法追究刑事责任。给他人造成损失的，依法承担赔偿责任。</w:t>
            </w:r>
          </w:p>
        </w:tc>
        <w:tc>
          <w:tcPr>
            <w:tcW w:w="1549" w:type="dxa"/>
            <w:shd w:val="clear" w:color="auto" w:fill="auto"/>
            <w:noWrap w:val="0"/>
            <w:vAlign w:val="center"/>
          </w:tcPr>
          <w:p w14:paraId="39970DC5">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noWrap w:val="0"/>
            <w:vAlign w:val="center"/>
          </w:tcPr>
          <w:p w14:paraId="31937E0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FCE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20D2639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12</w:t>
            </w:r>
          </w:p>
        </w:tc>
        <w:tc>
          <w:tcPr>
            <w:tcW w:w="1104" w:type="dxa"/>
            <w:shd w:val="clear" w:color="auto" w:fill="auto"/>
            <w:noWrap w:val="0"/>
            <w:tcMar>
              <w:left w:w="57" w:type="dxa"/>
              <w:right w:w="57" w:type="dxa"/>
            </w:tcMar>
            <w:vAlign w:val="center"/>
          </w:tcPr>
          <w:p w14:paraId="7CFD0595">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对交通运输领域必须招标的项目</w:t>
            </w:r>
            <w:r>
              <w:rPr>
                <w:rFonts w:hint="eastAsia" w:asciiTheme="majorEastAsia" w:hAnsiTheme="majorEastAsia" w:eastAsiaTheme="majorEastAsia" w:cstheme="majorEastAsia"/>
                <w:b w:val="0"/>
                <w:bCs w:val="0"/>
                <w:color w:val="000000"/>
                <w:kern w:val="0"/>
                <w:sz w:val="18"/>
                <w:szCs w:val="18"/>
                <w:lang w:val="en-US" w:eastAsia="zh-CN"/>
              </w:rPr>
              <w:t>建设工程单位</w:t>
            </w:r>
            <w:r>
              <w:rPr>
                <w:rFonts w:hint="eastAsia" w:asciiTheme="majorEastAsia" w:hAnsiTheme="majorEastAsia" w:eastAsiaTheme="majorEastAsia" w:cstheme="majorEastAsia"/>
                <w:b w:val="0"/>
                <w:bCs w:val="0"/>
                <w:color w:val="000000"/>
                <w:kern w:val="0"/>
                <w:sz w:val="18"/>
                <w:szCs w:val="18"/>
              </w:rPr>
              <w:t>弄虚作假骗取中标行为的行政处罚</w:t>
            </w:r>
          </w:p>
        </w:tc>
        <w:tc>
          <w:tcPr>
            <w:tcW w:w="1104" w:type="dxa"/>
            <w:shd w:val="clear" w:color="auto" w:fill="auto"/>
            <w:noWrap w:val="0"/>
            <w:tcMar>
              <w:top w:w="0" w:type="dxa"/>
              <w:left w:w="0" w:type="dxa"/>
              <w:bottom w:w="0" w:type="dxa"/>
              <w:right w:w="0" w:type="dxa"/>
            </w:tcMar>
            <w:vAlign w:val="center"/>
          </w:tcPr>
          <w:p w14:paraId="29CBCD8C">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56C71746">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rPr>
            </w:pPr>
            <w:r>
              <w:rPr>
                <w:rFonts w:hint="eastAsia" w:asciiTheme="majorEastAsia" w:hAnsiTheme="majorEastAsia" w:eastAsiaTheme="majorEastAsia" w:cstheme="majorEastAsia"/>
                <w:b/>
                <w:bCs/>
                <w:color w:val="000000"/>
                <w:kern w:val="0"/>
                <w:sz w:val="18"/>
                <w:szCs w:val="18"/>
              </w:rPr>
              <w:t xml:space="preserve"> 1.《中华人民共和国招标投标法》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投标人以他人名义投标或者以其他方式弄虚作假，骗取中标的，中标无效，给招标人造成损失的，依法承担赔偿责任；构成犯罪的，依法追究刑事责任。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第六十八条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  招标投标法规定的比例计算。</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投标人有下列行为之一的，属于招标投标法第五十四条规定的情节严重行为，由有关行政监督部门取消其1年至3年内参加依法必须进行招标的项目的投标资格：（一）伪造、变造资格、资质证书或者其他许可证件骗取中标；（二）3年内2次以上使用他人名义投标；（三）弄虚作假骗取中标给招标人造成直接经济损失30万元以上；（四）其他弄虚作假骗取中标情节严重的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投标人自本条第二款规定的处罚执行期限届满之日起3年内又有该款所列违法行为之一的，或者弄虚作假骗取中标情节特别严重的，由工商行政管理机关吊销营业执照。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rPr>
              <w:t xml:space="preserve"> </w:t>
            </w:r>
          </w:p>
          <w:p w14:paraId="701904D6">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《公路建设市场管理办法》（交通运输部令2015年第11号）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rPr>
              <w:t xml:space="preserve"> </w:t>
            </w:r>
            <w:r>
              <w:rPr>
                <w:rFonts w:hint="eastAsia" w:asciiTheme="majorEastAsia" w:hAnsiTheme="majorEastAsia" w:eastAsiaTheme="majorEastAsia" w:cstheme="majorEastAsia"/>
                <w:b w:val="0"/>
                <w:bCs w:val="0"/>
                <w:color w:val="000000"/>
                <w:kern w:val="0"/>
                <w:sz w:val="18"/>
                <w:szCs w:val="18"/>
              </w:rPr>
              <w:t xml:space="preserve"> 第五十条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投标人以他人名义投标或者以其他方式弄虚作假，骗取中标的，中标无效，给招标人造成损失的，依法承担赔偿责任；构成犯罪的，依法追究刑事责任。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rPr>
              <w:t xml:space="preserve">    </w:t>
            </w:r>
            <w:r>
              <w:rPr>
                <w:rFonts w:hint="eastAsia" w:asciiTheme="majorEastAsia" w:hAnsiTheme="majorEastAsia" w:eastAsiaTheme="majorEastAsia" w:cstheme="majorEastAsia"/>
                <w:b w:val="0"/>
                <w:bCs w:val="0"/>
                <w:color w:val="000000"/>
                <w:kern w:val="0"/>
                <w:sz w:val="18"/>
                <w:szCs w:val="18"/>
              </w:rPr>
              <w:t>依法必须进行招标的项目的投标人有前款所列行为尚未构成犯罪的，处中标项目金额5‰以上10‰以下的罚款，对单位直接负责的主管人员和其他直接责任人员处单位罚款数额5%以上10%以下的罚款；有违法所得的，并处没收违法所得；情节严重的，取消其1年至3年内参加依法必须进行招标的项目的投标资格并予以公告。</w:t>
            </w:r>
          </w:p>
        </w:tc>
        <w:tc>
          <w:tcPr>
            <w:tcW w:w="1549" w:type="dxa"/>
            <w:shd w:val="clear" w:color="auto" w:fill="auto"/>
            <w:noWrap w:val="0"/>
            <w:vAlign w:val="center"/>
          </w:tcPr>
          <w:p w14:paraId="5E260682">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7E6DB98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1E2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620" w:type="dxa"/>
            <w:shd w:val="clear" w:color="auto" w:fill="auto"/>
            <w:noWrap w:val="0"/>
            <w:vAlign w:val="center"/>
          </w:tcPr>
          <w:p w14:paraId="620AFD39">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13</w:t>
            </w:r>
          </w:p>
        </w:tc>
        <w:tc>
          <w:tcPr>
            <w:tcW w:w="1104" w:type="dxa"/>
            <w:shd w:val="clear" w:color="auto" w:fill="auto"/>
            <w:noWrap w:val="0"/>
            <w:tcMar>
              <w:left w:w="57" w:type="dxa"/>
              <w:right w:w="57" w:type="dxa"/>
            </w:tcMar>
            <w:vAlign w:val="center"/>
          </w:tcPr>
          <w:p w14:paraId="3DB25AEB">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对交通运输领域依法必须进行招标的项目，招标人违反规定，与投标人就实质内容进行谈判行为的行政处罚</w:t>
            </w:r>
          </w:p>
        </w:tc>
        <w:tc>
          <w:tcPr>
            <w:tcW w:w="1104" w:type="dxa"/>
            <w:shd w:val="clear" w:color="auto" w:fill="auto"/>
            <w:noWrap w:val="0"/>
            <w:tcMar>
              <w:top w:w="0" w:type="dxa"/>
              <w:left w:w="0" w:type="dxa"/>
              <w:bottom w:w="0" w:type="dxa"/>
              <w:right w:w="0" w:type="dxa"/>
            </w:tcMar>
            <w:vAlign w:val="center"/>
          </w:tcPr>
          <w:p w14:paraId="7F267E12">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5FD597B1">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第四十三条　在确定中标人前，招标人不得与投标人就投标价格、投标方案等实质性内容进行谈判。</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第五十五条  依法必须进行招标的项目，招标人违反本法规定，与投标人就投标价格、投标方案等实质性内容进行谈判的，给予警告，对单位直接负责的主管人员和其他直接责任人员依法给予处分。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前款所列行为影响中标结果的，中标无效。</w:t>
            </w:r>
          </w:p>
        </w:tc>
        <w:tc>
          <w:tcPr>
            <w:tcW w:w="1549" w:type="dxa"/>
            <w:shd w:val="clear" w:color="auto" w:fill="auto"/>
            <w:noWrap w:val="0"/>
            <w:vAlign w:val="center"/>
          </w:tcPr>
          <w:p w14:paraId="1E69A8CD">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66838F6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F77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3" w:hRule="atLeast"/>
        </w:trPr>
        <w:tc>
          <w:tcPr>
            <w:tcW w:w="620" w:type="dxa"/>
            <w:shd w:val="clear" w:color="auto" w:fill="auto"/>
            <w:noWrap w:val="0"/>
            <w:vAlign w:val="center"/>
          </w:tcPr>
          <w:p w14:paraId="426E645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14</w:t>
            </w:r>
          </w:p>
        </w:tc>
        <w:tc>
          <w:tcPr>
            <w:tcW w:w="1104" w:type="dxa"/>
            <w:shd w:val="clear" w:color="auto" w:fill="auto"/>
            <w:noWrap w:val="0"/>
            <w:tcMar>
              <w:left w:w="57" w:type="dxa"/>
              <w:right w:w="57" w:type="dxa"/>
            </w:tcMar>
            <w:vAlign w:val="center"/>
          </w:tcPr>
          <w:p w14:paraId="1FDBA1A0">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对收受交通运输领域建设工程项目投标人好处，或透露信息行为的行政处罚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310401F0">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52A7E2C8">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评标委员会成员应当客观、公正地履行职务，遵守职业道德，对所提出的评审意见承担个人责任。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评标委员会成员不得私下接触投标人，不得收受投标人的财物或者其他好处。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评标委员会成员和参与评标的有关工作人员不得透露对投标文件的评审和比较、中标候选人的推荐情况以及与评标有关的其他情况。</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p>
          <w:p w14:paraId="7ECF1DE6">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第四十九条第二款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第七十二条  评标委员会成员收受投标人的财物或者其他好处的，没收收受的财物，处3000元以上5万元以下的罚款，取消担任评标委员会成员的资格，不得再参加依法必须进行招标的项目的评标；构成犯罪的，依法追究刑事责任。</w:t>
            </w:r>
          </w:p>
        </w:tc>
        <w:tc>
          <w:tcPr>
            <w:tcW w:w="1549" w:type="dxa"/>
            <w:shd w:val="clear" w:color="auto" w:fill="auto"/>
            <w:noWrap w:val="0"/>
            <w:vAlign w:val="center"/>
          </w:tcPr>
          <w:p w14:paraId="11F31DCD">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noWrap w:val="0"/>
            <w:vAlign w:val="center"/>
          </w:tcPr>
          <w:p w14:paraId="1F2C313C">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41E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4BF8283A">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15</w:t>
            </w:r>
          </w:p>
        </w:tc>
        <w:tc>
          <w:tcPr>
            <w:tcW w:w="1104" w:type="dxa"/>
            <w:shd w:val="clear" w:color="auto" w:fill="auto"/>
            <w:noWrap w:val="0"/>
            <w:tcMar>
              <w:left w:w="57" w:type="dxa"/>
              <w:right w:w="57" w:type="dxa"/>
            </w:tcMar>
            <w:vAlign w:val="center"/>
          </w:tcPr>
          <w:p w14:paraId="223CCB75">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对交通运输领域建设工程项目招标人在评标委员会依法推荐的中标候选人以外确定中标人等行为的行政处罚</w:t>
            </w:r>
          </w:p>
        </w:tc>
        <w:tc>
          <w:tcPr>
            <w:tcW w:w="1104" w:type="dxa"/>
            <w:shd w:val="clear" w:color="auto" w:fill="auto"/>
            <w:noWrap w:val="0"/>
            <w:tcMar>
              <w:top w:w="0" w:type="dxa"/>
              <w:left w:w="0" w:type="dxa"/>
              <w:bottom w:w="0" w:type="dxa"/>
              <w:right w:w="0" w:type="dxa"/>
            </w:tcMar>
            <w:vAlign w:val="center"/>
          </w:tcPr>
          <w:p w14:paraId="63B3F18E">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57AF4AE1">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第四十条第一、二款  评标委员会应当按照招标文件确定的评标标准和方法，对投标文件进行评审和比较；设有标底的，应当参考标底。评标委员会完成评标后，应当向招标人提出书面评标报告，并推荐合格的中标候选人。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招标人根据评标委员会提出的书面评标报告和推荐的中标候选人确定中标人。招标人也可以授权评标委员会直接确定中标人。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1549" w:type="dxa"/>
            <w:shd w:val="clear" w:color="auto" w:fill="auto"/>
            <w:noWrap w:val="0"/>
            <w:vAlign w:val="center"/>
          </w:tcPr>
          <w:p w14:paraId="3ADAA3E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3C9FDC20">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09F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noWrap w:val="0"/>
            <w:vAlign w:val="center"/>
          </w:tcPr>
          <w:p w14:paraId="79D3333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16</w:t>
            </w:r>
          </w:p>
        </w:tc>
        <w:tc>
          <w:tcPr>
            <w:tcW w:w="1104" w:type="dxa"/>
            <w:shd w:val="clear" w:color="auto" w:fill="auto"/>
            <w:noWrap w:val="0"/>
            <w:tcMar>
              <w:left w:w="57" w:type="dxa"/>
              <w:right w:w="57" w:type="dxa"/>
            </w:tcMar>
            <w:vAlign w:val="center"/>
          </w:tcPr>
          <w:p w14:paraId="1C6B8B68">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对交通运输领域建设工程从业单位违法转分包等行为的行政处罚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noWrap w:val="0"/>
            <w:tcMar>
              <w:top w:w="0" w:type="dxa"/>
              <w:left w:w="0" w:type="dxa"/>
              <w:bottom w:w="0" w:type="dxa"/>
              <w:right w:w="0" w:type="dxa"/>
            </w:tcMar>
            <w:vAlign w:val="center"/>
          </w:tcPr>
          <w:p w14:paraId="78ACADD6">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677C7F0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第四十八条第一</w:t>
            </w:r>
            <w:r>
              <w:rPr>
                <w:rFonts w:hint="eastAsia" w:asciiTheme="majorEastAsia" w:hAnsiTheme="majorEastAsia" w:eastAsiaTheme="majorEastAsia" w:cstheme="majorEastAsia"/>
                <w:b w:val="0"/>
                <w:bCs w:val="0"/>
                <w:color w:val="000000"/>
                <w:kern w:val="0"/>
                <w:sz w:val="18"/>
                <w:szCs w:val="18"/>
                <w:lang w:eastAsia="zh-CN"/>
              </w:rPr>
              <w:t>款第</w:t>
            </w:r>
            <w:r>
              <w:rPr>
                <w:rFonts w:hint="eastAsia" w:asciiTheme="majorEastAsia" w:hAnsiTheme="majorEastAsia" w:eastAsiaTheme="majorEastAsia" w:cstheme="majorEastAsia"/>
                <w:b w:val="0"/>
                <w:bCs w:val="0"/>
                <w:color w:val="000000"/>
                <w:kern w:val="0"/>
                <w:sz w:val="18"/>
                <w:szCs w:val="18"/>
              </w:rPr>
              <w:t>二款  中标人应当按照合同约定履行义务，完成中标项目。中标人不得向他人转让中标项目，也不得将中标项目肢解后分别向他人转让。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中标人按照合同约定或者经招标人同意，可以将中标项目的部分非主体、非关键性工作分包给他人完成。接受分包的人应当具备相应的资格条件，并不得再次分包。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第五十九条  中标人应当按照合同约定履行义务，完成中标项目。中标人不得向他人转让中标项目，也不得将中标项目肢解后分别向他人转让。</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中标人按照合同约定或者经招标人同意，可以将中标项目的部分非主体、非关键性工作分包给他人完成。接受分包的人应当具备相应的资格条件，并不得再次分包。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中标人应当就分包项目向招标人负责，接受分包的人就分包项目承担连带责任。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第六十二条第一款  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第二十条  建设工程勘察、设计单位不得将所承揽的建设工程勘察、设计转包。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  违反本条例规定，建设工程勘察、设计单位将所承揽的建设工程勘察、设计转包的，责令改正，没收违法所得，处合同约定的勘察费、设计费25％以上50％以下的罚款，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4.</w:t>
            </w:r>
            <w:r>
              <w:rPr>
                <w:rFonts w:hint="eastAsia" w:asciiTheme="majorEastAsia" w:hAnsiTheme="majorEastAsia" w:eastAsiaTheme="majorEastAsia" w:cstheme="majorEastAsia"/>
                <w:b/>
                <w:bCs/>
                <w:color w:val="000000"/>
                <w:kern w:val="0"/>
                <w:sz w:val="18"/>
                <w:szCs w:val="18"/>
                <w:lang w:eastAsia="zh-CN"/>
              </w:rPr>
              <w:t>《公路建设市场管理办法》（交通运输部令2015年第11号）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第三十七条　勘察、设计单位经项目法人批准，可以将工程设计中跨专业或者有特殊要求的勘察、设计工作委托给有相应资质条件的单位，但不得转包或者二次分包。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监理工作不得分包或者转包。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规定，承包单位将承包的工程转包或者违法分包的，责令改正，没收违法所得，对勘察、设计单位处合同约定的勘察费、设计费25%以上50%以下的罚款；对施工单位处工程合同价款5‰以上10‰以下的罚款；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rPr>
              <w:t xml:space="preserve">    </w:t>
            </w:r>
            <w:r>
              <w:rPr>
                <w:rFonts w:hint="eastAsia" w:asciiTheme="majorEastAsia" w:hAnsiTheme="majorEastAsia" w:eastAsiaTheme="majorEastAsia" w:cstheme="majorEastAsia"/>
                <w:b w:val="0"/>
                <w:bCs w:val="0"/>
                <w:color w:val="000000"/>
                <w:kern w:val="0"/>
                <w:sz w:val="18"/>
                <w:szCs w:val="18"/>
              </w:rPr>
              <w:t>工程监理单位转让工程监理业务的，责令改正，没收违法所得，处合同约定的监理酬金25%以上50%以下的罚款；可以责令停业整顿，降低资质等级；情节严重的，吊销资质证书。</w:t>
            </w:r>
          </w:p>
        </w:tc>
        <w:tc>
          <w:tcPr>
            <w:tcW w:w="1549" w:type="dxa"/>
            <w:shd w:val="clear" w:color="auto" w:fill="auto"/>
            <w:noWrap w:val="0"/>
            <w:vAlign w:val="center"/>
          </w:tcPr>
          <w:p w14:paraId="455D85F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2A87E05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D43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trPr>
        <w:tc>
          <w:tcPr>
            <w:tcW w:w="620" w:type="dxa"/>
            <w:shd w:val="clear" w:color="auto" w:fill="auto"/>
            <w:noWrap w:val="0"/>
            <w:vAlign w:val="center"/>
          </w:tcPr>
          <w:p w14:paraId="545D2C3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17</w:t>
            </w:r>
          </w:p>
        </w:tc>
        <w:tc>
          <w:tcPr>
            <w:tcW w:w="1104" w:type="dxa"/>
            <w:shd w:val="clear" w:color="auto" w:fill="auto"/>
            <w:noWrap w:val="0"/>
            <w:tcMar>
              <w:left w:w="57" w:type="dxa"/>
              <w:right w:w="57" w:type="dxa"/>
            </w:tcMar>
            <w:vAlign w:val="center"/>
          </w:tcPr>
          <w:p w14:paraId="52CC8D58">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对交通运输领域建设工程中不按招标文件和投标文件订立合同或订立背离合同实质性内容的协议行为的行政处罚</w:t>
            </w:r>
          </w:p>
        </w:tc>
        <w:tc>
          <w:tcPr>
            <w:tcW w:w="1104" w:type="dxa"/>
            <w:shd w:val="clear" w:color="auto" w:fill="auto"/>
            <w:noWrap w:val="0"/>
            <w:tcMar>
              <w:top w:w="0" w:type="dxa"/>
              <w:left w:w="0" w:type="dxa"/>
              <w:bottom w:w="0" w:type="dxa"/>
              <w:right w:w="0" w:type="dxa"/>
            </w:tcMar>
            <w:vAlign w:val="center"/>
          </w:tcPr>
          <w:p w14:paraId="3F7F8F5D">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08B9BF15">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第四十六条第一款　招标人和中标人应当自中标通知书发出之日起三十日内，按照招标文件和中标人的投标文件订立书面合同。招标人和中标人不得再行订立背离合同实质性内容的其他协议。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第五十九条  招标人与中标人不按照招标文件和中标人的投标文件订立合同的，或者招标人、中标人订立背离合同实质性内容的协议的，责令改正；可以处中标项目金额千分之五以上千分之十以下的罚款。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tc>
        <w:tc>
          <w:tcPr>
            <w:tcW w:w="1549" w:type="dxa"/>
            <w:shd w:val="clear" w:color="auto" w:fill="auto"/>
            <w:noWrap w:val="0"/>
            <w:vAlign w:val="center"/>
          </w:tcPr>
          <w:p w14:paraId="41F2AE2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noWrap w:val="0"/>
            <w:vAlign w:val="center"/>
          </w:tcPr>
          <w:p w14:paraId="5F5BDA8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9F1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tcW w:w="620" w:type="dxa"/>
            <w:shd w:val="clear" w:color="auto" w:fill="auto"/>
            <w:noWrap w:val="0"/>
            <w:vAlign w:val="center"/>
          </w:tcPr>
          <w:p w14:paraId="44E3AEDB">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18</w:t>
            </w:r>
          </w:p>
        </w:tc>
        <w:tc>
          <w:tcPr>
            <w:tcW w:w="1104" w:type="dxa"/>
            <w:shd w:val="clear" w:color="auto" w:fill="auto"/>
            <w:noWrap w:val="0"/>
            <w:tcMar>
              <w:left w:w="57" w:type="dxa"/>
              <w:right w:w="57" w:type="dxa"/>
            </w:tcMar>
            <w:vAlign w:val="center"/>
          </w:tcPr>
          <w:p w14:paraId="6E2FBC1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rPr>
              <w:t>对交通运输领域建设工程中不按照合同履行义务，情节较为严重行为的行政处罚</w:t>
            </w:r>
          </w:p>
        </w:tc>
        <w:tc>
          <w:tcPr>
            <w:tcW w:w="1104" w:type="dxa"/>
            <w:shd w:val="clear" w:color="auto" w:fill="auto"/>
            <w:noWrap w:val="0"/>
            <w:tcMar>
              <w:top w:w="0" w:type="dxa"/>
              <w:left w:w="0" w:type="dxa"/>
              <w:bottom w:w="0" w:type="dxa"/>
              <w:right w:w="0" w:type="dxa"/>
            </w:tcMar>
            <w:vAlign w:val="center"/>
          </w:tcPr>
          <w:p w14:paraId="4F9A503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noWrap w:val="0"/>
            <w:vAlign w:val="center"/>
          </w:tcPr>
          <w:p w14:paraId="78D2D4BC">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w:t>
            </w:r>
            <w:r>
              <w:rPr>
                <w:rFonts w:hint="eastAsia" w:asciiTheme="majorEastAsia" w:hAnsiTheme="majorEastAsia" w:eastAsiaTheme="majorEastAsia" w:cstheme="majorEastAsia"/>
                <w:b w:val="0"/>
                <w:bCs w:val="0"/>
                <w:color w:val="000000"/>
                <w:kern w:val="0"/>
                <w:sz w:val="18"/>
                <w:szCs w:val="18"/>
                <w:lang w:eastAsia="zh-CN"/>
              </w:rPr>
              <w:t>四十八</w:t>
            </w:r>
            <w:r>
              <w:rPr>
                <w:rFonts w:hint="eastAsia" w:asciiTheme="majorEastAsia" w:hAnsiTheme="majorEastAsia" w:eastAsiaTheme="majorEastAsia" w:cstheme="majorEastAsia"/>
                <w:b w:val="0"/>
                <w:bCs w:val="0"/>
                <w:color w:val="000000"/>
                <w:kern w:val="0"/>
                <w:sz w:val="18"/>
                <w:szCs w:val="18"/>
              </w:rPr>
              <w:t>条第一款  中标人应当按照合同约定履行义务，完成中标项目。中标人不得向他人转让中标项目，也不得将中标项目肢解后分别向他人转让。</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第六十条第二款  中标人不按照与招标人订立的合同履行义务，情节较为严重的，取消其二年至五年内参加依法必须进行招标的项目的投标资格并予以公告，直至由工商行政管理机关吊销营业执照。</w:t>
            </w:r>
          </w:p>
        </w:tc>
        <w:tc>
          <w:tcPr>
            <w:tcW w:w="1549" w:type="dxa"/>
            <w:shd w:val="clear" w:color="auto" w:fill="auto"/>
            <w:noWrap w:val="0"/>
            <w:vAlign w:val="center"/>
          </w:tcPr>
          <w:p w14:paraId="7487A85D">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noWrap w:val="0"/>
            <w:vAlign w:val="center"/>
          </w:tcPr>
          <w:p w14:paraId="2F11276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D93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99D40AB">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19</w:t>
            </w:r>
          </w:p>
        </w:tc>
        <w:tc>
          <w:tcPr>
            <w:tcW w:w="1104" w:type="dxa"/>
            <w:shd w:val="clear" w:color="auto" w:fill="auto"/>
            <w:tcMar>
              <w:left w:w="57" w:type="dxa"/>
              <w:right w:w="57" w:type="dxa"/>
            </w:tcMar>
            <w:vAlign w:val="center"/>
          </w:tcPr>
          <w:p w14:paraId="3AE6A57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rPr>
              <w:t>对交通运输领域建设工程项目依法应当公开招标而采用邀请招标行为的行政处罚</w:t>
            </w:r>
          </w:p>
        </w:tc>
        <w:tc>
          <w:tcPr>
            <w:tcW w:w="1104" w:type="dxa"/>
            <w:shd w:val="clear" w:color="auto" w:fill="auto"/>
            <w:tcMar>
              <w:top w:w="0" w:type="dxa"/>
              <w:left w:w="0" w:type="dxa"/>
              <w:bottom w:w="0" w:type="dxa"/>
              <w:right w:w="0" w:type="dxa"/>
            </w:tcMar>
            <w:vAlign w:val="center"/>
          </w:tcPr>
          <w:p w14:paraId="273D9F1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0AAD438C">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国有资金占控股或者主导地位的依法必须进行招标的项目，应当公开招标；但有下列情形之一的，可以邀请招标：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（一）技术复杂、有特殊要求或者受自然环境限制，只有少量潜在投标人可供选择；</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（二）采用公开招标方式的费用占项目合同金额的比例过大。</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有前款第二项所列情形，属于本条例第七条规定的项目，由项目审批、核准部门在审批、核准项目时作出认定；其他项目由招标人申请有关行政监督部门作出认定。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第六十四条第（一）项  招标人有下列情形之一的，由有关行政监督部门责令改正，可以处10万元以下的罚款：（一）依法应当公开招标而采用邀请招标。</w:t>
            </w:r>
          </w:p>
        </w:tc>
        <w:tc>
          <w:tcPr>
            <w:tcW w:w="1549" w:type="dxa"/>
            <w:shd w:val="clear" w:color="auto" w:fill="auto"/>
            <w:vAlign w:val="center"/>
          </w:tcPr>
          <w:p w14:paraId="1D0181B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7EC415BC">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CFA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620" w:type="dxa"/>
            <w:vAlign w:val="center"/>
          </w:tcPr>
          <w:p w14:paraId="0761A51C">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20</w:t>
            </w:r>
          </w:p>
        </w:tc>
        <w:tc>
          <w:tcPr>
            <w:tcW w:w="1104" w:type="dxa"/>
            <w:shd w:val="clear" w:color="auto" w:fill="auto"/>
            <w:tcMar>
              <w:left w:w="57" w:type="dxa"/>
              <w:right w:w="57" w:type="dxa"/>
            </w:tcMar>
            <w:vAlign w:val="center"/>
          </w:tcPr>
          <w:p w14:paraId="0BFE2116">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对交通运输领域建设工程项目招标资料时限不符合规定的行政处罚</w:t>
            </w:r>
          </w:p>
        </w:tc>
        <w:tc>
          <w:tcPr>
            <w:tcW w:w="1104" w:type="dxa"/>
            <w:shd w:val="clear" w:color="auto" w:fill="auto"/>
            <w:tcMar>
              <w:top w:w="0" w:type="dxa"/>
              <w:left w:w="0" w:type="dxa"/>
              <w:bottom w:w="0" w:type="dxa"/>
              <w:right w:w="0" w:type="dxa"/>
            </w:tcMar>
            <w:vAlign w:val="center"/>
          </w:tcPr>
          <w:p w14:paraId="3DFA4BAC">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B4E21A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第十六条第一款  招标人应当按照资格预审公告、招标公告或者投标邀请书规定的时间、地点发售资格预审文件或者招标文件。资格预审文件或者招标文件的发售期不得少于5日。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第六十四条第（二）项  招标人有下列情形之一的，由有关行政监督部门责令改正，可以处10万元以下的罚款：（二）招标文件、资格预审文件的发售、澄清、修改的时限，或者确定的提交资格预审申请文件、投标文件的时限不符合招标投标法和本条例规定。</w:t>
            </w:r>
          </w:p>
        </w:tc>
        <w:tc>
          <w:tcPr>
            <w:tcW w:w="1549" w:type="dxa"/>
            <w:shd w:val="clear" w:color="auto" w:fill="auto"/>
            <w:vAlign w:val="center"/>
          </w:tcPr>
          <w:p w14:paraId="2EB47415">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5C3FB759">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C61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trPr>
        <w:tc>
          <w:tcPr>
            <w:tcW w:w="620" w:type="dxa"/>
            <w:vAlign w:val="center"/>
          </w:tcPr>
          <w:p w14:paraId="6A7DEE7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21</w:t>
            </w:r>
          </w:p>
        </w:tc>
        <w:tc>
          <w:tcPr>
            <w:tcW w:w="1104" w:type="dxa"/>
            <w:shd w:val="clear" w:color="auto" w:fill="auto"/>
            <w:tcMar>
              <w:left w:w="57" w:type="dxa"/>
              <w:right w:w="57" w:type="dxa"/>
            </w:tcMar>
            <w:vAlign w:val="center"/>
          </w:tcPr>
          <w:p w14:paraId="4972285F">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对交通运输领域建设工程项目招标人接受未通过资格预审的单位或者个人参加投标行为的行政处罚</w:t>
            </w:r>
          </w:p>
        </w:tc>
        <w:tc>
          <w:tcPr>
            <w:tcW w:w="1104" w:type="dxa"/>
            <w:shd w:val="clear" w:color="auto" w:fill="auto"/>
            <w:tcMar>
              <w:top w:w="0" w:type="dxa"/>
              <w:left w:w="0" w:type="dxa"/>
              <w:bottom w:w="0" w:type="dxa"/>
              <w:right w:w="0" w:type="dxa"/>
            </w:tcMar>
            <w:vAlign w:val="center"/>
          </w:tcPr>
          <w:p w14:paraId="373C5CB0">
            <w:pPr>
              <w:pStyle w:val="11"/>
              <w:keepNext w:val="0"/>
              <w:keepLines w:val="0"/>
              <w:pageBreakBefore w:val="0"/>
              <w:widowControl/>
              <w:kinsoku/>
              <w:wordWrap/>
              <w:overflowPunct/>
              <w:topLinePunct w:val="0"/>
              <w:bidi w:val="0"/>
              <w:adjustRightInd/>
              <w:snapToGrid/>
              <w:spacing w:line="240" w:lineRule="exact"/>
              <w:ind w:left="0" w:right="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623E321">
            <w:pPr>
              <w:keepNext w:val="0"/>
              <w:keepLines w:val="0"/>
              <w:pageBreakBefore w:val="0"/>
              <w:widowControl/>
              <w:wordWrap/>
              <w:overflowPunct/>
              <w:topLinePunct w:val="0"/>
              <w:bidi w:val="0"/>
              <w:spacing w:line="240" w:lineRule="exact"/>
              <w:ind w:left="0" w:right="0" w:firstLine="361" w:firstLineChars="20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第十九条第一款  资格预审结束后，招标人应当及时向资格预审申请人发出资格预审结果通知书。未通过资格预审的申请人不具有投标资格。</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第六十四条第（三）项  招标人有下列情形之一的，由有关行政监督部门责令改正，可以处10万元以下的罚款：（三）接受未通过资格预审的单位或者个人参加投标。</w:t>
            </w:r>
          </w:p>
        </w:tc>
        <w:tc>
          <w:tcPr>
            <w:tcW w:w="1549" w:type="dxa"/>
            <w:shd w:val="clear" w:color="auto" w:fill="auto"/>
            <w:vAlign w:val="center"/>
          </w:tcPr>
          <w:p w14:paraId="174569C5">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CEABBCC">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65C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620" w:type="dxa"/>
            <w:vAlign w:val="center"/>
          </w:tcPr>
          <w:p w14:paraId="661EAE5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22</w:t>
            </w:r>
          </w:p>
        </w:tc>
        <w:tc>
          <w:tcPr>
            <w:tcW w:w="1104" w:type="dxa"/>
            <w:shd w:val="clear" w:color="auto" w:fill="auto"/>
            <w:tcMar>
              <w:left w:w="57" w:type="dxa"/>
              <w:right w:w="57" w:type="dxa"/>
            </w:tcMar>
            <w:vAlign w:val="center"/>
          </w:tcPr>
          <w:p w14:paraId="4AF3D41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对交通运输领域建设工程项目招标人接受应当拒收的投标文件行为的行政处罚</w:t>
            </w:r>
          </w:p>
        </w:tc>
        <w:tc>
          <w:tcPr>
            <w:tcW w:w="1104" w:type="dxa"/>
            <w:shd w:val="clear" w:color="auto" w:fill="auto"/>
            <w:tcMar>
              <w:top w:w="0" w:type="dxa"/>
              <w:left w:w="0" w:type="dxa"/>
              <w:bottom w:w="0" w:type="dxa"/>
              <w:right w:w="0" w:type="dxa"/>
            </w:tcMar>
            <w:vAlign w:val="center"/>
          </w:tcPr>
          <w:p w14:paraId="5E20AF6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40A390D">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第三十六条第一款　未通过资格预审的申请人提交的投标文件，以及逾期送达或者不按照招标文件要求密封的投标文件，招标人应当拒收。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第六十四条第（四）项  招标人有下列情形之一的，由有关行政监督部门责令改正，可以处10万元以下的罚款：（四）接受应当拒收的投标文件。</w:t>
            </w:r>
          </w:p>
        </w:tc>
        <w:tc>
          <w:tcPr>
            <w:tcW w:w="1549" w:type="dxa"/>
            <w:shd w:val="clear" w:color="auto" w:fill="auto"/>
            <w:vAlign w:val="center"/>
          </w:tcPr>
          <w:p w14:paraId="564B3D7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500567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367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620" w:type="dxa"/>
            <w:vAlign w:val="center"/>
          </w:tcPr>
          <w:p w14:paraId="048DA2C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23</w:t>
            </w:r>
          </w:p>
        </w:tc>
        <w:tc>
          <w:tcPr>
            <w:tcW w:w="1104" w:type="dxa"/>
            <w:shd w:val="clear" w:color="auto" w:fill="auto"/>
            <w:tcMar>
              <w:left w:w="57" w:type="dxa"/>
              <w:right w:w="57" w:type="dxa"/>
            </w:tcMar>
            <w:vAlign w:val="center"/>
          </w:tcPr>
          <w:p w14:paraId="5BA2159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对交通运输领域建设工程项目招标人超额收取保证金或者不按规定退还保证金及利息行为的行政处罚</w:t>
            </w:r>
          </w:p>
        </w:tc>
        <w:tc>
          <w:tcPr>
            <w:tcW w:w="1104" w:type="dxa"/>
            <w:shd w:val="clear" w:color="auto" w:fill="auto"/>
            <w:tcMar>
              <w:top w:w="0" w:type="dxa"/>
              <w:left w:w="0" w:type="dxa"/>
              <w:bottom w:w="0" w:type="dxa"/>
              <w:right w:w="0" w:type="dxa"/>
            </w:tcMar>
            <w:vAlign w:val="center"/>
          </w:tcPr>
          <w:p w14:paraId="14D524E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C098A33">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第二十六条第一款  招标人在招标文件中要求投标人提交投标保证金的，投标保证金不得超过招标项目估算价的2%。投标保证金有效期应当与投标有效期一致。</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第六十六条  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1549" w:type="dxa"/>
            <w:shd w:val="clear" w:color="auto" w:fill="auto"/>
            <w:vAlign w:val="center"/>
          </w:tcPr>
          <w:p w14:paraId="14FD2DC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5FD372B0">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E6B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4F7A15E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24</w:t>
            </w:r>
          </w:p>
        </w:tc>
        <w:tc>
          <w:tcPr>
            <w:tcW w:w="1104" w:type="dxa"/>
            <w:shd w:val="clear" w:color="auto" w:fill="auto"/>
            <w:tcMar>
              <w:left w:w="57" w:type="dxa"/>
              <w:right w:w="57" w:type="dxa"/>
            </w:tcMar>
            <w:vAlign w:val="center"/>
          </w:tcPr>
          <w:p w14:paraId="6A2E6C3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对交通运输领域建设工程项目招标人不按照规定组建评标委员会，或者违法确定、更换评标委员会成员行为的行政处罚</w:t>
            </w:r>
          </w:p>
        </w:tc>
        <w:tc>
          <w:tcPr>
            <w:tcW w:w="1104" w:type="dxa"/>
            <w:shd w:val="clear" w:color="auto" w:fill="auto"/>
            <w:tcMar>
              <w:top w:w="0" w:type="dxa"/>
              <w:left w:w="0" w:type="dxa"/>
              <w:bottom w:w="0" w:type="dxa"/>
              <w:right w:w="0" w:type="dxa"/>
            </w:tcMar>
            <w:vAlign w:val="center"/>
          </w:tcPr>
          <w:p w14:paraId="4466C8A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7242821">
            <w:pPr>
              <w:keepNext w:val="0"/>
              <w:keepLines w:val="0"/>
              <w:pageBreakBefore w:val="0"/>
              <w:widowControl/>
              <w:wordWrap/>
              <w:overflowPunct/>
              <w:topLinePunct w:val="0"/>
              <w:bidi w:val="0"/>
              <w:spacing w:line="226"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依法必须进行招标的项目的招标人非因招标投标法和本条例规定的事由，不得更换依法确定的评标委员会成员。更换评标委员会的专家成员应当依照前款规定进行。</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评标委员会成员与投标人有利害关系的，应当主动回避。</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有关行政监督部门应当按照规定的职责分工，对评标委员会成员的确定方式、评标专家的抽取和评标活动进行监督。行政监督部门的工作人员不得担任本部门负责监督项目的评标委员会成员。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第七十条第一款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tc>
        <w:tc>
          <w:tcPr>
            <w:tcW w:w="1549" w:type="dxa"/>
            <w:shd w:val="clear" w:color="auto" w:fill="auto"/>
            <w:vAlign w:val="center"/>
          </w:tcPr>
          <w:p w14:paraId="19FFAE4E">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CE790AD">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245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3FEE7F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25</w:t>
            </w:r>
          </w:p>
        </w:tc>
        <w:tc>
          <w:tcPr>
            <w:tcW w:w="1104" w:type="dxa"/>
            <w:shd w:val="clear" w:color="auto" w:fill="auto"/>
            <w:tcMar>
              <w:left w:w="57" w:type="dxa"/>
              <w:right w:w="57" w:type="dxa"/>
            </w:tcMar>
            <w:vAlign w:val="center"/>
          </w:tcPr>
          <w:p w14:paraId="77FC69C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对交通运输领域建设工程项目评标委员会委员不客观、不</w:t>
            </w:r>
          </w:p>
          <w:p w14:paraId="4FC0A52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公正履行职务行为的行政处罚</w:t>
            </w:r>
          </w:p>
        </w:tc>
        <w:tc>
          <w:tcPr>
            <w:tcW w:w="1104" w:type="dxa"/>
            <w:shd w:val="clear" w:color="auto" w:fill="auto"/>
            <w:tcMar>
              <w:top w:w="0" w:type="dxa"/>
              <w:left w:w="0" w:type="dxa"/>
              <w:bottom w:w="0" w:type="dxa"/>
              <w:right w:w="0" w:type="dxa"/>
            </w:tcMar>
            <w:vAlign w:val="center"/>
          </w:tcPr>
          <w:p w14:paraId="20B5EE4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46AF2C1">
            <w:pPr>
              <w:keepNext w:val="0"/>
              <w:keepLines w:val="0"/>
              <w:pageBreakBefore w:val="0"/>
              <w:widowControl/>
              <w:wordWrap/>
              <w:overflowPunct/>
              <w:topLinePunct w:val="0"/>
              <w:bidi w:val="0"/>
              <w:spacing w:line="226" w:lineRule="exact"/>
              <w:ind w:right="0" w:firstLine="181" w:firstLineChars="1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第四十九条　评标委员会成员应当依照招标投标法和本条例的规定，按照招标文件规定的评标标准和方法，客观、公正地对投标文件提出评审意见。招标文件没有规定的评标标准和方法不得作为评标的依据。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第七十一条  评标委员会成员有下列行为之一的，由有关行政监督部门责令改正；情节严重的，禁止其在一定期限内参加依法必须进行招标的项目的评标；情节特别严重的，取消其担任评标委员会成员的资格：（一）应当回避而不回避；（二）擅离职守；（三）不按照招标文件规定的评标标准和方法评标；（四）私下接触投标人；（五）向招标人征询确定中标人的意向或者接受任何单位或者个人明示或者暗示提出的倾向或者排斥特定投标人的要求；（六）对依法应当否决的投标不提出否决意见；（七）暗示或者诱导投标人作出澄清、说明或者接受投标人主动提出的澄清、说明；（八）其他不客观、不公正履行职务的行为。</w:t>
            </w:r>
          </w:p>
        </w:tc>
        <w:tc>
          <w:tcPr>
            <w:tcW w:w="1549" w:type="dxa"/>
            <w:shd w:val="clear" w:color="auto" w:fill="auto"/>
            <w:vAlign w:val="center"/>
          </w:tcPr>
          <w:p w14:paraId="449B21D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5E25775">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E58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43C939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26</w:t>
            </w:r>
          </w:p>
        </w:tc>
        <w:tc>
          <w:tcPr>
            <w:tcW w:w="1104" w:type="dxa"/>
            <w:shd w:val="clear" w:color="auto" w:fill="auto"/>
            <w:tcMar>
              <w:left w:w="57" w:type="dxa"/>
              <w:right w:w="57" w:type="dxa"/>
            </w:tcMar>
            <w:vAlign w:val="center"/>
          </w:tcPr>
          <w:p w14:paraId="36266C3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对交通运输领域建设工程项目的招标人无正当理由不发出中标通知书等行为的行政处罚</w:t>
            </w:r>
          </w:p>
        </w:tc>
        <w:tc>
          <w:tcPr>
            <w:tcW w:w="1104" w:type="dxa"/>
            <w:shd w:val="clear" w:color="auto" w:fill="auto"/>
            <w:tcMar>
              <w:top w:w="0" w:type="dxa"/>
              <w:left w:w="0" w:type="dxa"/>
              <w:bottom w:w="0" w:type="dxa"/>
              <w:right w:w="0" w:type="dxa"/>
            </w:tcMar>
            <w:vAlign w:val="center"/>
          </w:tcPr>
          <w:p w14:paraId="3F157BC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8B1B91F">
            <w:pPr>
              <w:keepNext w:val="0"/>
              <w:keepLines w:val="0"/>
              <w:pageBreakBefore w:val="0"/>
              <w:widowControl/>
              <w:wordWrap/>
              <w:overflowPunct/>
              <w:topLinePunct w:val="0"/>
              <w:bidi w:val="0"/>
              <w:spacing w:line="226" w:lineRule="exact"/>
              <w:ind w:right="0" w:firstLine="180" w:firstLineChars="1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1.《中华人民共和国招标投标法》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第四十五条　中标人确定后，招标人应当向中标人发出中标通知书，并同时将中标结果通知所有未中标的投标人。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中标通知书对招标人和中标人具有法律效力。中标通知书发出后，招标人改变中标结果的，或者中标人放弃中标项目的，应当依法承担法律责任。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第七十三条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一）无正当理由不发出中标通知书；（二）不按照规定确定中标人；（三）中标通知书发出后无正当理由改变中标结果；（四）无正当理由不与中标人订立合同；（五）在订立合同时向中标人提出附加条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第七十四条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tc>
        <w:tc>
          <w:tcPr>
            <w:tcW w:w="1549" w:type="dxa"/>
            <w:shd w:val="clear" w:color="auto" w:fill="auto"/>
            <w:vAlign w:val="center"/>
          </w:tcPr>
          <w:p w14:paraId="6D15F6C2">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7D03A295">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8CD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B538E3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27</w:t>
            </w:r>
          </w:p>
        </w:tc>
        <w:tc>
          <w:tcPr>
            <w:tcW w:w="1104" w:type="dxa"/>
            <w:shd w:val="clear" w:color="auto" w:fill="auto"/>
            <w:tcMar>
              <w:left w:w="57" w:type="dxa"/>
              <w:right w:w="57" w:type="dxa"/>
            </w:tcMar>
            <w:vAlign w:val="center"/>
          </w:tcPr>
          <w:p w14:paraId="26232A0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对水运工程建设项目未履行相关审批、核准手续开展招标活动行为的行政处罚</w:t>
            </w:r>
          </w:p>
        </w:tc>
        <w:tc>
          <w:tcPr>
            <w:tcW w:w="1104" w:type="dxa"/>
            <w:shd w:val="clear" w:color="auto" w:fill="auto"/>
            <w:tcMar>
              <w:top w:w="0" w:type="dxa"/>
              <w:left w:w="0" w:type="dxa"/>
              <w:bottom w:w="0" w:type="dxa"/>
              <w:right w:w="0" w:type="dxa"/>
            </w:tcMar>
            <w:vAlign w:val="center"/>
          </w:tcPr>
          <w:p w14:paraId="16B9A366">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C7A0661">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　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第七十九条　项目审批、核准部门不依法审批、核准项目招标范围、招标方式、招标组织形式的，对单位直接负责的主管人员和其他直接责任人员依法给予处分。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项目审批、核准部门和有关行政监督部门的工作人员徇私舞弊、滥用职权、玩忽职守，构成犯罪的，依法追究刑事责任。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2.《水运工程建设项目招标投标管理办法》</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bCs/>
                <w:color w:val="000000"/>
                <w:kern w:val="0"/>
                <w:sz w:val="18"/>
                <w:szCs w:val="18"/>
              </w:rPr>
              <w:t>交通运输部令2021年第14号</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第九条  按照国家有关规定需要履行项目立项审批、核准手续的水运工程建设项目，在取得批准后方可开展勘察、设计招标。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水运工程建设项目通过初步设计审批后，方可开展监理、施工、设备、材料等招标。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第六十六条  违反本办法第九条规定，水运工程建设项目未履行相关审批、核准手续开展招标活动的，由交通运输主管部门责令改正，可处三万元以下罚款。</w:t>
            </w:r>
          </w:p>
        </w:tc>
        <w:tc>
          <w:tcPr>
            <w:tcW w:w="1549" w:type="dxa"/>
            <w:shd w:val="clear" w:color="auto" w:fill="auto"/>
            <w:vAlign w:val="center"/>
          </w:tcPr>
          <w:p w14:paraId="3206FE62">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E2F130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231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7C4EE43">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28</w:t>
            </w:r>
          </w:p>
        </w:tc>
        <w:tc>
          <w:tcPr>
            <w:tcW w:w="1104" w:type="dxa"/>
            <w:shd w:val="clear" w:color="auto" w:fill="auto"/>
            <w:tcMar>
              <w:left w:w="57" w:type="dxa"/>
              <w:right w:w="57" w:type="dxa"/>
            </w:tcMar>
            <w:vAlign w:val="center"/>
          </w:tcPr>
          <w:p w14:paraId="405C94C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对公路工程建设项目不具备招标条件而进行招标等行为的行政处罚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2623515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F79FE3E">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《公路工程建设项目招标投标管理办法》 </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bCs/>
                <w:color w:val="000000"/>
                <w:kern w:val="0"/>
                <w:sz w:val="18"/>
                <w:szCs w:val="18"/>
              </w:rPr>
              <w:t>交通运输部令2015年第24号</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对于按照国家有关规定需要履行项目审批、核准手续的依法必须进行招标的公路工程建设项目，招标人应当按照项目审批、核准部门确定的招标范围、招标方式、招标组织形式开展招标。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公路工程建设项目履行项目审批或者核准手续后，方可开展勘察设计招标；初步设计文件批准后，方可开展施工监理、设计施工总承包招标；施工图设计文件批准后，方可开展施工招标。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施工招标采用资格预审方式的，在初步设计文件批准后，可以进行资格预审。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对依法必须进行招标的公路工程建设项目，招标人应当根据交通运输部制定的标准文本，结合招标项目具体特点和实际需要，编制资格预审文件和招标文件。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招标人应当按照省级人民政府交通运输主管部门的规定，将资格预审文件及其澄清、修改，招标文件及其澄清、修改报相应的交通运输主管部门备案。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第十八条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应当自资格预审文件或者招标文件开始发售之日起，将其关键内容上传至具有招标监督职责的交通运输主管部门政府网站或者其指定的其他网站上进行公开，公开内容包括项目概况、对申请人或者投标人的资格条件要求、资格审查办法、评标办法、招标人联系方式等，公开时间至提交资格预审申请文件截止时间2日前或者投标截止时间10日前结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招标人发出的资格预审文件或者招标文件的澄清或者修改涉及到前款规定的公开内容的，招标人应当在向交通运输主管部门备案的同时，将澄清或者修改的内容上传至前款规定的网站。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招标人应当严格遵守有关法律、行政法规关于各类保证金收取的规定，在招标文件中载明保证金收取的形式、金额以及返还时间。</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招标人不得以任何名义增设或者变相增设保证金或者随意更改招标文件载明的保证金收取形式、金额以及返还时间。招标人不得在资格预审期间收取任何形式的保证金。</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第四十一条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招标人应当向评标委员会提供评标所必需的信息，但不得明示或者暗示其倾向或者排斥特定投标人。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评标所必需的信息主要包括招标文件、招标文件的澄清或者修改、开标记录、投标文件、资格预审文件。招标人可以协助评标委员会开展下列工作并提供相关信息：（一）根据招标文件，编制评标使用的相应表格；（二）对投标报价进行算术性校核；（三）以评标标准和方法为依据，列出投标文件相对于招标文件的所有偏差，并进行归类汇总；（四）查询公路建设市场信用信息管理系统，对投标人的资质、业绩、主要人员资历和目前在岗情况、信用等级进行核实。</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招标人不得对投标文件作出任何评价，不得故意遗漏或者片面摘录，不得在评标委员会对所有偏差定性之前透露存有偏差的投标人名称。</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评标委员会应当根据招标文件规定，全面、独立评审所有投标文件，并对招标人提供的上述相关信息进行核查，发现错误或者遗漏的，应当进行修正。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第五十三条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依法必须进行招标的公路工程建设项目，招标人应当自收到评标报告之日起3日内，在对该项目具有招标监督职责的交通运输主管部门政府网站或者其指定的其他网站上公示中标候选人，公示期不得少于3日，公示内容包括：（一）中标候选人排序、名称、投标报价；（二）中标候选人在投标文件中承诺的主要人员姓名、个人业绩、相关证书编号；（三）中标候选人在投标文件中填报的项目业绩；（四）被否决投标的投标人名称、否决依据和原因；（五）招标文件规定公示的其他内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投标人或者其他利害关系人对依法必须进行招标的公路工程建设项目的评标结果有异议的，应当在中标候选人公示期间提出。招标人应当自收到异议之日起3日内作出答复；作出答复前，应当暂停招标投标活动。</w:t>
            </w:r>
          </w:p>
          <w:p w14:paraId="7F698F0B">
            <w:pPr>
              <w:keepNext w:val="0"/>
              <w:keepLines w:val="0"/>
              <w:pageBreakBefore w:val="0"/>
              <w:widowControl/>
              <w:kinsoku/>
              <w:wordWrap/>
              <w:overflowPunct/>
              <w:topLinePunct w:val="0"/>
              <w:autoSpaceDE/>
              <w:autoSpaceDN/>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第六十八条  招标人有下列情形之一的，由交通运输主管部门责令改正，可以处三万元以下的罚款：（一）不满足本办法第八条规定的条件而进行招标的；（二）不按照本办法规定将资格预审文件、招标文件和招标投标情况的书面报告备案的；（三）邀请招标不依法发出投标邀请书的；（四）不按照项目审批、核准部门确定的招标范围、招标方式、招标组织形式进行招标的；（五）不按照本办法规定编制资格预审文件或者招标文件的；（六）由于招标人原因导致资格审查报告存在重大偏差且影响资格预审结果的；（七）挪用投标保证金，增设或者变相增设保证金的；（八）投标人数量不符合法定要求不重新招标的；（九）向评标委员会提供的评标信息不符合本办法规定的；（十）不按照本办法规定公示中标候选人的；（十一）招标文件中规定的履约保证金的金额、支付形式不符合本办法规定的。</w:t>
            </w:r>
          </w:p>
        </w:tc>
        <w:tc>
          <w:tcPr>
            <w:tcW w:w="1549" w:type="dxa"/>
            <w:shd w:val="clear" w:color="auto" w:fill="auto"/>
            <w:vAlign w:val="center"/>
          </w:tcPr>
          <w:p w14:paraId="60C24C6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2F2CC8B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84D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14E0AF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29</w:t>
            </w:r>
          </w:p>
        </w:tc>
        <w:tc>
          <w:tcPr>
            <w:tcW w:w="1104" w:type="dxa"/>
            <w:shd w:val="clear" w:color="auto" w:fill="auto"/>
            <w:tcMar>
              <w:left w:w="57" w:type="dxa"/>
              <w:right w:w="57" w:type="dxa"/>
            </w:tcMar>
            <w:vAlign w:val="center"/>
          </w:tcPr>
          <w:p w14:paraId="001544F7">
            <w:pPr>
              <w:pStyle w:val="11"/>
              <w:keepNext w:val="0"/>
              <w:keepLines w:val="0"/>
              <w:pageBreakBefore w:val="0"/>
              <w:widowControl/>
              <w:kinsoku/>
              <w:wordWrap/>
              <w:overflowPunct/>
              <w:topLinePunct w:val="0"/>
              <w:autoSpaceDE/>
              <w:autoSpaceDN/>
              <w:bidi w:val="0"/>
              <w:adjustRightInd/>
              <w:snapToGrid/>
              <w:spacing w:line="22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对交通运输建设工程领域建设单位未将保证安全施工的措施或者拆除工程的有关资料报送有关部门备案行为的行政处罚</w:t>
            </w:r>
          </w:p>
        </w:tc>
        <w:tc>
          <w:tcPr>
            <w:tcW w:w="1104" w:type="dxa"/>
            <w:shd w:val="clear" w:color="auto" w:fill="auto"/>
            <w:tcMar>
              <w:top w:w="0" w:type="dxa"/>
              <w:left w:w="0" w:type="dxa"/>
              <w:bottom w:w="0" w:type="dxa"/>
              <w:right w:w="0" w:type="dxa"/>
            </w:tcMar>
            <w:vAlign w:val="center"/>
          </w:tcPr>
          <w:p w14:paraId="3C23EC7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F48B923">
            <w:pPr>
              <w:keepNext w:val="0"/>
              <w:keepLines w:val="0"/>
              <w:pageBreakBefore w:val="0"/>
              <w:widowControl/>
              <w:wordWrap/>
              <w:overflowPunct/>
              <w:topLinePunct w:val="0"/>
              <w:bidi w:val="0"/>
              <w:spacing w:line="240" w:lineRule="exact"/>
              <w:ind w:left="0" w:right="0" w:firstLine="361" w:firstLineChars="20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　建设单位在申请领取施工许可证时，应当提供建设工程有关安全施工措施的资料。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依法批准开工报告的建设工程，建设单位应当自开工报告批准之日起15日内，将保证安全施工的措施报送建设工程所在地的县级以上地方人民政府建设行政主管部门或者其他有关部门备案。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第五十四条第二款  建设单位未将保证安全施工的措施或者拆除工程的有关资料报送有关部门备案的，责令限期改正，给予警告。</w:t>
            </w:r>
          </w:p>
        </w:tc>
        <w:tc>
          <w:tcPr>
            <w:tcW w:w="1549" w:type="dxa"/>
            <w:shd w:val="clear" w:color="auto" w:fill="auto"/>
            <w:vAlign w:val="center"/>
          </w:tcPr>
          <w:p w14:paraId="2F4E0E2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4ECF8D0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875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trPr>
        <w:tc>
          <w:tcPr>
            <w:tcW w:w="620" w:type="dxa"/>
            <w:vAlign w:val="center"/>
          </w:tcPr>
          <w:p w14:paraId="0A96B96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30</w:t>
            </w:r>
          </w:p>
        </w:tc>
        <w:tc>
          <w:tcPr>
            <w:tcW w:w="1104" w:type="dxa"/>
            <w:shd w:val="clear" w:color="auto" w:fill="auto"/>
            <w:tcMar>
              <w:left w:w="57" w:type="dxa"/>
              <w:right w:w="57" w:type="dxa"/>
            </w:tcMar>
            <w:vAlign w:val="center"/>
          </w:tcPr>
          <w:p w14:paraId="24CB98E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对交通运输建设工程领域建设单位对其他从业单位提出不符合安全生产法律、法规和强制性标准规定的要求行为的行政处罚</w:t>
            </w:r>
          </w:p>
        </w:tc>
        <w:tc>
          <w:tcPr>
            <w:tcW w:w="1104" w:type="dxa"/>
            <w:shd w:val="clear" w:color="auto" w:fill="auto"/>
            <w:tcMar>
              <w:top w:w="0" w:type="dxa"/>
              <w:left w:w="0" w:type="dxa"/>
              <w:bottom w:w="0" w:type="dxa"/>
              <w:right w:w="0" w:type="dxa"/>
            </w:tcMar>
            <w:vAlign w:val="center"/>
          </w:tcPr>
          <w:p w14:paraId="2A5548D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0B26931A">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　建设单位不得对勘察、设计、施工、工程监理等单位提出不符合建设工程安全生产法律、法规和强制性标准规定的要求，不得压缩合同约定的工期。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第五十五条第（一）项  违反本条例的规定，建设单位有下列行为之一的，责令限期改正，处20万元以上50万元以下的罚款；造成重大安全事故，构成犯罪的，对直接责任人员，依照刑法有关规定追究刑事责任；造成损失的，依法承担赔偿责任：（一）对勘察、设计、施工、工程监理等单位提出不符合安全生产法律、法规和强制性标准规定的要求的。</w:t>
            </w:r>
          </w:p>
        </w:tc>
        <w:tc>
          <w:tcPr>
            <w:tcW w:w="1549" w:type="dxa"/>
            <w:shd w:val="clear" w:color="auto" w:fill="auto"/>
            <w:vAlign w:val="center"/>
          </w:tcPr>
          <w:p w14:paraId="5E1110B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C2FB18F">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F027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3" w:hRule="atLeast"/>
        </w:trPr>
        <w:tc>
          <w:tcPr>
            <w:tcW w:w="620" w:type="dxa"/>
            <w:vAlign w:val="center"/>
          </w:tcPr>
          <w:p w14:paraId="77F373D3">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31</w:t>
            </w:r>
          </w:p>
        </w:tc>
        <w:tc>
          <w:tcPr>
            <w:tcW w:w="1104" w:type="dxa"/>
            <w:shd w:val="clear" w:color="auto" w:fill="auto"/>
            <w:tcMar>
              <w:left w:w="57" w:type="dxa"/>
              <w:right w:w="57" w:type="dxa"/>
            </w:tcMar>
            <w:vAlign w:val="center"/>
          </w:tcPr>
          <w:p w14:paraId="3B65F05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对交通运输领域建设工程勘察单位、设计单位未按照法律、法规和工程建设强制性标准进行勘察、设计等行为的行政处罚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4E06E75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803A30B">
            <w:pPr>
              <w:keepNext w:val="0"/>
              <w:keepLines w:val="0"/>
              <w:pageBreakBefore w:val="0"/>
              <w:widowControl/>
              <w:kinsoku/>
              <w:wordWrap/>
              <w:overflowPunct/>
              <w:topLinePunct w:val="0"/>
              <w:autoSpaceDE/>
              <w:autoSpaceDN/>
              <w:bidi w:val="0"/>
              <w:adjustRightInd/>
              <w:snapToGrid/>
              <w:spacing w:line="240" w:lineRule="exact"/>
              <w:ind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第四条　建设单位、勘察单位、设计单位、施工单位、工程监理单位及其他与建设工程安全生产有关的单位，必须遵守安全生产法律、法规的规定，保证建设工程安全生产，依法承担建设工程安全生产责任。</w:t>
            </w:r>
          </w:p>
          <w:p w14:paraId="3AF80A1F">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第十二条　勘察单位应当按照法律、法规和工程建设强制性标准进行勘察，提供的勘察文件应当真实、准确，满足建设工程安全生产的需要。</w:t>
            </w:r>
          </w:p>
          <w:p w14:paraId="5D89D23C">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勘察单位在勘察作业时，应当严格执行操作规程，采取措施保证各类管线、设施和周边建筑物、构筑物的安全。</w:t>
            </w:r>
          </w:p>
          <w:p w14:paraId="434B082E">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第十三条　设计单位应当按照法律、法规和工程建设强制性标准进行设计，防止因设计不合理导致生产安全事故的发生。</w:t>
            </w:r>
          </w:p>
          <w:p w14:paraId="78C12502">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设计单位应当考虑施工安全操作和防护的需要，对涉及施工安全的重点部位和环节在设计文件中注明，并对防范生产安全事故提出指导意见。</w:t>
            </w:r>
          </w:p>
          <w:p w14:paraId="09DF0D5B">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采用新结构、新材料、新工艺的建设工程和特殊结构的建设工程，设计单位应当在设计中提出保障施工作业人员安全和预防生产安全事故的措施建议。</w:t>
            </w:r>
          </w:p>
          <w:p w14:paraId="048AB6B6">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设计单位和注册建筑师等注册执业人员应当对其设计负责。</w:t>
            </w:r>
          </w:p>
          <w:p w14:paraId="2EA8EA58">
            <w:pPr>
              <w:keepNext w:val="0"/>
              <w:keepLines w:val="0"/>
              <w:pageBreakBefore w:val="0"/>
              <w:widowControl/>
              <w:kinsoku/>
              <w:wordWrap/>
              <w:overflowPunct/>
              <w:topLinePunct w:val="0"/>
              <w:autoSpaceDE/>
              <w:autoSpaceDN/>
              <w:bidi w:val="0"/>
              <w:adjustRightInd/>
              <w:snapToGrid/>
              <w:spacing w:line="240" w:lineRule="exact"/>
              <w:ind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第五十六条  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一）未按照法律、法规和工程建设强制性标准进行勘察、设计的；（二）采用新结构、新材料、新工艺的建设工程和特殊结构的建设工程，设计单位未在设计中提出保障施工作业人员安全和预防生产安全事故的措施建议的。</w:t>
            </w:r>
          </w:p>
        </w:tc>
        <w:tc>
          <w:tcPr>
            <w:tcW w:w="1549" w:type="dxa"/>
            <w:shd w:val="clear" w:color="auto" w:fill="auto"/>
            <w:vAlign w:val="center"/>
          </w:tcPr>
          <w:p w14:paraId="1934090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911F97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948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7" w:hRule="atLeast"/>
        </w:trPr>
        <w:tc>
          <w:tcPr>
            <w:tcW w:w="620" w:type="dxa"/>
            <w:vAlign w:val="center"/>
          </w:tcPr>
          <w:p w14:paraId="4FC2C6A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32</w:t>
            </w:r>
          </w:p>
        </w:tc>
        <w:tc>
          <w:tcPr>
            <w:tcW w:w="1104" w:type="dxa"/>
            <w:shd w:val="clear" w:color="auto" w:fill="auto"/>
            <w:tcMar>
              <w:left w:w="57" w:type="dxa"/>
              <w:right w:w="57" w:type="dxa"/>
            </w:tcMar>
            <w:vAlign w:val="center"/>
          </w:tcPr>
          <w:p w14:paraId="7EB2E0D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对交通运输领域建设工程监理单位未对施工组织设计中的安全技术措施或者专项施工方案进行审查等行为的行政处罚</w:t>
            </w:r>
          </w:p>
        </w:tc>
        <w:tc>
          <w:tcPr>
            <w:tcW w:w="1104" w:type="dxa"/>
            <w:shd w:val="clear" w:color="auto" w:fill="auto"/>
            <w:tcMar>
              <w:top w:w="0" w:type="dxa"/>
              <w:left w:w="0" w:type="dxa"/>
              <w:bottom w:w="0" w:type="dxa"/>
              <w:right w:w="0" w:type="dxa"/>
            </w:tcMar>
            <w:vAlign w:val="center"/>
          </w:tcPr>
          <w:p w14:paraId="48662D4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515F7DB">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第十四条第一款　工程监理单位应当审查施工组织设计中的安全技术措施或者专项施工方案是否符合工程建设强制性标准。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违反本条例的规定，工程监理单位有下列行为之一的，责令限期改正；逾期未改正的，责令停业整顿，并处 10万元以上30万元以下的罚款；情节严重的，降低资质等级，直至吊销资质证书；造成重大安全事故，构成犯罪的，对直接责任人员，依照刑法有关规定追究刑事责任；造成损失的，依法承担赔偿责任：（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w:t>
            </w:r>
          </w:p>
        </w:tc>
        <w:tc>
          <w:tcPr>
            <w:tcW w:w="1549" w:type="dxa"/>
            <w:shd w:val="clear" w:color="auto" w:fill="auto"/>
            <w:vAlign w:val="center"/>
          </w:tcPr>
          <w:p w14:paraId="17D2A617">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237B500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205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2" w:hRule="atLeast"/>
        </w:trPr>
        <w:tc>
          <w:tcPr>
            <w:tcW w:w="620" w:type="dxa"/>
            <w:vAlign w:val="center"/>
          </w:tcPr>
          <w:p w14:paraId="3A486943">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33</w:t>
            </w:r>
          </w:p>
        </w:tc>
        <w:tc>
          <w:tcPr>
            <w:tcW w:w="1104" w:type="dxa"/>
            <w:shd w:val="clear" w:color="auto" w:fill="auto"/>
            <w:tcMar>
              <w:left w:w="57" w:type="dxa"/>
              <w:right w:w="57" w:type="dxa"/>
            </w:tcMar>
            <w:vAlign w:val="center"/>
          </w:tcPr>
          <w:p w14:paraId="5A97532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对交通运输领域注册执业人员未执行法律、法规和工程建设强制性标准行为的行政处罚</w:t>
            </w:r>
          </w:p>
        </w:tc>
        <w:tc>
          <w:tcPr>
            <w:tcW w:w="1104" w:type="dxa"/>
            <w:shd w:val="clear" w:color="auto" w:fill="auto"/>
            <w:tcMar>
              <w:top w:w="0" w:type="dxa"/>
              <w:left w:w="0" w:type="dxa"/>
              <w:bottom w:w="0" w:type="dxa"/>
              <w:right w:w="0" w:type="dxa"/>
            </w:tcMar>
            <w:vAlign w:val="center"/>
          </w:tcPr>
          <w:p w14:paraId="5F3354F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9A985D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第十三条第一款第四款　设计单位应当按照法律、法规和工程建设强制性标准进行设计，防止因设计不合理导致生产安全事故的发生。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设计单位和注册建筑师等注册执业人员应当对其设计负责。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第十四条第一款第三款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工程监理单位应当审查施工组织设计中的安全技术措施或者专项施工方案是否符合工程建设强制性标准。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工程监理单位和监理工程师应当按照法律、法规和工程建设强制性标准实施监理，并对建设工程安全生产承担监理责任。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第五十八条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tc>
        <w:tc>
          <w:tcPr>
            <w:tcW w:w="1549" w:type="dxa"/>
            <w:shd w:val="clear" w:color="auto" w:fill="auto"/>
            <w:vAlign w:val="center"/>
          </w:tcPr>
          <w:p w14:paraId="4857233B">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143A43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62D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trPr>
        <w:tc>
          <w:tcPr>
            <w:tcW w:w="620" w:type="dxa"/>
            <w:vAlign w:val="center"/>
          </w:tcPr>
          <w:p w14:paraId="6B6692C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34</w:t>
            </w:r>
          </w:p>
        </w:tc>
        <w:tc>
          <w:tcPr>
            <w:tcW w:w="1104" w:type="dxa"/>
            <w:shd w:val="clear" w:color="auto" w:fill="auto"/>
            <w:tcMar>
              <w:left w:w="57" w:type="dxa"/>
              <w:right w:w="57" w:type="dxa"/>
            </w:tcMar>
            <w:vAlign w:val="center"/>
          </w:tcPr>
          <w:p w14:paraId="691AA81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对交通运输建设工程领域建设工程施工单位挪用列入建设工程概算的安全生产作业环境及安全施工措施所需费用行为的行政处罚</w:t>
            </w:r>
          </w:p>
        </w:tc>
        <w:tc>
          <w:tcPr>
            <w:tcW w:w="1104" w:type="dxa"/>
            <w:shd w:val="clear" w:color="auto" w:fill="auto"/>
            <w:tcMar>
              <w:top w:w="0" w:type="dxa"/>
              <w:left w:w="0" w:type="dxa"/>
              <w:bottom w:w="0" w:type="dxa"/>
              <w:right w:w="0" w:type="dxa"/>
            </w:tcMar>
            <w:vAlign w:val="center"/>
          </w:tcPr>
          <w:p w14:paraId="3A5672C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5FBFA298">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建设单位在编制工程概算时，应当确定建设工程安全作业环境及安全施工措施所需费用。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施工单位对列入建设工程概算的安全作业环境及安全施工措施所需费用，应当用于施工安全防护用具及设施的采购和更新、安全施工措施的落实、安全生产条件的改善，不得挪作他用。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第六十三条  违反本条例的规定，施工单位挪用列入建设工程概算的安全生产作业环境及安全施工措施所需费用的，责令限期改正，处挪用费用20%以上50%以下的罚款；造成损失的，依法承担赔偿责任。</w:t>
            </w:r>
          </w:p>
        </w:tc>
        <w:tc>
          <w:tcPr>
            <w:tcW w:w="1549" w:type="dxa"/>
            <w:shd w:val="clear" w:color="auto" w:fill="auto"/>
            <w:vAlign w:val="center"/>
          </w:tcPr>
          <w:p w14:paraId="5FF44BA7">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23D3B7DF">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286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3F15DEA">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35</w:t>
            </w:r>
          </w:p>
        </w:tc>
        <w:tc>
          <w:tcPr>
            <w:tcW w:w="1104" w:type="dxa"/>
            <w:shd w:val="clear" w:color="auto" w:fill="auto"/>
            <w:tcMar>
              <w:left w:w="57" w:type="dxa"/>
              <w:right w:w="57" w:type="dxa"/>
            </w:tcMar>
            <w:vAlign w:val="center"/>
          </w:tcPr>
          <w:p w14:paraId="5CD3DE2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对交通运输建设工程领域施工单位施工前未对有关安全施工的技术要求作详细说明等行为的行政处罚</w:t>
            </w:r>
          </w:p>
        </w:tc>
        <w:tc>
          <w:tcPr>
            <w:tcW w:w="1104" w:type="dxa"/>
            <w:shd w:val="clear" w:color="auto" w:fill="auto"/>
            <w:tcMar>
              <w:top w:w="0" w:type="dxa"/>
              <w:left w:w="0" w:type="dxa"/>
              <w:bottom w:w="0" w:type="dxa"/>
              <w:right w:w="0" w:type="dxa"/>
            </w:tcMar>
            <w:vAlign w:val="center"/>
          </w:tcPr>
          <w:p w14:paraId="2CE4659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50C1A60C">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第二十七条　建设工程施工前，施工单位负责项目管理的技术人员应当对有关安全施工的技术要求向施工作业班组、作业人员作出详细说明，并由双方签字确认。</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  违反本条例的规定，施工单位有下列行为之一的，责令限期改正；逾期未改正的，责令停业整顿，并处5万元以上10万元以下的罚款；造成重大安全事故，构成犯罪的，对直接责任人员，依照刑法有关规定追究刑事责任：（一）施工前未对有关安全施工的技术要求作出详细说明的；（二）未根据不同施工阶段和周围环境及季节、气候的变化，在施工现场采取相应的安全施工措施，或者在城市市区内的建设工程的施工现场未实行封闭围挡的；（三）在尚未竣工的建筑物内设置集体宿舍的；（四）施工现场临时搭建的建筑物不符合安全使用要求的；（五）未对因建设工程施工可能造成损害的毗邻建筑物、构筑物和地下管线等采取专项防护措施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施工单位有前款规定第（四）项、第（五）项行为，造成损失的，依法承担责任。</w:t>
            </w:r>
          </w:p>
        </w:tc>
        <w:tc>
          <w:tcPr>
            <w:tcW w:w="1549" w:type="dxa"/>
            <w:shd w:val="clear" w:color="auto" w:fill="auto"/>
            <w:vAlign w:val="center"/>
          </w:tcPr>
          <w:p w14:paraId="3BA5A591">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1688084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DB3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4AB1F1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36</w:t>
            </w:r>
          </w:p>
        </w:tc>
        <w:tc>
          <w:tcPr>
            <w:tcW w:w="1104" w:type="dxa"/>
            <w:shd w:val="clear" w:color="auto" w:fill="auto"/>
            <w:tcMar>
              <w:left w:w="57" w:type="dxa"/>
              <w:right w:w="57" w:type="dxa"/>
            </w:tcMar>
            <w:vAlign w:val="center"/>
          </w:tcPr>
          <w:p w14:paraId="6BD0470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对交通运输建设工程领域施工单位安全防护用具、机械设备、施工机具及配件未经查验合格即投入使用等行为的行政处罚</w:t>
            </w:r>
          </w:p>
        </w:tc>
        <w:tc>
          <w:tcPr>
            <w:tcW w:w="1104" w:type="dxa"/>
            <w:shd w:val="clear" w:color="auto" w:fill="auto"/>
            <w:tcMar>
              <w:top w:w="0" w:type="dxa"/>
              <w:left w:w="0" w:type="dxa"/>
              <w:bottom w:w="0" w:type="dxa"/>
              <w:right w:w="0" w:type="dxa"/>
            </w:tcMar>
            <w:vAlign w:val="center"/>
          </w:tcPr>
          <w:p w14:paraId="1A109B3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09B69538">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第三十四条　施工单位采购、租赁的安全防护用具、机械设备、施工机具及配件，应当具有生产（制造）许可证、产品合格证，并在进入施工现场前进行查验。</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施工现场的安全防护用具、机械设备、施工机具及配件必须由专人管理，定期进行检查、维修和保养，建立相应的资料档案，并按照国家有关规定及时报废。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  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一)安全防护用具、机械设备、施工机具及配件在进入施工现场前未经查验或者查验不合格即投入使用的；(二)使用未经验收或者验收不合格的施工起重机械和整体提升脚手架、模板等自升式架设设施的；(三)委托不具有相应资质的单位承担施工现场安装、拆卸施工起重机械和整体提升脚手架、模板等自升式架设设施的；(四)在施工组织设计中未编制安全技术措施、施工现场临时用电方案或者专项施工方案的。</w:t>
            </w:r>
          </w:p>
        </w:tc>
        <w:tc>
          <w:tcPr>
            <w:tcW w:w="1549" w:type="dxa"/>
            <w:shd w:val="clear" w:color="auto" w:fill="auto"/>
            <w:vAlign w:val="center"/>
          </w:tcPr>
          <w:p w14:paraId="3B164683">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CE0468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144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0EAF02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37</w:t>
            </w:r>
          </w:p>
        </w:tc>
        <w:tc>
          <w:tcPr>
            <w:tcW w:w="1104" w:type="dxa"/>
            <w:shd w:val="clear" w:color="auto" w:fill="auto"/>
            <w:tcMar>
              <w:left w:w="57" w:type="dxa"/>
              <w:right w:w="57" w:type="dxa"/>
            </w:tcMar>
            <w:vAlign w:val="center"/>
          </w:tcPr>
          <w:p w14:paraId="402EA66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对交通运输领域建设单位将工程业务发包给不具有勘察、设计资质等级的单位等行为的行政处罚</w:t>
            </w:r>
          </w:p>
        </w:tc>
        <w:tc>
          <w:tcPr>
            <w:tcW w:w="1104" w:type="dxa"/>
            <w:shd w:val="clear" w:color="auto" w:fill="auto"/>
            <w:tcMar>
              <w:top w:w="0" w:type="dxa"/>
              <w:left w:w="0" w:type="dxa"/>
              <w:bottom w:w="0" w:type="dxa"/>
              <w:right w:w="0" w:type="dxa"/>
            </w:tcMar>
            <w:vAlign w:val="center"/>
          </w:tcPr>
          <w:p w14:paraId="6A17CC0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8C2A4EB">
            <w:pPr>
              <w:keepNext w:val="0"/>
              <w:keepLines w:val="0"/>
              <w:pageBreakBefore w:val="0"/>
              <w:widowControl/>
              <w:kinsoku/>
              <w:wordWrap/>
              <w:overflowPunct/>
              <w:topLinePunct w:val="0"/>
              <w:autoSpaceDE/>
              <w:autoSpaceDN/>
              <w:bidi w:val="0"/>
              <w:adjustRightInd/>
              <w:snapToGrid/>
              <w:spacing w:line="220" w:lineRule="exact"/>
              <w:ind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w:t>
            </w:r>
            <w:r>
              <w:rPr>
                <w:rFonts w:hint="eastAsia" w:asciiTheme="majorEastAsia" w:hAnsiTheme="majorEastAsia" w:eastAsiaTheme="majorEastAsia" w:cstheme="majorEastAsia"/>
                <w:b w:val="0"/>
                <w:bCs w:val="0"/>
                <w:color w:val="000000"/>
                <w:kern w:val="0"/>
                <w:sz w:val="18"/>
                <w:szCs w:val="18"/>
                <w:lang w:eastAsia="zh-CN"/>
              </w:rPr>
              <w:t>第一款</w:t>
            </w:r>
            <w:r>
              <w:rPr>
                <w:rFonts w:hint="eastAsia" w:asciiTheme="majorEastAsia" w:hAnsiTheme="majorEastAsia" w:eastAsiaTheme="majorEastAsia" w:cstheme="majorEastAsia"/>
                <w:b w:val="0"/>
                <w:bCs w:val="0"/>
                <w:color w:val="000000"/>
                <w:kern w:val="0"/>
                <w:sz w:val="18"/>
                <w:szCs w:val="18"/>
              </w:rPr>
              <w:t>　建设单位应当将工程发包给具有相应资质等级的单位。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第十二条第一款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违反本条例规定，建设单位将建设工程发包给不具有相应资质等级的勘察、设计、施工单位或者委托给不具有相应资质等级的工程监理单位的，责令改正，处50万元以上100万元以下的罚款。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建设工程勘察、设计单位应当在其资质等级许可的范围内承揽建设工程勘察、设计业务。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第三十八条  违反本条例规定，发包方将建设工程勘察、设计业务发包给不具有相应资质等级的建设工程勘察、设计单位的，责令改正，处50万元以上100万元以下的罚款。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3.</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公路建设项目法人应当依法选择勘察、设计、施工、咨询、监理单位，采购与工程建设有关的重要设备、材料，办理施工许可，组织项目实施，组织项目交工验收，准备项目竣工验收和后评价。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第三十八条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第十二条规定，项目法人将工程发包给不具有相应资质等级的勘察、设计、施工和监理单位的，责令改正，处50万元以上100万元以下的罚款；未按规定办理施工许可擅自施工的，责令停止施工、限期改正，视情节可处工程合同价款1％以上2％以下罚款。</w:t>
            </w:r>
          </w:p>
        </w:tc>
        <w:tc>
          <w:tcPr>
            <w:tcW w:w="1549" w:type="dxa"/>
            <w:shd w:val="clear" w:color="auto" w:fill="auto"/>
            <w:vAlign w:val="center"/>
          </w:tcPr>
          <w:p w14:paraId="7A469BA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2988C0E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FC4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2A4A71A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38</w:t>
            </w:r>
          </w:p>
        </w:tc>
        <w:tc>
          <w:tcPr>
            <w:tcW w:w="1104" w:type="dxa"/>
            <w:shd w:val="clear" w:color="auto" w:fill="auto"/>
            <w:tcMar>
              <w:left w:w="57" w:type="dxa"/>
              <w:right w:w="57" w:type="dxa"/>
            </w:tcMar>
            <w:vAlign w:val="center"/>
          </w:tcPr>
          <w:p w14:paraId="2ECE6F6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w:t>
            </w:r>
            <w:r>
              <w:rPr>
                <w:rFonts w:hint="eastAsia" w:asciiTheme="majorEastAsia" w:hAnsiTheme="majorEastAsia" w:eastAsiaTheme="majorEastAsia" w:cstheme="majorEastAsia"/>
                <w:b w:val="0"/>
                <w:bCs w:val="0"/>
                <w:color w:val="000000"/>
                <w:kern w:val="0"/>
                <w:sz w:val="18"/>
                <w:szCs w:val="18"/>
                <w:lang w:val="en-US" w:eastAsia="zh-CN"/>
              </w:rPr>
              <w:t>指定分包和指定采购，</w:t>
            </w:r>
            <w:r>
              <w:rPr>
                <w:rFonts w:hint="eastAsia" w:asciiTheme="majorEastAsia" w:hAnsiTheme="majorEastAsia" w:eastAsiaTheme="majorEastAsia" w:cstheme="majorEastAsia"/>
                <w:b w:val="0"/>
                <w:bCs w:val="0"/>
                <w:color w:val="000000"/>
                <w:kern w:val="0"/>
                <w:sz w:val="18"/>
                <w:szCs w:val="18"/>
              </w:rPr>
              <w:t>随意压缩工期行为的行政处罚</w:t>
            </w:r>
          </w:p>
        </w:tc>
        <w:tc>
          <w:tcPr>
            <w:tcW w:w="1104" w:type="dxa"/>
            <w:shd w:val="clear" w:color="auto" w:fill="auto"/>
            <w:tcMar>
              <w:top w:w="0" w:type="dxa"/>
              <w:left w:w="0" w:type="dxa"/>
              <w:bottom w:w="0" w:type="dxa"/>
              <w:right w:w="0" w:type="dxa"/>
            </w:tcMar>
            <w:vAlign w:val="center"/>
          </w:tcPr>
          <w:p w14:paraId="6CEDD7E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13DC693">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第十条第一款　建设工程发包单位不得迫使承包方以低于成本的价格竞标，不得任意压缩合理工期。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第五十六条第（二）项  违反本条例规定，建设单位有下列行为之一的，责令改正，处20万元以上50万元以下的罚款：（二）任意压缩合理工期的。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公路建设项目法人应当承担公路建设相关责任和义务，对建设项目质量、投资和工期负责。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公路建设项目法人必须依法开展招标活动，不得接受投标人低于成本价的投标，不得随意压缩建设工期，禁止指定分包和指定采购。</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第四十一条  违反本办法第十九条规定，项目法人随意压缩工期，侵犯他人合法权益的，责令限期改正，可处20万元以上50万元以下的罚款；造成严重后果的，对全部或部分使用财政性资金的项目，可暂停项目执行或暂缓资金拨付。</w:t>
            </w:r>
          </w:p>
        </w:tc>
        <w:tc>
          <w:tcPr>
            <w:tcW w:w="1549" w:type="dxa"/>
            <w:shd w:val="clear" w:color="auto" w:fill="auto"/>
            <w:vAlign w:val="center"/>
          </w:tcPr>
          <w:p w14:paraId="05DD63B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0CA1920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154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2022851B">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39</w:t>
            </w:r>
          </w:p>
        </w:tc>
        <w:tc>
          <w:tcPr>
            <w:tcW w:w="1104" w:type="dxa"/>
            <w:shd w:val="clear" w:color="auto" w:fill="auto"/>
            <w:tcMar>
              <w:left w:w="57" w:type="dxa"/>
              <w:right w:w="57" w:type="dxa"/>
            </w:tcMar>
            <w:vAlign w:val="center"/>
          </w:tcPr>
          <w:p w14:paraId="15E0A91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对公路水运工程建设项目必须实行工程监理而未实行工程监理行为的行政处罚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7C0A84C6">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8EC9BC2">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下列建设工程必须实行监理：（一）国家重点建设工程；（二）大中型公用事业工程；（三）成片开发建设的住宅小区工程；（四）利用外国政府或者国际组织贷款、援助资金的工程；（五）国家规定必须实行监理的其他工程。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第五十六条第（五）项  违反本条例规定，建设单位有下列行为之一的，责令改正，处20万元以上50万元以下的罚款：（五）建设项目必须实行工程监理而未实行工程监理的。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单位对工程质量负管理责任，应当科学组织管理，落实国家法律、法规、工程建设强制性标准的规定，严格执行国家有关工程建设管理程序，建立健全项目管理责任机制，完善工程项目管理制度，严格落实质量责任制。</w:t>
            </w:r>
          </w:p>
        </w:tc>
        <w:tc>
          <w:tcPr>
            <w:tcW w:w="1549" w:type="dxa"/>
            <w:shd w:val="clear" w:color="auto" w:fill="auto"/>
            <w:vAlign w:val="center"/>
          </w:tcPr>
          <w:p w14:paraId="19B79756">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1F6911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788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57E514A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40</w:t>
            </w:r>
          </w:p>
        </w:tc>
        <w:tc>
          <w:tcPr>
            <w:tcW w:w="1104" w:type="dxa"/>
            <w:shd w:val="clear" w:color="auto" w:fill="auto"/>
            <w:tcMar>
              <w:left w:w="57" w:type="dxa"/>
              <w:right w:w="57" w:type="dxa"/>
            </w:tcMar>
            <w:vAlign w:val="center"/>
          </w:tcPr>
          <w:p w14:paraId="25430DD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对交通运输领域建设单位未按照国家规定办理工程质量监督手续的行政处罚</w:t>
            </w:r>
          </w:p>
        </w:tc>
        <w:tc>
          <w:tcPr>
            <w:tcW w:w="1104" w:type="dxa"/>
            <w:shd w:val="clear" w:color="auto" w:fill="auto"/>
            <w:tcMar>
              <w:top w:w="0" w:type="dxa"/>
              <w:left w:w="0" w:type="dxa"/>
              <w:bottom w:w="0" w:type="dxa"/>
              <w:right w:w="0" w:type="dxa"/>
            </w:tcMar>
            <w:vAlign w:val="center"/>
          </w:tcPr>
          <w:p w14:paraId="2B4C716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A697196">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1.《建设工程质量管理条例》</w:t>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建设单位在开工前，应当按照国家有关规定办理工程质量监督手续，工程质量监督手续可以与施工许可证或者开工报告合并办理。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第五十六条第（六）项  违反本条例规定，建设单位有下列行为之一的，责令改正，处20万元以上50万元以下的罚款：（六）未按照国家规定办理工程质量监督手续的。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交通运输主管部门或者其委托的建设工程质量监督机构依法要求建设单位按规定办理质量监督手续。</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建设单位应当按照国家规定向交通运输主管部门或者其委托的建设工程质量监督机构提交以下材料，办理工程质量监督手续：（一）公路水运工程质量监督管理登记表；（二）交通运输主管部门批复的施工图设计文件；（三）施工、监理合同及招投标文件；（四）建设单位现场管理机构、人员、质量保证体系等文件；（五）本单位以及勘察、设计、施工、监理、试验检测等单位对其项目负责人、质量负责人的书面授权委托书、质量保证体系等文件；（六）依法要求提供的其他相关材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第四十五条  违反本规定第二十二条规定，建设单位未按照规定办理工程质量监督手续的，依照《建设工程质量管理条例》第五十六条规定，责令改正，按以下标准处以罚款：（一）未造成工程质量事故的，处20万元以上30万元以下的罚款；（二）造成工程质量一般事故的，处30万元以上40万元以下的罚款；（三）造成工程质量较大及以上等级事故的，处40万元以上50万元以下的罚款。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  依照《建设工程质量管理条例》规定给予单位罚款处罚的，对单位直接负责的主管人员和其他直接责任人员处单位罚款数额5%以上10%以下的罚款。 </w:t>
            </w:r>
          </w:p>
        </w:tc>
        <w:tc>
          <w:tcPr>
            <w:tcW w:w="1549" w:type="dxa"/>
            <w:shd w:val="clear" w:color="auto" w:fill="auto"/>
            <w:vAlign w:val="center"/>
          </w:tcPr>
          <w:p w14:paraId="1A1AC828">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81A9CB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8DA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C10046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41</w:t>
            </w:r>
          </w:p>
        </w:tc>
        <w:tc>
          <w:tcPr>
            <w:tcW w:w="1104" w:type="dxa"/>
            <w:shd w:val="clear" w:color="auto" w:fill="auto"/>
            <w:tcMar>
              <w:left w:w="57" w:type="dxa"/>
              <w:right w:w="57" w:type="dxa"/>
            </w:tcMar>
            <w:vAlign w:val="center"/>
          </w:tcPr>
          <w:p w14:paraId="2E0B8BD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对水运工程施工图设计未经批准，擅自开工建设等行为的行政处罚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71D7EA5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2718CC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　建设工程发包单位不得迫使承包方以低于成本的价格竞标，不得任意压缩合理工期。</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建设单位不得明示或者暗示设计单位或者施工单位违反工程建设强制性标准，降低建设工程质量。</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第十一条  施工图设计文件审查的具体办法，由国务院建设行政主管部门、国务院其他有关部门制定。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施工图设计文件未经审查批准的，不得使用。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下列建设工程必须实行监理：（一）国家重点建设工程；（二）大中型公用事业工程；（三）成片开发建设的住宅小区工程；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（四）利用外国政府或者国际组织贷款、援助资金的工程；（五）国家规定必须实行监理的其他工程。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建设单位在开工前，应当按照国家有关规定办理工程质量监督手续，工程质量监督手续可以与施工许可证或者开工报告合并办理。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　按照合同约定，由建设单位采购建筑材料、建筑构配件和设备的，建设单位应当保证建筑材料、建筑构配件和设备符合设计文件和合同要求。</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建设单位不得明示或者暗示施工单位使用不合格的建筑材料、建筑构配件和设备。</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　建设单位应当严格按照国家有关档案管理的规定，及时收集、整理建设项目各环节的文件资料，建立、健全建设项目档案，并在建设工程竣工验收后，及时向建设行政主管部门或者其他有关部门移交建设项目档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  违反本条例规定，建设单位有下列行为之一的，责令改正，处20万元以上50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《港口工程建设管理规定》（交通运输部令2019年第32号）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港口工程建设项目设计文件经批准后方可使用。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第三十一条　设计变更发生下列情形之一的，由原初步设计审批部门审批：（一）对工程总平面布置进行重大调整，主要包括水域设计水深、码头或者防波堤顶高程、陆域生产区主要布置形式、防波堤轴向或者口门尺度等；（二）改变主要水工建筑物结构型式；（三）改变主要装卸工艺方案；（四）政府投资港口工程建设项目超出初步设计批准总概算但在项目批准的投资估算10%以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前款规定的设计变更涉及施工图设计重大修改的，还应当由原施工图设计审批部门审批。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第三十二条　设计变更发生下列情形之一的，由原施工图设计审批部门审批：（一）对工程总平面布置进行较大调整，主要包括水域主要布置形式、陆域辅助生产区主要布置形式等；（二）调整主要生产建筑物结构型式；（三）调整主要装卸工艺设备配置规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第六十九条  项目单位有下列行为之一的，由所在地港口行政管理部门责令改正，处20万以上50万以下的罚款：（一）施工图设计未经批准，擅自开工建设的；（二）施工图设计经批准后，对本规定第三十一条、第三十二条规定的情形擅自作出变更或者采取肢解变更内容等方式规避审批并开工建设的。</w:t>
            </w:r>
          </w:p>
        </w:tc>
        <w:tc>
          <w:tcPr>
            <w:tcW w:w="1549" w:type="dxa"/>
            <w:shd w:val="clear" w:color="auto" w:fill="auto"/>
            <w:vAlign w:val="center"/>
          </w:tcPr>
          <w:p w14:paraId="3B132CE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45083B3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76E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7B916F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42</w:t>
            </w:r>
          </w:p>
        </w:tc>
        <w:tc>
          <w:tcPr>
            <w:tcW w:w="1104" w:type="dxa"/>
            <w:shd w:val="clear" w:color="auto" w:fill="auto"/>
            <w:tcMar>
              <w:left w:w="57" w:type="dxa"/>
              <w:right w:w="57" w:type="dxa"/>
            </w:tcMar>
            <w:vAlign w:val="center"/>
          </w:tcPr>
          <w:p w14:paraId="39B14BD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对航道工程建设项目未组织竣工验收或者验收不合格擅自交付使用等行为的行政处罚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74D9C4B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0C67ED1C">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第十六条第一款　建设单位收到建设工程竣工报告后，应当组织设计、施工、工程监理等有关单位进行竣工验收。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第五十八条  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《航道工程建设管理规定》（交通运输部令2019年第44号）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第七条第（八）（九）项　政府投资的航道工程建设项目，一般应当执行以下基本建设程序：（八）工程建成后，编制竣工资料，进行工程竣工验收的各项准备工作；（九）组织竣工验收。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第七十七条  航道工程建设项目未组织竣工验收或者验收不合格，项目单位擅自交付使用的，由具体负责监督管理的交通运输主管部门责令改正，处工程合同价款2%以上4%以下的罚款。</w:t>
            </w:r>
          </w:p>
        </w:tc>
        <w:tc>
          <w:tcPr>
            <w:tcW w:w="1549" w:type="dxa"/>
            <w:shd w:val="clear" w:color="auto" w:fill="auto"/>
            <w:vAlign w:val="center"/>
          </w:tcPr>
          <w:p w14:paraId="4FD23EBE">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9B30D7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00A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2AC95A0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43</w:t>
            </w:r>
          </w:p>
        </w:tc>
        <w:tc>
          <w:tcPr>
            <w:tcW w:w="1104" w:type="dxa"/>
            <w:shd w:val="clear" w:color="auto" w:fill="auto"/>
            <w:tcMar>
              <w:left w:w="57" w:type="dxa"/>
              <w:right w:w="57" w:type="dxa"/>
            </w:tcMar>
            <w:vAlign w:val="center"/>
          </w:tcPr>
          <w:p w14:paraId="6259C0F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对码头或者港口装卸设施、客运设施未经验收合格，擅自投入使用等行为的行政处罚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5C7B087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3045627">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1.《中华人民共和国港口法》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　港口的危险货物作业场所、实施卫生除害处理的专用场所，应当符合港口总体规划和国家有关安全生产、消防、检验检疫和环境保护的要求，其与人口密集区和港口客运设施的距离应当符合国务院有关部门的规定；经依法办理有关手续后，方可建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第十九条第一款　港口设施建设项目竣工后，应当按照国家有关规定经验收合格，方可投入使用。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第四十八条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码头或者港口装卸设施、客运设施未经验收合格，擅自投入使用的，由港口行政管理部门责令停止使用，限期改正，可以处五万元以下罚款。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第十六条第一款　建设单位收到建设工程竣工报告后，应当组织设计、施工、工程监理等有关单位进行竣工验收。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第五十八条  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《港口工程建设管理规定》（交通运输部令2019年第32号）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第九条第（八）（九）款</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政府投资的港口工程建设项目应当执行以下建设程序：（八）工程完工后，编制竣工材料，进行工程竣工验收的各项准备工作；（九）组织竣工验收。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第七十条  项目单位有有下列行为之一，由所在地港口行政管理部门责令停止使用，处工程合同价款2%以上4%以下的罚款：（一）未组织竣工验收或验收不合格，擅自交付使用的；（二）对不符合竣工验收条件和要求的项目按照合格项目验收的。</w:t>
            </w:r>
          </w:p>
        </w:tc>
        <w:tc>
          <w:tcPr>
            <w:tcW w:w="1549" w:type="dxa"/>
            <w:shd w:val="clear" w:color="auto" w:fill="auto"/>
            <w:vAlign w:val="center"/>
          </w:tcPr>
          <w:p w14:paraId="724E6932">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4C775C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3D9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FD2A9AC">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44</w:t>
            </w:r>
          </w:p>
        </w:tc>
        <w:tc>
          <w:tcPr>
            <w:tcW w:w="1104" w:type="dxa"/>
            <w:shd w:val="clear" w:color="auto" w:fill="auto"/>
            <w:tcMar>
              <w:left w:w="57" w:type="dxa"/>
              <w:right w:w="57" w:type="dxa"/>
            </w:tcMar>
            <w:vAlign w:val="center"/>
          </w:tcPr>
          <w:p w14:paraId="75D505C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对交通运输建设工程领域建设单位未按规定移交建设项目档案行为的行政处罚</w:t>
            </w:r>
          </w:p>
        </w:tc>
        <w:tc>
          <w:tcPr>
            <w:tcW w:w="1104" w:type="dxa"/>
            <w:shd w:val="clear" w:color="auto" w:fill="auto"/>
            <w:tcMar>
              <w:top w:w="0" w:type="dxa"/>
              <w:left w:w="0" w:type="dxa"/>
              <w:bottom w:w="0" w:type="dxa"/>
              <w:right w:w="0" w:type="dxa"/>
            </w:tcMar>
            <w:vAlign w:val="center"/>
          </w:tcPr>
          <w:p w14:paraId="57A9BFE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9BE86BD">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　建设单位应当严格按照国家有关档案管理的规定，及时收集、整理建设项目各环节的文件资料，建立、健全建设项目档案，并在建设工程竣工验收后，及时向建设行政主管部门或者其他有关部门移交建设项目档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第五十九条  违反本条例规定，建设工程竣工验收后，建设单位未向建设行政主管部门或者其他有关部门移交建设项目档案的，责令改正，处1万元以上10万元以下的罚款。</w:t>
            </w:r>
          </w:p>
        </w:tc>
        <w:tc>
          <w:tcPr>
            <w:tcW w:w="1549" w:type="dxa"/>
            <w:shd w:val="clear" w:color="auto" w:fill="auto"/>
            <w:vAlign w:val="center"/>
          </w:tcPr>
          <w:p w14:paraId="69B662BA">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3D53208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88F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599667C5">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45</w:t>
            </w:r>
          </w:p>
        </w:tc>
        <w:tc>
          <w:tcPr>
            <w:tcW w:w="1104" w:type="dxa"/>
            <w:shd w:val="clear" w:color="auto" w:fill="auto"/>
            <w:tcMar>
              <w:left w:w="57" w:type="dxa"/>
              <w:right w:w="57" w:type="dxa"/>
            </w:tcMar>
            <w:vAlign w:val="center"/>
          </w:tcPr>
          <w:p w14:paraId="7586F11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对交通运输领域勘察、设计、施工、工程监理单位超越本单位资质等级承揽工程等行为的行政处罚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7A1FD69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19B8B03">
            <w:pPr>
              <w:keepNext w:val="0"/>
              <w:keepLines w:val="0"/>
              <w:pageBreakBefore w:val="0"/>
              <w:widowControl/>
              <w:wordWrap/>
              <w:overflowPunct/>
              <w:topLinePunct w:val="0"/>
              <w:bidi w:val="0"/>
              <w:spacing w:line="240" w:lineRule="exact"/>
              <w:ind w:right="0" w:firstLine="180" w:firstLineChars="1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第十八条　从事建设工程勘察、设计的单位应当依法取得相应等级的资质证书，并在其资质等级许可的范围内承揽工程。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禁止勘察、设计单位超越其资质等级许可的范围或者以其他勘察、设计单位的名义承揽工程。禁止勘察、设计单位允许其他单位或者个人以本单位的名义承揽工程。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勘察、设计单位不得转包或者违法分包所承揽的工程。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第六十条  违反本条例规定，勘察、设计、施工、工程监理单位超越本单位资质等级承揽工程的，责令停止违法行为，对勘察、设计单位或者工程监理单位处合同约定的勘察费、设计费或者监理酬金１倍以上</w:t>
            </w:r>
            <w:r>
              <w:rPr>
                <w:rFonts w:hint="eastAsia" w:asciiTheme="majorEastAsia" w:hAnsiTheme="majorEastAsia" w:eastAsiaTheme="majorEastAsia" w:cstheme="majorEastAsia"/>
                <w:b w:val="0"/>
                <w:bCs w:val="0"/>
                <w:color w:val="000000"/>
                <w:kern w:val="0"/>
                <w:sz w:val="18"/>
                <w:szCs w:val="18"/>
                <w:lang w:val="en-US" w:eastAsia="zh-CN"/>
              </w:rPr>
              <w:t>2</w:t>
            </w:r>
            <w:r>
              <w:rPr>
                <w:rFonts w:hint="eastAsia" w:asciiTheme="majorEastAsia" w:hAnsiTheme="majorEastAsia" w:eastAsiaTheme="majorEastAsia" w:cstheme="majorEastAsia"/>
                <w:b w:val="0"/>
                <w:bCs w:val="0"/>
                <w:color w:val="000000"/>
                <w:kern w:val="0"/>
                <w:sz w:val="18"/>
                <w:szCs w:val="18"/>
              </w:rPr>
              <w:t>倍以下的罚款；对施工单位处工程合同价款百分之二以上百分之四以下的罚款，可以责令停业整顿，降低资质等级；情节严重的，吊销资质证书；有违法所得的，予以没收。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未取得资质证书承揽工程的，予以取缔，依照前款规定处以罚款；有违法所得的，予以没收。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以欺骗手段取得资质证书承揽工程的，吊销资质证书，依照本条第一款规定处以罚款；有违法所得的，予以没收。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建设工程勘察、设计单位应当在其资质等级许可的范围内承揽建设工程勘察、设计业务。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第三十五条  违反本条例第八条规定的，责令停止违法行为，处合同约定的勘察费、设计费1倍以上2倍以下的罚款，有违法所得的，予以没收；可以责令停业整顿，降低资质等级；情节严重的，吊销资质证书。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未取得资质证书承揽工程的，予以取缔，依照前款规定处以罚款；有违法所得的，予以没收。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以欺骗手段取得资质证书承揽工程的，吊销资质证书，依照本条第一款规定处以罚款；有违法所得的，予以没收。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公路建设从业单位应当依法取得公路工程资质证书并按照资质管理有关规定，在其核定的业务范围内承揽工程，禁止无证或越级承揽工程。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公路建设从业单位必须按合同规定履行其义务，禁止转包或违法分包。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第二十条规定，承包单位弄虚作假、无证或越级承揽工程任务的，责令停止违法行为，对勘察、设计单位或工程监理单位处合同约定的勘察费、设计费或监理酬金1倍以上2倍以下的罚款；对施工单位处工程合同价款2％以上4％以下的罚款，可以责令停业整顿，降低资质等级；情节严重的，吊销资质证书；有违法所得的，予以没收。承包单位转包或违法分包工程的，责令改正，没收违法所得，对勘察、设计、监理单位处合同约定的勘察费、设计费、监理酬金的25％以上50％以下的罚款；对施工单位处工程合同价款0.5％以上1％以下的罚款。</w:t>
            </w:r>
          </w:p>
        </w:tc>
        <w:tc>
          <w:tcPr>
            <w:tcW w:w="1549" w:type="dxa"/>
            <w:shd w:val="clear" w:color="auto" w:fill="auto"/>
            <w:vAlign w:val="center"/>
          </w:tcPr>
          <w:p w14:paraId="7439C7E7">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EEBDD1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85E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9B6BA04">
            <w:pPr>
              <w:pStyle w:val="11"/>
              <w:numPr>
                <w:ilvl w:val="0"/>
                <w:numId w:val="0"/>
              </w:numPr>
              <w:spacing w:before="0" w:line="240" w:lineRule="exact"/>
              <w:ind w:left="0" w:leftChars="0" w:right="0" w:rightChars="0" w:firstLine="0" w:firstLineChars="0"/>
              <w:jc w:val="center"/>
              <w:rPr>
                <w:rFonts w:ascii="宋体" w:hAnsi="宋体" w:eastAsia="宋体" w:cs="宋体"/>
                <w:b w:val="0"/>
                <w:bCs w:val="0"/>
                <w:snapToGrid w:val="0"/>
                <w:color w:val="000000"/>
                <w:spacing w:val="-4"/>
                <w:kern w:val="0"/>
                <w:sz w:val="18"/>
                <w:szCs w:val="18"/>
                <w:lang w:val="en-US" w:eastAsia="zh-CN" w:bidi="ar-SA"/>
              </w:rPr>
            </w:pPr>
            <w:r>
              <w:rPr>
                <w:rFonts w:ascii="宋体" w:hAnsi="宋体" w:eastAsia="宋体" w:cs="宋体"/>
                <w:b w:val="0"/>
                <w:bCs w:val="0"/>
                <w:snapToGrid w:val="0"/>
                <w:color w:val="000000"/>
                <w:spacing w:val="-4"/>
                <w:kern w:val="0"/>
                <w:sz w:val="18"/>
                <w:szCs w:val="18"/>
                <w:lang w:val="en-US" w:eastAsia="zh-CN" w:bidi="ar-SA"/>
              </w:rPr>
              <w:t>46</w:t>
            </w:r>
          </w:p>
        </w:tc>
        <w:tc>
          <w:tcPr>
            <w:tcW w:w="1104" w:type="dxa"/>
            <w:shd w:val="clear" w:color="auto" w:fill="auto"/>
            <w:tcMar>
              <w:left w:w="57" w:type="dxa"/>
              <w:right w:w="57" w:type="dxa"/>
            </w:tcMar>
            <w:vAlign w:val="center"/>
          </w:tcPr>
          <w:p w14:paraId="2E1CF7F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对交通运输建设工程领域从业单位出借资质行为的行政处罚</w:t>
            </w:r>
          </w:p>
        </w:tc>
        <w:tc>
          <w:tcPr>
            <w:tcW w:w="1104" w:type="dxa"/>
            <w:shd w:val="clear" w:color="auto" w:fill="auto"/>
            <w:tcMar>
              <w:top w:w="0" w:type="dxa"/>
              <w:left w:w="0" w:type="dxa"/>
              <w:bottom w:w="0" w:type="dxa"/>
              <w:right w:w="0" w:type="dxa"/>
            </w:tcMar>
            <w:vAlign w:val="center"/>
          </w:tcPr>
          <w:p w14:paraId="292F03B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cs="宋体"/>
                <w:b w:val="0"/>
                <w:bCs w:val="0"/>
                <w:color w:val="000000"/>
                <w:kern w:val="0"/>
                <w:sz w:val="18"/>
                <w:szCs w:val="18"/>
                <w:lang w:eastAsia="zh-CN"/>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08AD09B">
            <w:pPr>
              <w:keepNext w:val="0"/>
              <w:keepLines w:val="0"/>
              <w:pageBreakBefore w:val="0"/>
              <w:widowControl/>
              <w:numPr>
                <w:ilvl w:val="0"/>
                <w:numId w:val="0"/>
              </w:numPr>
              <w:wordWrap/>
              <w:overflowPunct/>
              <w:topLinePunct w:val="0"/>
              <w:bidi w:val="0"/>
              <w:spacing w:line="240" w:lineRule="exact"/>
              <w:ind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val="en-US" w:eastAsia="zh-CN" w:bidi="ar-SA"/>
              </w:rPr>
              <w:t>1.</w:t>
            </w: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第十八条第二款  禁止勘察、设计单位超越其资质等级许可的范围或者以其他勘察、设计单位的名义承揽工程。禁止勘察、设计单位允许其他单位或者个人以本单位的名义承揽工程。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第六十一条  违反本条例规定，勘察、设计、施工、工程监理单位允许其他单位或者个人以本单位名义承揽工程的，责令改正，没收违法所得，对勘察、设计单位和工程监理单位处合同约定的勘察费、设计费和监理酬金１倍以上２倍以下的罚款；对施工单位处工程合同价款百分之二以上百分之四以下的罚款；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建设工程勘察、设计单位应当在其资质等级许可的范围内承揽建设工程勘察、设计业务。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p>
          <w:p w14:paraId="28AF72D3">
            <w:pPr>
              <w:keepNext w:val="0"/>
              <w:keepLines w:val="0"/>
              <w:pageBreakBefore w:val="0"/>
              <w:widowControl/>
              <w:numPr>
                <w:ilvl w:val="-1"/>
                <w:numId w:val="0"/>
              </w:numPr>
              <w:wordWrap/>
              <w:overflowPunct/>
              <w:topLinePunct w:val="0"/>
              <w:bidi w:val="0"/>
              <w:spacing w:line="240" w:lineRule="exact"/>
              <w:ind w:right="0" w:firstLine="360" w:firstLineChars="200"/>
              <w:jc w:val="left"/>
              <w:rPr>
                <w:rFonts w:hint="eastAsia" w:asciiTheme="majorEastAsia" w:hAnsiTheme="majorEastAsia" w:eastAsiaTheme="majorEastAsia" w:cstheme="majorEastAsia"/>
                <w:b/>
                <w:bCs/>
                <w:color w:val="000000"/>
                <w:kern w:val="0"/>
                <w:sz w:val="18"/>
                <w:szCs w:val="18"/>
                <w:lang w:eastAsia="zh-CN"/>
              </w:rPr>
            </w:pPr>
            <w:r>
              <w:rPr>
                <w:rFonts w:hint="eastAsia" w:asciiTheme="majorEastAsia" w:hAnsiTheme="majorEastAsia" w:eastAsiaTheme="majorEastAsia" w:cstheme="majorEastAsia"/>
                <w:b w:val="0"/>
                <w:bCs w:val="0"/>
                <w:color w:val="000000"/>
                <w:kern w:val="0"/>
                <w:sz w:val="18"/>
                <w:szCs w:val="18"/>
              </w:rPr>
              <w:t>第三十五条第一款  违反本条例第八条规定的，责令停止违法行为，处合同约定的勘察费、设计费1倍以上2倍以下的罚款，有违法所得的，予以没收；可以责令停业整顿，降低资质等级；情节严重的，吊销资质证书。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3.《中华人民共和国招标投标法实施条例》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第六十九条  出让或者出租资格、资质证书供他人投标的，依照法律、行政法规的规定给予行政处罚；构成犯罪的，依法追究刑事责任。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bCs/>
                <w:color w:val="000000"/>
                <w:kern w:val="0"/>
                <w:sz w:val="18"/>
                <w:szCs w:val="18"/>
                <w:lang w:val="en-US" w:eastAsia="zh-CN"/>
              </w:rPr>
              <w:t xml:space="preserve">  </w:t>
            </w:r>
            <w:r>
              <w:rPr>
                <w:rFonts w:hint="eastAsia" w:asciiTheme="majorEastAsia" w:hAnsiTheme="majorEastAsia" w:eastAsiaTheme="majorEastAsia" w:cstheme="majorEastAsia"/>
                <w:b/>
                <w:bCs/>
                <w:color w:val="000000"/>
                <w:kern w:val="0"/>
                <w:sz w:val="18"/>
                <w:szCs w:val="18"/>
              </w:rPr>
              <w:t>4.《水运建设市场监督管理办法》（交通运输部令2016年第74号</w:t>
            </w:r>
            <w:r>
              <w:rPr>
                <w:rFonts w:hint="eastAsia" w:asciiTheme="majorEastAsia" w:hAnsiTheme="majorEastAsia" w:eastAsiaTheme="majorEastAsia" w:cstheme="majorEastAsia"/>
                <w:b/>
                <w:bCs/>
                <w:color w:val="000000"/>
                <w:kern w:val="0"/>
                <w:sz w:val="18"/>
                <w:szCs w:val="18"/>
                <w:lang w:eastAsia="zh-CN"/>
              </w:rPr>
              <w:t>）</w:t>
            </w:r>
          </w:p>
          <w:p w14:paraId="7037F7D8">
            <w:pPr>
              <w:keepNext w:val="0"/>
              <w:keepLines w:val="0"/>
              <w:pageBreakBefore w:val="0"/>
              <w:widowControl/>
              <w:numPr>
                <w:ilvl w:val="-1"/>
                <w:numId w:val="0"/>
              </w:numPr>
              <w:wordWrap/>
              <w:overflowPunct/>
              <w:topLinePunct w:val="0"/>
              <w:bidi w:val="0"/>
              <w:spacing w:line="240" w:lineRule="exact"/>
              <w:ind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 第三十八条　违反本办法规定，勘察、设计、施工、工程监理单位允许其他单位或者个人以本单位名义承揽工程的，依照《建设工程质量管理条例》第六十一条规定，责令改正，没收违法所得，按照以下标准处以罚款：（一）勘察、设计、施工、工程监理单位允许有相应资质并符合本工程建设要求的单位或者个人以本单位名义承揽工程的，对勘察、设计单位或者工程监理单位处合同约定的勘察费、设计费或者监理酬金1倍以上1.5倍以下的罚款；对施工单位处工程合同价款2%以上3%以下的罚款；（二）勘察、设计、施工、工程监理单位允许无相应资质的单位或者个人以本单位名义承揽工程的，对勘察、设计单位或者工程监理单位处合同约定的勘察费、设计费或者监理酬金1.5倍以上2倍以下的罚款；对施工单位处工程合同价款3%以上4%以下的罚款。</w:t>
            </w:r>
          </w:p>
        </w:tc>
        <w:tc>
          <w:tcPr>
            <w:tcW w:w="1549" w:type="dxa"/>
            <w:shd w:val="clear" w:color="auto" w:fill="auto"/>
            <w:vAlign w:val="center"/>
          </w:tcPr>
          <w:p w14:paraId="600B9F4A">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eastAsia="zh-CN"/>
              </w:rPr>
            </w:pPr>
            <w:r>
              <w:rPr>
                <w:rFonts w:hint="eastAsia"/>
                <w:color w:val="auto"/>
                <w:spacing w:val="-4"/>
                <w:lang w:eastAsia="zh-CN"/>
              </w:rPr>
              <w:t>衡阳市交通运输局</w:t>
            </w:r>
          </w:p>
        </w:tc>
        <w:tc>
          <w:tcPr>
            <w:tcW w:w="1739" w:type="dxa"/>
            <w:shd w:val="clear" w:color="auto" w:fill="auto"/>
            <w:vAlign w:val="center"/>
          </w:tcPr>
          <w:p w14:paraId="032DBB5E">
            <w:pPr>
              <w:pStyle w:val="11"/>
              <w:kinsoku/>
              <w:spacing w:line="240" w:lineRule="exact"/>
              <w:jc w:val="center"/>
              <w:rPr>
                <w:rFonts w:hint="eastAsia"/>
                <w:b w:val="0"/>
                <w:bCs w:val="0"/>
                <w:spacing w:val="-4"/>
                <w:lang w:eastAsia="zh-CN"/>
              </w:rPr>
            </w:pPr>
            <w:r>
              <w:rPr>
                <w:rFonts w:hint="eastAsia"/>
                <w:color w:val="auto"/>
                <w:spacing w:val="-4"/>
                <w:lang w:eastAsia="zh-CN"/>
              </w:rPr>
              <w:t>衡阳市交通运输综合行政执法支队</w:t>
            </w:r>
          </w:p>
        </w:tc>
      </w:tr>
      <w:tr w14:paraId="6A0D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620" w:type="dxa"/>
            <w:vAlign w:val="center"/>
          </w:tcPr>
          <w:p w14:paraId="265D7C3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47</w:t>
            </w:r>
          </w:p>
        </w:tc>
        <w:tc>
          <w:tcPr>
            <w:tcW w:w="1104" w:type="dxa"/>
            <w:shd w:val="clear" w:color="auto" w:fill="auto"/>
            <w:tcMar>
              <w:left w:w="57" w:type="dxa"/>
              <w:right w:w="57" w:type="dxa"/>
            </w:tcMar>
            <w:vAlign w:val="center"/>
          </w:tcPr>
          <w:p w14:paraId="531E382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对交通运输建设工程领域工程监理单位转让工程监理业务行为的处罚</w:t>
            </w:r>
          </w:p>
        </w:tc>
        <w:tc>
          <w:tcPr>
            <w:tcW w:w="1104" w:type="dxa"/>
            <w:shd w:val="clear" w:color="auto" w:fill="auto"/>
            <w:tcMar>
              <w:top w:w="0" w:type="dxa"/>
              <w:left w:w="0" w:type="dxa"/>
              <w:bottom w:w="0" w:type="dxa"/>
              <w:right w:w="0" w:type="dxa"/>
            </w:tcMar>
            <w:vAlign w:val="center"/>
          </w:tcPr>
          <w:p w14:paraId="401A52F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944B932">
            <w:pPr>
              <w:keepNext w:val="0"/>
              <w:keepLines w:val="0"/>
              <w:pageBreakBefore w:val="0"/>
              <w:widowControl/>
              <w:wordWrap/>
              <w:overflowPunct/>
              <w:topLinePunct w:val="0"/>
              <w:bidi w:val="0"/>
              <w:spacing w:line="240" w:lineRule="exact"/>
              <w:ind w:right="0" w:firstLine="180" w:firstLineChars="1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第三十四条第三款</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工程监理单位不得转让工程监理业务。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第六十二条第二款  工程监理单位转让工程监理业务的，责令改正，没收违法所得，处合同约定的监理酬金25%以上50%以下的罚款；可以责令停业整顿，降低资质等级；情节严重的，吊销资质证书。</w:t>
            </w:r>
          </w:p>
        </w:tc>
        <w:tc>
          <w:tcPr>
            <w:tcW w:w="1549" w:type="dxa"/>
            <w:shd w:val="clear" w:color="auto" w:fill="auto"/>
            <w:vAlign w:val="center"/>
          </w:tcPr>
          <w:p w14:paraId="532DF3B2">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18796D0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880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B62D33C">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48</w:t>
            </w:r>
          </w:p>
        </w:tc>
        <w:tc>
          <w:tcPr>
            <w:tcW w:w="1104" w:type="dxa"/>
            <w:shd w:val="clear" w:color="auto" w:fill="auto"/>
            <w:tcMar>
              <w:left w:w="57" w:type="dxa"/>
              <w:right w:w="57" w:type="dxa"/>
            </w:tcMar>
            <w:vAlign w:val="center"/>
          </w:tcPr>
          <w:p w14:paraId="6D0372C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对交通运输建设工程领域从业单位、人员违反工程质量和安全生产管理规定行为的行政处罚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5CC5519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AC409B0">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第六十三条  违反本条例规定，有下列行为之一的，责令改正，处10万元以上30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有前款所列行为，造成工程质量事故的，责令停业整顿，降低资质等级；情节严重的，吊销资质证书；造成损失的，依法承担赔偿责任。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  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  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第六十七条  工程监理单位有下列行为之一的，责令改正，处50万元以上100万元以下的罚款，降低资质等级或者吊销资质证书；有违法所得的，予以没收；造成损失的，承担连带赔偿责任：（一）与建设单位或者施工单位串通，弄虚作假、降低工程质量的；（二）将不合格的建设工程、建筑材料、建筑构配件和设备按照合格签字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第五十五条  违反本条例的规定，建设单位有下列行为之一的，责令限期改正，处20万元以上50万元以下的罚款；造成重大安全事故，构成犯罪的，对直接责任人员，依照刑法有关规定追究刑事责任；造成损失的，依法承担赔偿责任：(一)对勘察、设计、施工、工程监理等单位提出不符合安全生产法律、法规和强制性标准规定的要求的；(二)要求施工单位压缩合同约定的工期的；(三)将拆除工程发包给不具有相应资质等级的施工单位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第五十六条  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一)未按照法律、法规和工程建设强制性标准进行勘察、设计的；(二)采用新结构、新材料、新工艺的建设工程和特殊结构的建设工程，设计单位未在设计中提出保障施工作业人员安全和预防生产安全事故的措施建议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第五十七条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w:t>
            </w:r>
          </w:p>
          <w:p w14:paraId="6E2F1E36">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 xml:space="preserve">第五十九条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条例的规定，为建设工程提供机械设备和配件的单位，未按照安全施工的要求配备齐全有效的保险、限位等安全设施和装置的，责令限期改正，处合同价款1倍以上3倍以下的罚款；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一)未设立安全生产管理机构、配备专职安全生产管理人员或者分部分项工程施工时无专职安全生产管理人员现场监督的；(二)施工单位的主要负责人、项目负责人、专职安全生产管理人员、作业人员或者特种作业人员，未经安全教育培训或者经考核不合格即从事相关工作的；(三)未在施工现场的危险部位设置明显的安全警示标志，或者未按照国家有关规定在施工现场设置消防通道、消防水源、配备消防设施和灭火器材的；(四)未向作业人员提供安全防护用具和安全防护服装的；(五)未按照规定在施工起重机械和整体提升脚手架、模板等自升式架设设施验收合格后登记的；(六)使用国家明令淘汰、禁止使用的危及施工安全的工艺、设备、材料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作业人员不服管理、违反规章制度和操作规程冒险作业造成重大伤亡事故或者其他严重后果，构成犯罪的，依照刑法有关规定追究刑事责任。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第六十七条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施工单位取得资质证书后，降低安全生产条件的，责令限期改正；经整改仍未达到与其资质等级相适应的安全生产条件的，责令停业整顿，降低其资质等级直至吊销资质证书。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3.</w:t>
            </w:r>
            <w:r>
              <w:rPr>
                <w:rFonts w:hint="eastAsia" w:asciiTheme="majorEastAsia" w:hAnsiTheme="majorEastAsia" w:eastAsiaTheme="majorEastAsia" w:cstheme="majorEastAsia"/>
                <w:b w:val="0"/>
                <w:bCs w:val="0"/>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第二十五条　公路建设从业单位应当对工程质量和安全负责。工程实施中应当加强对职工的教育与培训，按照国家有关规定建立健全质量和安全保证体系，落实质量和安全生产责任制，保证工程质量和工程安全。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第四十五条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第二十五条规定，公路建设从业单位忽视工程质量和安全管理，造成质量或安全事故的，对项目法人给予警告、限期整改，情节严重的，暂停资金拨付；对勘察、设计、施工和监理等单位给予警告；对情节严重的监理单位，还可给予责令停业整顿、降低资质等级和吊销资质证书的处罚。</w:t>
            </w:r>
          </w:p>
        </w:tc>
        <w:tc>
          <w:tcPr>
            <w:tcW w:w="1549" w:type="dxa"/>
            <w:shd w:val="clear" w:color="auto" w:fill="auto"/>
            <w:vAlign w:val="center"/>
          </w:tcPr>
          <w:p w14:paraId="48504FE2">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C05A84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EEB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F4F2F6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49</w:t>
            </w:r>
          </w:p>
        </w:tc>
        <w:tc>
          <w:tcPr>
            <w:tcW w:w="1104" w:type="dxa"/>
            <w:shd w:val="clear" w:color="auto" w:fill="auto"/>
            <w:tcMar>
              <w:left w:w="57" w:type="dxa"/>
              <w:right w:w="57" w:type="dxa"/>
            </w:tcMar>
            <w:vAlign w:val="center"/>
          </w:tcPr>
          <w:p w14:paraId="709546C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对交通运输建设工程领域勘察</w:t>
            </w:r>
            <w:r>
              <w:rPr>
                <w:rFonts w:hint="eastAsia" w:asciiTheme="majorEastAsia" w:hAnsiTheme="majorEastAsia" w:eastAsiaTheme="majorEastAsia" w:cstheme="majorEastAsia"/>
                <w:b w:val="0"/>
                <w:bCs w:val="0"/>
                <w:color w:val="000000"/>
                <w:kern w:val="0"/>
                <w:sz w:val="18"/>
                <w:szCs w:val="18"/>
                <w:lang w:val="en-US" w:eastAsia="zh-CN"/>
              </w:rPr>
              <w:t>单位</w:t>
            </w:r>
            <w:r>
              <w:rPr>
                <w:rFonts w:hint="eastAsia" w:asciiTheme="majorEastAsia" w:hAnsiTheme="majorEastAsia" w:eastAsiaTheme="majorEastAsia" w:cstheme="majorEastAsia"/>
                <w:b w:val="0"/>
                <w:bCs w:val="0"/>
                <w:color w:val="000000"/>
                <w:kern w:val="0"/>
                <w:sz w:val="18"/>
                <w:szCs w:val="18"/>
              </w:rPr>
              <w:t>、设计单位未按照工程建设强制性标准进行勘察、</w:t>
            </w:r>
          </w:p>
          <w:p w14:paraId="5B12829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设计等行为的行政处罚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46661CF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0984F13">
            <w:pPr>
              <w:keepNext w:val="0"/>
              <w:keepLines w:val="0"/>
              <w:pageBreakBefore w:val="0"/>
              <w:widowControl/>
              <w:wordWrap/>
              <w:overflowPunct/>
              <w:topLinePunct w:val="0"/>
              <w:bidi w:val="0"/>
              <w:spacing w:line="232"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第十条第二款  建设单位不得明示或者暗示设计单位或者施工单位违反工程建设强制性标准，降低建设工程质量。</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第十九条第一款　勘察、设计单位必须按照工程建设强制性标准进行勘察、设计，并对其勘察、设计的质量负责。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第二十一条第一款　设计单位应当根据勘察成果文件进行建设工程设计。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设计单位在设计文件中选用的建筑材料、建筑构配件和设备，应当注明规格、型号、性能等技术指标，其质量要求必须符合国家规定的标准。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除有特殊要求的建筑材料、专用设备、工艺生产线等外，设计单位不得指定生产厂、供应商。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第六十三条  违反本条例规定，有下列行为之一的，责令改正，处10万元以上30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有前款所列行为，造成工程质量事故的，责令停业整顿，降低资质等级；情节严重的，吊销资质证书；造成损失的，依法承担赔偿责任。</w:t>
            </w:r>
          </w:p>
          <w:p w14:paraId="138095B5">
            <w:pPr>
              <w:keepNext w:val="0"/>
              <w:keepLines w:val="0"/>
              <w:pageBreakBefore w:val="0"/>
              <w:widowControl/>
              <w:wordWrap/>
              <w:overflowPunct/>
              <w:topLinePunct w:val="0"/>
              <w:bidi w:val="0"/>
              <w:spacing w:line="232"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2.《建设工程安全生产管理条例》</w:t>
            </w:r>
          </w:p>
          <w:p w14:paraId="6D07356E">
            <w:pPr>
              <w:keepNext w:val="0"/>
              <w:keepLines w:val="0"/>
              <w:pageBreakBefore w:val="0"/>
              <w:widowControl/>
              <w:wordWrap/>
              <w:overflowPunct/>
              <w:topLinePunct w:val="0"/>
              <w:bidi w:val="0"/>
              <w:spacing w:line="232" w:lineRule="exact"/>
              <w:ind w:left="0" w:right="0" w:firstLine="360" w:firstLineChars="200"/>
              <w:jc w:val="left"/>
              <w:rPr>
                <w:rFonts w:hint="eastAsia" w:asciiTheme="majorEastAsia" w:hAnsiTheme="majorEastAsia" w:eastAsiaTheme="majorEastAsia" w:cstheme="majorEastAsia"/>
                <w:b/>
                <w:bCs/>
                <w:color w:val="000000"/>
                <w:kern w:val="0"/>
                <w:sz w:val="18"/>
                <w:szCs w:val="18"/>
              </w:rPr>
            </w:pPr>
            <w:r>
              <w:rPr>
                <w:rFonts w:hint="eastAsia" w:asciiTheme="majorEastAsia" w:hAnsiTheme="majorEastAsia" w:eastAsiaTheme="majorEastAsia" w:cstheme="majorEastAsia"/>
                <w:b w:val="0"/>
                <w:bCs w:val="0"/>
                <w:color w:val="000000"/>
                <w:kern w:val="0"/>
                <w:sz w:val="18"/>
                <w:szCs w:val="18"/>
                <w:lang w:val="en-US" w:eastAsia="zh-CN"/>
              </w:rPr>
              <w:t>第五十六条　</w:t>
            </w:r>
            <w:bookmarkStart w:id="0" w:name="No187_Z7T56K1"/>
            <w:bookmarkEnd w:id="0"/>
            <w:r>
              <w:rPr>
                <w:rFonts w:hint="eastAsia" w:asciiTheme="majorEastAsia" w:hAnsiTheme="majorEastAsia" w:eastAsiaTheme="majorEastAsia" w:cstheme="majorEastAsia"/>
                <w:b w:val="0"/>
                <w:bCs w:val="0"/>
                <w:color w:val="000000"/>
                <w:kern w:val="0"/>
                <w:sz w:val="18"/>
                <w:szCs w:val="18"/>
                <w:lang w:val="en-US" w:eastAsia="zh-CN"/>
              </w:rPr>
              <w:t>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bookmarkStart w:id="1" w:name="No188_Z7T56K1X1"/>
            <w:bookmarkEnd w:id="1"/>
            <w:r>
              <w:rPr>
                <w:rFonts w:hint="eastAsia" w:asciiTheme="majorEastAsia" w:hAnsiTheme="majorEastAsia" w:eastAsiaTheme="majorEastAsia" w:cstheme="majorEastAsia"/>
                <w:b w:val="0"/>
                <w:bCs w:val="0"/>
                <w:color w:val="000000"/>
                <w:kern w:val="0"/>
                <w:sz w:val="18"/>
                <w:szCs w:val="18"/>
                <w:lang w:val="en-US" w:eastAsia="zh-CN"/>
              </w:rPr>
              <w:t>(一)未按照法律、法规和工程建设强制性标准进行勘察、设计的；</w:t>
            </w:r>
            <w:bookmarkStart w:id="2" w:name="No189_Z7T56K1X2"/>
            <w:bookmarkEnd w:id="2"/>
            <w:r>
              <w:rPr>
                <w:rFonts w:hint="eastAsia" w:asciiTheme="majorEastAsia" w:hAnsiTheme="majorEastAsia" w:eastAsiaTheme="majorEastAsia" w:cstheme="majorEastAsia"/>
                <w:b w:val="0"/>
                <w:bCs w:val="0"/>
                <w:color w:val="000000"/>
                <w:kern w:val="0"/>
                <w:sz w:val="18"/>
                <w:szCs w:val="18"/>
                <w:lang w:val="en-US" w:eastAsia="zh-CN"/>
              </w:rPr>
              <w:t>(二)采用新结构、新材料、新工艺的建设工程和特殊结构的建设工程，设计单位未在设计中提出保障施工作业人员安全和预防生产安全事故的措施建议的。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 xml:space="preserve"> 3</w:t>
            </w:r>
            <w:r>
              <w:rPr>
                <w:rFonts w:hint="eastAsia" w:asciiTheme="majorEastAsia" w:hAnsiTheme="majorEastAsia" w:eastAsiaTheme="majorEastAsia" w:cstheme="majorEastAsia"/>
                <w:b/>
                <w:bCs/>
                <w:color w:val="000000"/>
                <w:kern w:val="0"/>
                <w:sz w:val="18"/>
                <w:szCs w:val="18"/>
              </w:rPr>
              <w:t>.《建设工程勘察设计管理条例》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第五条第二款  建设工程勘察、设计单位必须依法进行建设工程勘察、设计，严格执行工程建设强制性标准，并对建设工程勘察、设计的质量负责。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第二十七条　设计文件中选用的材料、构配件、设备，应当注明其规格、型号、性能等技术指标，其质量要求必须符合国家规定的标准。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除有特殊要求的建筑材料、专用设备和工艺生产线等外，设计单位不得指定生产厂、供应商。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第四十一条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条例规定，有下列行为之一的，依照《建设工程质量管理条例》第六十三条的规定给予处罚：（一）勘察单位未按照工程建设强制性标准进行勘察的；（二）设计单位未根据勘察成果文件进行工程设计的；（三）设计单位指定建筑材料、建筑构配件的生产厂、供应商的；（四）设计单位未按照工程建设强制性标准进行设计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4</w:t>
            </w:r>
            <w:r>
              <w:rPr>
                <w:rFonts w:hint="eastAsia" w:asciiTheme="majorEastAsia" w:hAnsiTheme="majorEastAsia" w:eastAsiaTheme="majorEastAsia" w:cstheme="majorEastAsia"/>
                <w:b/>
                <w:bCs/>
                <w:color w:val="000000"/>
                <w:kern w:val="0"/>
                <w:sz w:val="18"/>
                <w:szCs w:val="18"/>
              </w:rPr>
              <w:t>.《水运建设市场监督管理办法》（交通运输部令2016年第74号）</w:t>
            </w:r>
          </w:p>
          <w:p w14:paraId="7413F5CB">
            <w:pPr>
              <w:keepNext w:val="0"/>
              <w:keepLines w:val="0"/>
              <w:pageBreakBefore w:val="0"/>
              <w:widowControl/>
              <w:wordWrap/>
              <w:overflowPunct/>
              <w:topLinePunct w:val="0"/>
              <w:bidi w:val="0"/>
              <w:spacing w:line="232"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第二十一条　水运建设工程质量实行终身责任制，相关市场主体对工程质量在设计使用年限内承担相应责任。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项目单位对工程质量和安全管理负总责。代建单位按照合同约定对工程质量和安全负管理责任。勘察、设计单位对勘察、设计质量负责。施工单位对施工质量和安全负责。工程监理单位对工程项目的质量和安全生产负监理责任。其他市场主体对其提供的产品或者服务负相应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  违反国家相关规定和本办法规定，项目单位明示或暗示设计、施工单位违反工程建设强制性标准、降低工程质量的，勘察、设计单位未执行工程建设强制性标准的，施工单位不按照工程设计图纸或者施工技术标准施工的，工程监理单位与建设单位或者施工单位串通，弄虚作假、降低工程质量的，依照《建设工程质量管理条例》第五十六条、第六十三条、第六十四条、第六十七条规定作出罚款决定的，按照以下标准处罚： （一）工程尚未开工建设的，对项目单位处20万元以上30万元以下的罚款；对勘察、设计单位处10万元以上20万元以下的罚款；（二）工程已开工建设的，对项目单位处30万元以上50万元以下的罚款，对勘察、设计单位处20万元以上30万元以下的罚款；对施工单位处工程合同价款2%以上4%以下的罚款；对工程监理单位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5</w:t>
            </w:r>
            <w:r>
              <w:rPr>
                <w:rFonts w:hint="eastAsia" w:asciiTheme="majorEastAsia" w:hAnsiTheme="majorEastAsia" w:eastAsiaTheme="majorEastAsia" w:cstheme="majorEastAsia"/>
                <w:b/>
                <w:bCs/>
                <w:color w:val="000000"/>
                <w:kern w:val="0"/>
                <w:sz w:val="18"/>
                <w:szCs w:val="18"/>
              </w:rPr>
              <w:t>.</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第八条　建设单位对工程质量负管理责任，应当科学组织管理，落实国家法律、法规、工程建设强制性标准的规定，严格执行国家有关工程建设管理程序，建立健全项目管理责任机制，完善工程项目管理制度，严格落实质量责任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　勘察、设计单位对勘察、设计质量负责，应当按照有关规定、强制性标准进行勘察、设计，保证勘察、设计工作深度和质量。勘察单位提供的勘察成果文件应当满足工程设计的需要。设计单位应当根据勘察成果文件进行工程设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  违反本规定第十条规定，勘察、设计单位未按照工程建设强制性标准进行勘察、设计的，设计单位未根据勘察成果文件进行工程设计的，依照《建设工程质量管理条例》第六十三条规定，责令改正，按以下标准处以罚款；造成质量事故的，责令停工整顿：（一）工程尚未开工建设的，处10万元以上20万元以下的罚款；（二）工程已开工建设的，处20万元以上30万元以下的罚款。</w:t>
            </w:r>
          </w:p>
        </w:tc>
        <w:tc>
          <w:tcPr>
            <w:tcW w:w="1549" w:type="dxa"/>
            <w:shd w:val="clear" w:color="auto" w:fill="auto"/>
            <w:vAlign w:val="center"/>
          </w:tcPr>
          <w:p w14:paraId="3546754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6BF339F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551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2D2E029">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50</w:t>
            </w:r>
          </w:p>
        </w:tc>
        <w:tc>
          <w:tcPr>
            <w:tcW w:w="1104" w:type="dxa"/>
            <w:shd w:val="clear" w:color="auto" w:fill="auto"/>
            <w:tcMar>
              <w:left w:w="57" w:type="dxa"/>
              <w:right w:w="57" w:type="dxa"/>
            </w:tcMar>
            <w:vAlign w:val="center"/>
          </w:tcPr>
          <w:p w14:paraId="42B88AE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对施工单位在工程上使用或安装未经监理工程师签认的建筑材料、构</w:t>
            </w:r>
          </w:p>
          <w:p w14:paraId="67EF0AC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件和设备等行为的行政处罚</w:t>
            </w:r>
          </w:p>
        </w:tc>
        <w:tc>
          <w:tcPr>
            <w:tcW w:w="1104" w:type="dxa"/>
            <w:shd w:val="clear" w:color="auto" w:fill="auto"/>
            <w:tcMar>
              <w:top w:w="0" w:type="dxa"/>
              <w:left w:w="0" w:type="dxa"/>
              <w:bottom w:w="0" w:type="dxa"/>
              <w:right w:w="0" w:type="dxa"/>
            </w:tcMar>
            <w:vAlign w:val="center"/>
          </w:tcPr>
          <w:p w14:paraId="728FA88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695E591">
            <w:pPr>
              <w:keepNext w:val="0"/>
              <w:keepLines w:val="0"/>
              <w:pageBreakBefore w:val="0"/>
              <w:widowControl/>
              <w:wordWrap/>
              <w:overflowPunct/>
              <w:topLinePunct w:val="0"/>
              <w:bidi w:val="0"/>
              <w:spacing w:line="232"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1.《建设工程质量管理条例》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第三十七条  工程监理单位应当选派具备相应资格的总监理工程师和监理工程师进驻施工现场。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未经监理工程师签字，建筑材料、建筑构配件和设备不得在工程上使用或者安装，施工单位不得进行下一道工序的施工。未经总监理工程师签字，建设单位不拨付工程款，不进行竣工验收。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  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第二十三条  公路建设项目实施过程中，监理单位应当依照法律、法规、规章以及有关技术标准、设计文件、合同文件和监理规范的要求，采用旁站、巡视和平行检验形式对工程实施监理，对不符合工程质量与安全要求的工程应当责令施工单位返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未经监理工程师签认，施工单位不得将建筑材料、构件和设备在工程上使用或安装，不得进行下一道工序施工。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违反本办法第二十三条规定，监理单位将不合格的工程、建筑材料、构件和设备按合格予以签认的，责令改正，可给予警告处罚，情节严重的，处50万元以上100万元以下罚款；施工单位在工程上使用或安装未经监理签认的建筑材料、构件和设备的，责令改正，可给予警告处罚，情节严重的，处工程合同价款2%以上4%以下的罚款。 </w:t>
            </w:r>
          </w:p>
        </w:tc>
        <w:tc>
          <w:tcPr>
            <w:tcW w:w="1549" w:type="dxa"/>
            <w:shd w:val="clear" w:color="auto" w:fill="auto"/>
            <w:vAlign w:val="center"/>
          </w:tcPr>
          <w:p w14:paraId="4E1B12A8">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0754E31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196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9" w:hRule="atLeast"/>
        </w:trPr>
        <w:tc>
          <w:tcPr>
            <w:tcW w:w="620" w:type="dxa"/>
            <w:vAlign w:val="center"/>
          </w:tcPr>
          <w:p w14:paraId="5D26B88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51</w:t>
            </w:r>
          </w:p>
        </w:tc>
        <w:tc>
          <w:tcPr>
            <w:tcW w:w="1104" w:type="dxa"/>
            <w:shd w:val="clear" w:color="auto" w:fill="auto"/>
            <w:tcMar>
              <w:left w:w="57" w:type="dxa"/>
              <w:right w:w="57" w:type="dxa"/>
            </w:tcMar>
            <w:vAlign w:val="center"/>
          </w:tcPr>
          <w:p w14:paraId="1AE745C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对交通运输建设工程领域施工单位不按照工程设计图纸或者施工技术标准施工等行为的行政处罚</w:t>
            </w:r>
          </w:p>
        </w:tc>
        <w:tc>
          <w:tcPr>
            <w:tcW w:w="1104" w:type="dxa"/>
            <w:shd w:val="clear" w:color="auto" w:fill="auto"/>
            <w:tcMar>
              <w:top w:w="0" w:type="dxa"/>
              <w:left w:w="0" w:type="dxa"/>
              <w:bottom w:w="0" w:type="dxa"/>
              <w:right w:w="0" w:type="dxa"/>
            </w:tcMar>
            <w:vAlign w:val="center"/>
          </w:tcPr>
          <w:p w14:paraId="6F65FE9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9665535">
            <w:pPr>
              <w:keepNext w:val="0"/>
              <w:keepLines w:val="0"/>
              <w:pageBreakBefore w:val="0"/>
              <w:widowControl/>
              <w:kinsoku/>
              <w:wordWrap/>
              <w:overflowPunct/>
              <w:topLinePunct w:val="0"/>
              <w:autoSpaceDE/>
              <w:autoSpaceDN/>
              <w:bidi w:val="0"/>
              <w:adjustRightInd/>
              <w:snapToGrid/>
              <w:spacing w:line="214"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第二十八条第一款　施工单位必须按照工程设计图纸和施工技术标准施工，不得擅自修改工程设计，不得偷工减料。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第六十四条  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  公路建设项目必须符合公路工程技术标准，施工单位必须按标准的设计文件施工，任何单位和人员不得擅自修改工程设计。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已批准的公路工程设计，原则上不得变更。确需设计变更的，应当按照交通部制定的《公路工程设计变更管理办法》的规定履行审批手续。</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  违反本办法第十四条规定，未经批准擅自修改工程设计，责令限期改正，可给予警告处罚；情节严重的，对全部或部分使用财政性资金的项目，可暂停项目执行或暂缓资金拨付。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3.</w:t>
            </w:r>
            <w:r>
              <w:rPr>
                <w:rFonts w:hint="eastAsia" w:asciiTheme="majorEastAsia" w:hAnsiTheme="majorEastAsia" w:eastAsiaTheme="majorEastAsia" w:cstheme="majorEastAsia"/>
                <w:b/>
                <w:bCs/>
                <w:color w:val="000000"/>
                <w:kern w:val="0"/>
                <w:sz w:val="18"/>
                <w:szCs w:val="18"/>
              </w:rPr>
              <w:t>《水运建设市场监督管理办法》（交通运输部令2016年第74号）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第二十一条　水运建设工程质量实行终身责任制，相关市场主体对工程质量在设计使用年限内承担相应责任。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项目单位对工程质量和安全管理负总责。代建单位按照合同约定对工程质量和安全负管理责任。勘察、设计单位对勘察、设计质量负责。施工单位对施工质量和安全负责。工程监理单位对工程项目的质量和安全生产负监理责任。其他市场主体对其提供的产品或者服务负相应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第二十七条第二款  水运建设市场从业行为主要包括：（一）法律、法规、规章、强制性标准执行情况；（二）招标投标行为；（三）工程管理、合同履行、廉政建设、信用管理及人员履职等情况；（四）质量安全责任履行情况；（五）设计变更的管理情况；（六）其他应当纳入监督管理的从业行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  违反国家相关规定和本办法规定，项目单位明示或者暗示设计、施工单位违反工程建设强制性标准、降低工程质量的，勘察、设计单位未执行工程建设强制性标准的，施工单位不按照工程设计图纸或者施工技术标准施工的，工程监理单位与建设单位或者施工单位串通，弄虚作假、降低工程质量的，依照《建设工程质量管理条例》第五十六条、第六十三条、第六十四条、第六十七条规定作出罚款决定的，按照以下标准处罚：（一）工程尚未开工建设的，对项目单位处20万元以上30万元以下的罚款；对勘察、设计单位处10万元以上20万元以下的罚款；（二）工程已开工建设的，对项目单位处30万元以上50万元以下的罚款；对勘察、设计单位处20万元以上30万元以下的罚款；对施工单位处工程合同价款2%以上4%以下的罚款；对工程监理单位处50万元以上100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4.</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施工单位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4C32C72B">
            <w:pPr>
              <w:keepNext w:val="0"/>
              <w:keepLines w:val="0"/>
              <w:pageBreakBefore w:val="0"/>
              <w:widowControl/>
              <w:kinsoku/>
              <w:wordWrap/>
              <w:overflowPunct/>
              <w:topLinePunct w:val="0"/>
              <w:autoSpaceDE/>
              <w:autoSpaceDN/>
              <w:bidi w:val="0"/>
              <w:adjustRightInd/>
              <w:snapToGrid/>
              <w:spacing w:line="214" w:lineRule="exact"/>
              <w:ind w:left="0" w:right="0" w:firstLine="360"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第四十条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违反本规定第十四条规定，施工单位不按照工程设计图纸或者施工技术标准施工的，依照《建设工程质量管理条例》第六十四条规定，责令改正，按以下标准处以罚款；情节严重的，责令停工整顿：（一）未造成工程质量事故的，处所涉及单位工程合同价款2%的罚款；（二）造成工程质量一般事故的，处所涉及单位工程合同价款2%以上3%以下的罚款；（三）造成工程质量较大及以上等级事故的，处所涉及单位工程合同价款3%以上4%以下的罚款。     </w:t>
            </w:r>
          </w:p>
        </w:tc>
        <w:tc>
          <w:tcPr>
            <w:tcW w:w="1549" w:type="dxa"/>
            <w:shd w:val="clear" w:color="auto" w:fill="auto"/>
            <w:vAlign w:val="center"/>
          </w:tcPr>
          <w:p w14:paraId="4D4C8006">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E7836CF">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7E8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trPr>
        <w:tc>
          <w:tcPr>
            <w:tcW w:w="620" w:type="dxa"/>
            <w:vAlign w:val="center"/>
          </w:tcPr>
          <w:p w14:paraId="2664179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52</w:t>
            </w:r>
          </w:p>
        </w:tc>
        <w:tc>
          <w:tcPr>
            <w:tcW w:w="1104" w:type="dxa"/>
            <w:shd w:val="clear" w:color="auto" w:fill="auto"/>
            <w:tcMar>
              <w:left w:w="57" w:type="dxa"/>
              <w:right w:w="57" w:type="dxa"/>
            </w:tcMar>
            <w:vAlign w:val="center"/>
          </w:tcPr>
          <w:p w14:paraId="1B8521F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对交通运输建设工程领域施工单位未对材料、构配件等进行检验检测行为的行政处罚</w:t>
            </w:r>
          </w:p>
        </w:tc>
        <w:tc>
          <w:tcPr>
            <w:tcW w:w="1104" w:type="dxa"/>
            <w:shd w:val="clear" w:color="auto" w:fill="auto"/>
            <w:tcMar>
              <w:top w:w="0" w:type="dxa"/>
              <w:left w:w="0" w:type="dxa"/>
              <w:bottom w:w="0" w:type="dxa"/>
              <w:right w:w="0" w:type="dxa"/>
            </w:tcMar>
            <w:vAlign w:val="center"/>
          </w:tcPr>
          <w:p w14:paraId="7EFDD20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68B8DF8">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第二十九条　施工单位必须按照工程设计要求、施工技术标准和合同约定，对建筑材料、建筑构配件、设备和商品混凝土进行检验，检验应当有书面记录和专人签字；未经检验或者检验不合格的，不得使用。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  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  施工单位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第四十一条  违反本规定第十四条规定，施工单位未按规定对原材料、混合料、构配件等进行检验的，依照《建设工程质量管理条例》第六十五条规定，责令改正，按以下标准处以罚款；情节严重的，责令停工整顿：（一）未造成工程质量事故的，处10万元以上15万元以下的罚款；（二）造成工程质量事故的，处15万元以上20万元以下的罚款。</w:t>
            </w:r>
          </w:p>
        </w:tc>
        <w:tc>
          <w:tcPr>
            <w:tcW w:w="1549" w:type="dxa"/>
            <w:shd w:val="clear" w:color="auto" w:fill="auto"/>
            <w:vAlign w:val="center"/>
          </w:tcPr>
          <w:p w14:paraId="2BA48AAB">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EA29BD9">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4E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5" w:hRule="atLeast"/>
        </w:trPr>
        <w:tc>
          <w:tcPr>
            <w:tcW w:w="620" w:type="dxa"/>
            <w:vAlign w:val="center"/>
          </w:tcPr>
          <w:p w14:paraId="27BECD9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53</w:t>
            </w:r>
          </w:p>
        </w:tc>
        <w:tc>
          <w:tcPr>
            <w:tcW w:w="1104" w:type="dxa"/>
            <w:shd w:val="clear" w:color="auto" w:fill="auto"/>
            <w:tcMar>
              <w:left w:w="57" w:type="dxa"/>
              <w:right w:w="57" w:type="dxa"/>
            </w:tcMar>
            <w:vAlign w:val="center"/>
          </w:tcPr>
          <w:p w14:paraId="4E2E87D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对交通运输建设工程领域施工单位不按规定履行保修义务等行为的行政处罚</w:t>
            </w:r>
          </w:p>
        </w:tc>
        <w:tc>
          <w:tcPr>
            <w:tcW w:w="1104" w:type="dxa"/>
            <w:shd w:val="clear" w:color="auto" w:fill="auto"/>
            <w:tcMar>
              <w:top w:w="0" w:type="dxa"/>
              <w:left w:w="0" w:type="dxa"/>
              <w:bottom w:w="0" w:type="dxa"/>
              <w:right w:w="0" w:type="dxa"/>
            </w:tcMar>
            <w:vAlign w:val="center"/>
          </w:tcPr>
          <w:p w14:paraId="26CB03A6">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1F3608A">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第四十一条　建设工程在保修范围和保修期限内发生质量问题的，施工单位应当履行保修义务，并对造成的损失承担赔偿责任。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第六十六条  违反本条例规定，施工单位不履行保修义务或者拖延履行保修义务的，责令改正，处10万元以上20万元以下的罚款，并对在保修期内因质量缺陷造成的损失承担赔偿责任。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第十五条  施工单位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违反本规定第十五条规定，施工单位对施工中出现的质量问题或者验收不合格的工程，未进行返工处理或者拖延返工处理的，责令改正，处1万元以上3万元以下的罚款。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施工单位对保修范围和保修期限内发生质量问题的工程，不履行保修义务或者拖延履行保修义务的，依照《建设工程质量管理条例》第六十六条规定，责令改正，按以下标准处以罚款：（一）未造成工程质量事故的，处10万元以上15万元以下的罚款；（二）造成工程质量事故的，处15万元以上20万元以下的罚款。</w:t>
            </w:r>
          </w:p>
        </w:tc>
        <w:tc>
          <w:tcPr>
            <w:tcW w:w="1549" w:type="dxa"/>
            <w:shd w:val="clear" w:color="auto" w:fill="auto"/>
            <w:vAlign w:val="center"/>
          </w:tcPr>
          <w:p w14:paraId="13505C3D">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3F725CF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60B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0" w:hRule="atLeast"/>
        </w:trPr>
        <w:tc>
          <w:tcPr>
            <w:tcW w:w="620" w:type="dxa"/>
            <w:vAlign w:val="center"/>
          </w:tcPr>
          <w:p w14:paraId="4EDB1F3E">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54</w:t>
            </w:r>
          </w:p>
        </w:tc>
        <w:tc>
          <w:tcPr>
            <w:tcW w:w="1104" w:type="dxa"/>
            <w:shd w:val="clear" w:color="auto" w:fill="auto"/>
            <w:tcMar>
              <w:left w:w="57" w:type="dxa"/>
              <w:right w:w="57" w:type="dxa"/>
            </w:tcMar>
            <w:vAlign w:val="center"/>
          </w:tcPr>
          <w:p w14:paraId="74BF75D8">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对交通运输建设工程领域监理单位与相关单位串通，弄虚</w:t>
            </w:r>
          </w:p>
          <w:p w14:paraId="06EE6C6B">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作假、降低</w:t>
            </w:r>
          </w:p>
          <w:p w14:paraId="3495D4DF">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工程质量等行为的行政处罚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4C122ACC">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E581A29">
            <w:pPr>
              <w:keepNext w:val="0"/>
              <w:keepLines w:val="0"/>
              <w:pageBreakBefore w:val="0"/>
              <w:widowControl/>
              <w:wordWrap/>
              <w:overflowPunct/>
              <w:topLinePunct w:val="0"/>
              <w:bidi w:val="0"/>
              <w:spacing w:line="248"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eastAsia="zh-CN"/>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第三十六条　工程监理单位应当依照法律、法规以及有关技术标准、设计文件和建设工程承包合同，代表建设单位对施工质量实施监理，并对施工质量承担监理责任。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第六十七条第（一）项  工程监理单位有下列行为之一的，责令改正，处50万元以上100万元以下的罚款，降低资质等级或者吊销资质证书；有违法所得的，予以没收；造成损失的，承担连带赔偿责任：（一）与建设单位或者施工单位串通，弄虚作假、降低工程质量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第二十三条  公路建设项目实施过程中，监理单位应当依照法律、法规、规章以及有关技术标准、设计文件、合同文件和监理规范的要求，采用旁站、巡视和平行检验形式对工程实施监理，对不符合工程质量与安全要求的工程应当责令施工单位返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未经监理工程师签认，施工单位不得将建筑材料、构件和设备在工程上使用或安装，不得进行下一道工序施工。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违反本办法第二十三条规定，监理单位将不合格的工程、建筑材料、构件和设备按合格予以签认的，责令改正，可给予警告处罚，情节严重的，处50万元以上100万元以下的罚款；施工单位在工程上使用或安装未经监理签认的建筑材料、构件和设备的，责令改正，可给予警告处罚，情节严重的，处工程合同价款2%以上4%以下的罚款。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3.</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p>
          <w:p w14:paraId="71BDE9DA">
            <w:pPr>
              <w:keepNext w:val="0"/>
              <w:keepLines w:val="0"/>
              <w:pageBreakBefore w:val="0"/>
              <w:widowControl/>
              <w:wordWrap/>
              <w:overflowPunct/>
              <w:topLinePunct w:val="0"/>
              <w:bidi w:val="0"/>
              <w:spacing w:line="248"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第十七条  监理单位对施工质量负监理责任，应当按合同约定设立现场监理机构，按规定程序和标准进行工程质量检查、检测和验收，对发现的质量问题及时督促整改，不得降低工程质量标准。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公路水运工程交工验收前，监理单位应当根据有关标准和规范要求对工程质量进行检查验证，编制工程质量评定或者评估报告，并提交建设单位。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第四十三条  违反本规定第十七条规定，监理单位在监理工作中弄虚作假、降低工程质量的，或者将不合格的建设工程、建筑材料、建筑构配件和设备按照合格签字的，依照《建设工程质量管理条例》第六十七条规定，责令改正，按以下标准处以罚款，降低资质等级或者吊销资质证书；有违法所得的，予以没收：（一）未造成工程质量事故的，处50万元以上60万元以下的罚款；（二）造成工程质量一般事故的，处60万元以上70万元以下的罚款；（三）造成工程质量较大事故的，处70万元以上80万元以下的罚款；（四）造成工程质量重大及以上等级事故的，处80万元以上100万元以下的罚款。</w:t>
            </w:r>
          </w:p>
        </w:tc>
        <w:tc>
          <w:tcPr>
            <w:tcW w:w="1549" w:type="dxa"/>
            <w:shd w:val="clear" w:color="auto" w:fill="auto"/>
            <w:vAlign w:val="center"/>
          </w:tcPr>
          <w:p w14:paraId="55211F90">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40EEEA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E21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BD4CA2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55</w:t>
            </w:r>
          </w:p>
        </w:tc>
        <w:tc>
          <w:tcPr>
            <w:tcW w:w="1104" w:type="dxa"/>
            <w:shd w:val="clear" w:color="auto" w:fill="auto"/>
            <w:tcMar>
              <w:left w:w="57" w:type="dxa"/>
              <w:right w:w="57" w:type="dxa"/>
            </w:tcMar>
            <w:vAlign w:val="center"/>
          </w:tcPr>
          <w:p w14:paraId="4F3AF3ED">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对交通运输建设工程领域监理单位将不合格的工程、材料、构件和设备按合格签字行为的行政处罚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4259CE46">
            <w:pPr>
              <w:pStyle w:val="11"/>
              <w:keepNext w:val="0"/>
              <w:keepLines w:val="0"/>
              <w:pageBreakBefore w:val="0"/>
              <w:widowControl/>
              <w:kinsoku/>
              <w:wordWrap/>
              <w:overflowPunct/>
              <w:topLinePunct w:val="0"/>
              <w:autoSpaceDE w:val="0"/>
              <w:autoSpaceDN w:val="0"/>
              <w:bidi w:val="0"/>
              <w:adjustRightInd/>
              <w:snapToGrid/>
              <w:spacing w:line="240" w:lineRule="exact"/>
              <w:ind w:left="0" w:leftChars="0" w:right="0" w:rightChars="0"/>
              <w:jc w:val="both"/>
              <w:textAlignment w:val="baseline"/>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35B266C">
            <w:pPr>
              <w:keepNext w:val="0"/>
              <w:keepLines w:val="0"/>
              <w:pageBreakBefore w:val="0"/>
              <w:widowControl/>
              <w:wordWrap/>
              <w:overflowPunct/>
              <w:topLinePunct w:val="0"/>
              <w:bidi w:val="0"/>
              <w:spacing w:line="248"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第十四条第一款　按照合同约定，由建设单位采购建筑材料、建筑构配件和设备的，建设单位应当保证建筑材料、建筑构配件和设备符合设计文件和合同要求。</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第三十七条第二款  未经监理工程师签字，建筑材料、建筑构配件和设备不得在工程上使用或者安装，施工单位不得进行下一道工序的施工。未经总监理工程师签字，建设单位不拨付工程款，不进行竣工验收。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第六十七条第（二）项  工程监理单位有下列行为之一的，责令改正，处50万元以上100万元以下的罚款，降低资质等级或者吊销资质证书；有违法所得的，予以没收；造成损失的，承担连带赔偿责任：（二）将不合格的建设工程、建筑材料、建筑构配件和设备按照合格签字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第二十三条  公路建设项目实施过程中，监理单位应当依照法律、法规、规章以及有关技术标准、设计文件、合同文件和监理规范的要求，采用旁站、巡视和平行检验形式对工程实施监理，对不符合工程质量与安全要求的工程应当责令施工单位返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未经监理工程师签认，施工单位不得将建筑材料、构件和设备在工程上使用或安装，不得进行下一道工序施工。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违反本办法第二十三条规定，监理单位将不合格的工程、建筑材料、构件和设备按合格予以签认的，责令改正，可给予警告处罚，情节严重的，处50万元以上100万元以下的罚款；施工单位在工程上使用或安装未经监理签认的建筑材料、构件和设备的，责令改正，可给予警告处罚，情节严重的，处工程合同价款2%以上4%以下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　监理单位对施工质量负监理责任，应当按合同约定设立现场监理机构，按规定程序和标准进行工程质量检查、检测和验收，对发现的质量问题及时督促整改，不得降低工程质量标准。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公路水运工程交工验收前，监理单位应当根据有关标准和规范要求对工程质量进行检查验证，编制工程质量评定或者评估报告，并提交建设单位。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第二十五条第一款　公路水运工程交工验收前，建设单位应当组织对工程质量是否合格进行检测，出具交工验收质量检测报告，连同设计单位出具的工程设计符合性评价意见、监理单位提交的工程质量评定或者评估报告一并提交交通运输主管部门委托的建设工程质量监督机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第四十三条  违反本规定第十七条规定，监理单位在监理工作中弄虚作假、降低工程质量的，或者将不合格的建设工程、建筑材料、建筑构配件和设备按照合格签字的，依照《建设工程质量管理条例》第六十七条规定，责令改正，按以下标准处以罚款，降低资质等级或者吊销资质证书；有违法所得的，予以没收：（一）未造成工程质量事故的，处50万元以上60万元以下的罚款；（二）造成工程质量一般事故的，处60万元以上70万元以下的罚款；（三）造成工程质量较大事故的，处70万元以上80万元以下的罚款；（四）造成工程质量重大及以上等级事故的，处80万元以上100万元以下的罚款。</w:t>
            </w:r>
          </w:p>
        </w:tc>
        <w:tc>
          <w:tcPr>
            <w:tcW w:w="1549" w:type="dxa"/>
            <w:shd w:val="clear" w:color="auto" w:fill="auto"/>
            <w:vAlign w:val="center"/>
          </w:tcPr>
          <w:p w14:paraId="110B470F">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4B280F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64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620" w:type="dxa"/>
            <w:vAlign w:val="center"/>
          </w:tcPr>
          <w:p w14:paraId="695C997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56</w:t>
            </w:r>
          </w:p>
        </w:tc>
        <w:tc>
          <w:tcPr>
            <w:tcW w:w="1104" w:type="dxa"/>
            <w:shd w:val="clear" w:color="auto" w:fill="auto"/>
            <w:tcMar>
              <w:left w:w="57" w:type="dxa"/>
              <w:right w:w="57" w:type="dxa"/>
            </w:tcMar>
            <w:vAlign w:val="center"/>
          </w:tcPr>
          <w:p w14:paraId="6CD1E95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对交通运输建设工程领域监理单位违规承担有利害关系建设工程的监理业务行为的行政处罚</w:t>
            </w:r>
          </w:p>
        </w:tc>
        <w:tc>
          <w:tcPr>
            <w:tcW w:w="1104" w:type="dxa"/>
            <w:shd w:val="clear" w:color="auto" w:fill="auto"/>
            <w:tcMar>
              <w:top w:w="0" w:type="dxa"/>
              <w:left w:w="0" w:type="dxa"/>
              <w:bottom w:w="0" w:type="dxa"/>
              <w:right w:w="0" w:type="dxa"/>
            </w:tcMar>
            <w:vAlign w:val="center"/>
          </w:tcPr>
          <w:p w14:paraId="25B95F5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57FC026">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第十二条第一款　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第三十五条　工程监理单位与被监理工程的施工承包单位以及建筑材料、建筑构配件和设备供应单位有隶属关系或者其他利害关系的，不得承担该项建设工程的监理业务。</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第六十八条  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tc>
        <w:tc>
          <w:tcPr>
            <w:tcW w:w="1549" w:type="dxa"/>
            <w:shd w:val="clear" w:color="auto" w:fill="auto"/>
            <w:vAlign w:val="center"/>
          </w:tcPr>
          <w:p w14:paraId="1598E0B2">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7D9B122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5A1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3F6BD09">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57</w:t>
            </w:r>
          </w:p>
        </w:tc>
        <w:tc>
          <w:tcPr>
            <w:tcW w:w="1104" w:type="dxa"/>
            <w:shd w:val="clear" w:color="auto" w:fill="auto"/>
            <w:tcMar>
              <w:left w:w="57" w:type="dxa"/>
              <w:right w:w="57" w:type="dxa"/>
            </w:tcMar>
            <w:vAlign w:val="center"/>
          </w:tcPr>
          <w:p w14:paraId="6E27C21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对公路建设工程发生工程质量事故未按有关规定和时间向有关部门报告行为的行政处罚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6F0438C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89DA445">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第五十二条　建设工程发生质量事故，有关单位应当在24小时内向当地建设行政主管部门和其他有关部门报告。对重大质量事故，事故发生地的建设行政主管部门和其他有关部门应当按照事故类别和等级向当地人民政府和上级建设行政主管部门和其他有关部门报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特别重大质量事故的调查程序按照国务院有关规定办理。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第七十条  发生重大工程质量事故隐瞒不报、谎报或者拖延报告期限的，对直接负责的主管人员和其他责任人员依法给予行政处分。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2.</w:t>
            </w:r>
            <w:r>
              <w:rPr>
                <w:rFonts w:hint="eastAsia" w:asciiTheme="majorEastAsia" w:hAnsiTheme="majorEastAsia" w:eastAsiaTheme="majorEastAsia" w:cstheme="majorEastAsia"/>
                <w:b w:val="0"/>
                <w:bCs w:val="0"/>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第二十六条  公路建设项目发生工程质量事故，项目法人应在24小时内按项目管理隶属关系向交通主管部门报告，工程质量事故同时报公路工程质量监督机构。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省级人民政府交通主管部门或受委托的公路工程质量监督机构负责调查处理一般工程质量事故；交通部会同省级人民政府交通主管部门负责调查处理重大工程质量事故；特别重大工程质量事故和安全事故的调查处理按照国家有关规定办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  违反本办法第二十六条规定，项目法人对工程质量事故隐瞒不报、谎报或拖延报告期限的，给予警告处罚，对直接责任人依法给予行政处分。</w:t>
            </w:r>
          </w:p>
        </w:tc>
        <w:tc>
          <w:tcPr>
            <w:tcW w:w="1549" w:type="dxa"/>
            <w:shd w:val="clear" w:color="auto" w:fill="auto"/>
            <w:vAlign w:val="center"/>
          </w:tcPr>
          <w:p w14:paraId="56B6FB6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9B198E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EF5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620" w:type="dxa"/>
            <w:vAlign w:val="center"/>
          </w:tcPr>
          <w:p w14:paraId="637C8BF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58</w:t>
            </w:r>
          </w:p>
        </w:tc>
        <w:tc>
          <w:tcPr>
            <w:tcW w:w="1104" w:type="dxa"/>
            <w:shd w:val="clear" w:color="auto" w:fill="auto"/>
            <w:tcMar>
              <w:left w:w="57" w:type="dxa"/>
              <w:right w:w="57" w:type="dxa"/>
            </w:tcMar>
            <w:vAlign w:val="center"/>
          </w:tcPr>
          <w:p w14:paraId="744659C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对交通运输领域注册执业人员因过错造成质量事故的行政处罚</w:t>
            </w:r>
          </w:p>
        </w:tc>
        <w:tc>
          <w:tcPr>
            <w:tcW w:w="1104" w:type="dxa"/>
            <w:shd w:val="clear" w:color="auto" w:fill="auto"/>
            <w:tcMar>
              <w:top w:w="0" w:type="dxa"/>
              <w:left w:w="0" w:type="dxa"/>
              <w:bottom w:w="0" w:type="dxa"/>
              <w:right w:w="0" w:type="dxa"/>
            </w:tcMar>
            <w:vAlign w:val="center"/>
          </w:tcPr>
          <w:p w14:paraId="2061F0C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5956580E">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第十九条第二款  注册建筑师、注册结构工程师等注册执业人员应当在设计文件上签字，对设计文件负责。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第七十二条  违反本条例规定，注册建筑师、注册结构工程师、监理工程师等注册执业人员因过错造成质量事故的，责令停止执业1年；造成重大质量事故的，吊销执业资格证书，5年以内不予注册；情节特别恶劣的，终身不予注册。</w:t>
            </w:r>
          </w:p>
        </w:tc>
        <w:tc>
          <w:tcPr>
            <w:tcW w:w="1549" w:type="dxa"/>
            <w:shd w:val="clear" w:color="auto" w:fill="auto"/>
            <w:vAlign w:val="center"/>
          </w:tcPr>
          <w:p w14:paraId="0B67CC6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C66B5A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ACD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trPr>
        <w:tc>
          <w:tcPr>
            <w:tcW w:w="620" w:type="dxa"/>
            <w:vAlign w:val="center"/>
          </w:tcPr>
          <w:p w14:paraId="627AF887">
            <w:pPr>
              <w:pStyle w:val="11"/>
              <w:keepNext w:val="0"/>
              <w:keepLines w:val="0"/>
              <w:pageBreakBefore w:val="0"/>
              <w:widowControl/>
              <w:numPr>
                <w:ilvl w:val="0"/>
                <w:numId w:val="0"/>
              </w:numPr>
              <w:wordWrap/>
              <w:overflowPunct/>
              <w:topLinePunct w:val="0"/>
              <w:bidi w:val="0"/>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59</w:t>
            </w:r>
          </w:p>
        </w:tc>
        <w:tc>
          <w:tcPr>
            <w:tcW w:w="1104" w:type="dxa"/>
            <w:shd w:val="clear" w:color="auto" w:fill="auto"/>
            <w:tcMar>
              <w:left w:w="57" w:type="dxa"/>
              <w:right w:w="57" w:type="dxa"/>
            </w:tcMar>
            <w:vAlign w:val="center"/>
          </w:tcPr>
          <w:p w14:paraId="0829244B">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对交通运输建设工程领域单位违法行为（工程质量方面）直接负有责任相关人员的行政处罚</w:t>
            </w:r>
          </w:p>
        </w:tc>
        <w:tc>
          <w:tcPr>
            <w:tcW w:w="1104" w:type="dxa"/>
            <w:shd w:val="clear" w:color="auto" w:fill="auto"/>
            <w:tcMar>
              <w:top w:w="0" w:type="dxa"/>
              <w:left w:w="0" w:type="dxa"/>
              <w:bottom w:w="0" w:type="dxa"/>
              <w:right w:w="0" w:type="dxa"/>
            </w:tcMar>
            <w:vAlign w:val="center"/>
          </w:tcPr>
          <w:p w14:paraId="3524D540">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7A31A5A">
            <w:pPr>
              <w:keepNext w:val="0"/>
              <w:keepLines w:val="0"/>
              <w:pageBreakBefore w:val="0"/>
              <w:widowControl/>
              <w:wordWrap/>
              <w:overflowPunct/>
              <w:topLinePunct w:val="0"/>
              <w:bidi w:val="0"/>
              <w:spacing w:line="22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第七十三条  依照本条例规定，给予单位罚款处罚的，对单位直接负责的主管人员和其他直接责任人员处单位罚款数额百分之五以上百分之十以下的罚款。</w:t>
            </w:r>
          </w:p>
        </w:tc>
        <w:tc>
          <w:tcPr>
            <w:tcW w:w="1549" w:type="dxa"/>
            <w:shd w:val="clear" w:color="auto" w:fill="auto"/>
            <w:vAlign w:val="center"/>
          </w:tcPr>
          <w:p w14:paraId="0AC3E90A">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72BACA7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91E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620" w:type="dxa"/>
            <w:vAlign w:val="center"/>
          </w:tcPr>
          <w:p w14:paraId="52D46970">
            <w:pPr>
              <w:pStyle w:val="11"/>
              <w:keepNext w:val="0"/>
              <w:keepLines w:val="0"/>
              <w:pageBreakBefore w:val="0"/>
              <w:widowControl/>
              <w:numPr>
                <w:ilvl w:val="0"/>
                <w:numId w:val="0"/>
              </w:numPr>
              <w:wordWrap/>
              <w:overflowPunct/>
              <w:topLinePunct w:val="0"/>
              <w:bidi w:val="0"/>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60</w:t>
            </w:r>
          </w:p>
        </w:tc>
        <w:tc>
          <w:tcPr>
            <w:tcW w:w="1104" w:type="dxa"/>
            <w:shd w:val="clear" w:color="auto" w:fill="auto"/>
            <w:tcMar>
              <w:left w:w="57" w:type="dxa"/>
              <w:right w:w="57" w:type="dxa"/>
            </w:tcMar>
            <w:vAlign w:val="center"/>
          </w:tcPr>
          <w:p w14:paraId="3385B466">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对交通运输领域未经注册擅自以注册人员名义从事建设工程勘察、设计活动的行政处罚</w:t>
            </w:r>
          </w:p>
        </w:tc>
        <w:tc>
          <w:tcPr>
            <w:tcW w:w="1104" w:type="dxa"/>
            <w:shd w:val="clear" w:color="auto" w:fill="auto"/>
            <w:tcMar>
              <w:top w:w="0" w:type="dxa"/>
              <w:left w:w="0" w:type="dxa"/>
              <w:bottom w:w="0" w:type="dxa"/>
              <w:right w:w="0" w:type="dxa"/>
            </w:tcMar>
            <w:vAlign w:val="center"/>
          </w:tcPr>
          <w:p w14:paraId="1639D6FE">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304B893">
            <w:pPr>
              <w:keepNext w:val="0"/>
              <w:keepLines w:val="0"/>
              <w:pageBreakBefore w:val="0"/>
              <w:widowControl/>
              <w:wordWrap/>
              <w:overflowPunct/>
              <w:topLinePunct w:val="0"/>
              <w:bidi w:val="0"/>
              <w:spacing w:line="22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第九条　国家对从事建设工程勘察、设计活动的专业技术人员，实行执业资格注册管理制度。</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未经注册的建设工程勘察、设计人员，不得以注册执业人员的名义从事建设工程勘察、设计活动。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第三十六条  违反本条例规定，未经注册，擅自以注册建设工程勘察、设计人员的名义从事建设工程勘察、设计活动的，责令停止违法行为，没收违法所得，处违法所得2倍以上5倍以下罚款；给他人造成损失的，依法承担赔偿责任。</w:t>
            </w:r>
          </w:p>
        </w:tc>
        <w:tc>
          <w:tcPr>
            <w:tcW w:w="1549" w:type="dxa"/>
            <w:shd w:val="clear" w:color="auto" w:fill="auto"/>
            <w:vAlign w:val="center"/>
          </w:tcPr>
          <w:p w14:paraId="3A70CF27">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27D9D1B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902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620" w:type="dxa"/>
            <w:vAlign w:val="center"/>
          </w:tcPr>
          <w:p w14:paraId="3642FDC4">
            <w:pPr>
              <w:pStyle w:val="11"/>
              <w:keepNext w:val="0"/>
              <w:keepLines w:val="0"/>
              <w:pageBreakBefore w:val="0"/>
              <w:widowControl/>
              <w:numPr>
                <w:ilvl w:val="0"/>
                <w:numId w:val="0"/>
              </w:numPr>
              <w:wordWrap/>
              <w:overflowPunct/>
              <w:topLinePunct w:val="0"/>
              <w:bidi w:val="0"/>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61</w:t>
            </w:r>
          </w:p>
        </w:tc>
        <w:tc>
          <w:tcPr>
            <w:tcW w:w="1104" w:type="dxa"/>
            <w:shd w:val="clear" w:color="auto" w:fill="auto"/>
            <w:tcMar>
              <w:left w:w="57" w:type="dxa"/>
              <w:right w:w="57" w:type="dxa"/>
            </w:tcMar>
            <w:vAlign w:val="center"/>
          </w:tcPr>
          <w:p w14:paraId="4F4AC0A4">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对交通运输领域执业人员和其他专业技术人员不按规定受聘而从事建设工程勘察、设计活动行为的行政处罚</w:t>
            </w:r>
          </w:p>
        </w:tc>
        <w:tc>
          <w:tcPr>
            <w:tcW w:w="1104" w:type="dxa"/>
            <w:shd w:val="clear" w:color="auto" w:fill="auto"/>
            <w:tcMar>
              <w:top w:w="0" w:type="dxa"/>
              <w:left w:w="0" w:type="dxa"/>
              <w:bottom w:w="0" w:type="dxa"/>
              <w:right w:w="0" w:type="dxa"/>
            </w:tcMar>
            <w:vAlign w:val="center"/>
          </w:tcPr>
          <w:p w14:paraId="267B6250">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B126047">
            <w:pPr>
              <w:keepNext w:val="0"/>
              <w:keepLines w:val="0"/>
              <w:pageBreakBefore w:val="0"/>
              <w:widowControl/>
              <w:wordWrap/>
              <w:overflowPunct/>
              <w:topLinePunct w:val="0"/>
              <w:bidi w:val="0"/>
              <w:spacing w:line="22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第十条　建设工程勘察、设计注册执业人员和其他专业技术人员只能受聘于一个建设工程勘察、设计单位；未受聘于建设工程勘察、设计单位的，不得从事建设工程的勘察、设计活动。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第三十七条  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w:t>
            </w:r>
          </w:p>
        </w:tc>
        <w:tc>
          <w:tcPr>
            <w:tcW w:w="1549" w:type="dxa"/>
            <w:shd w:val="clear" w:color="auto" w:fill="auto"/>
            <w:vAlign w:val="center"/>
          </w:tcPr>
          <w:p w14:paraId="50710D5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603E676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C35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699C25F">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62</w:t>
            </w:r>
          </w:p>
        </w:tc>
        <w:tc>
          <w:tcPr>
            <w:tcW w:w="1104" w:type="dxa"/>
            <w:shd w:val="clear" w:color="auto" w:fill="auto"/>
            <w:tcMar>
              <w:left w:w="57" w:type="dxa"/>
              <w:right w:w="57" w:type="dxa"/>
            </w:tcMar>
            <w:vAlign w:val="center"/>
          </w:tcPr>
          <w:p w14:paraId="6428B9AE">
            <w:pPr>
              <w:pStyle w:val="11"/>
              <w:keepNext w:val="0"/>
              <w:keepLines w:val="0"/>
              <w:pageBreakBefore w:val="0"/>
              <w:widowControl/>
              <w:kinsoku/>
              <w:wordWrap/>
              <w:overflowPunct/>
              <w:topLinePunct w:val="0"/>
              <w:bidi w:val="0"/>
              <w:adjustRightInd/>
              <w:snapToGrid/>
              <w:spacing w:line="23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对交通运输建设工程领域勘察设计单位未依据批准文件、规划或国家规定编制建设工程勘察、设计文件行为的行政处罚</w:t>
            </w:r>
          </w:p>
        </w:tc>
        <w:tc>
          <w:tcPr>
            <w:tcW w:w="1104" w:type="dxa"/>
            <w:shd w:val="clear" w:color="auto" w:fill="auto"/>
            <w:tcMar>
              <w:top w:w="0" w:type="dxa"/>
              <w:left w:w="0" w:type="dxa"/>
              <w:bottom w:w="0" w:type="dxa"/>
              <w:right w:w="0" w:type="dxa"/>
            </w:tcMar>
            <w:vAlign w:val="center"/>
          </w:tcPr>
          <w:p w14:paraId="576DEE9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E439D5F">
            <w:pPr>
              <w:keepNext w:val="0"/>
              <w:keepLines w:val="0"/>
              <w:pageBreakBefore w:val="0"/>
              <w:widowControl/>
              <w:wordWrap/>
              <w:overflowPunct/>
              <w:topLinePunct w:val="0"/>
              <w:bidi w:val="0"/>
              <w:spacing w:line="24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《建设工程勘察设计管理条例》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第二十五条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 编制建设工程勘察、设计文件，应当以下列规定为依据：（一）项目批准文件；（二）城乡规划；（三）工程建设强制性标准；（四）国家规定的建设工程勘察、设计深度要求。</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铁路、交通、水利等专业建设工程，还应当以专业规划的要求为依据。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  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tc>
        <w:tc>
          <w:tcPr>
            <w:tcW w:w="1549" w:type="dxa"/>
            <w:shd w:val="clear" w:color="auto" w:fill="auto"/>
            <w:vAlign w:val="center"/>
          </w:tcPr>
          <w:p w14:paraId="2DFB640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54ADB66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0A6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18824F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63</w:t>
            </w:r>
          </w:p>
        </w:tc>
        <w:tc>
          <w:tcPr>
            <w:tcW w:w="1104" w:type="dxa"/>
            <w:shd w:val="clear" w:color="auto" w:fill="auto"/>
            <w:tcMar>
              <w:left w:w="57" w:type="dxa"/>
              <w:right w:w="57" w:type="dxa"/>
            </w:tcMar>
            <w:vAlign w:val="center"/>
          </w:tcPr>
          <w:p w14:paraId="5950606C">
            <w:pPr>
              <w:pStyle w:val="11"/>
              <w:keepNext w:val="0"/>
              <w:keepLines w:val="0"/>
              <w:pageBreakBefore w:val="0"/>
              <w:widowControl/>
              <w:kinsoku/>
              <w:wordWrap/>
              <w:overflowPunct/>
              <w:topLinePunct w:val="0"/>
              <w:bidi w:val="0"/>
              <w:adjustRightInd/>
              <w:snapToGrid/>
              <w:spacing w:line="23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对公路水运工程工地临时试验室单位出具虚假试验检测数据或报告行为的行政处罚</w:t>
            </w:r>
          </w:p>
        </w:tc>
        <w:tc>
          <w:tcPr>
            <w:tcW w:w="1104" w:type="dxa"/>
            <w:shd w:val="clear" w:color="auto" w:fill="auto"/>
            <w:tcMar>
              <w:top w:w="0" w:type="dxa"/>
              <w:left w:w="0" w:type="dxa"/>
              <w:bottom w:w="0" w:type="dxa"/>
              <w:right w:w="0" w:type="dxa"/>
            </w:tcMar>
            <w:vAlign w:val="center"/>
          </w:tcPr>
          <w:p w14:paraId="06D33AD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FC2CB3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第十八条  施工、监理单位应当按照合同约定设立工地临时试验室，严格按照工程技术标准、检测规范和规程，在核定的试验检测参数范围内开展试验检测活动。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施工、监理单位应当对其设立的工地临时试验室所出具的试验检测数据和报告的真实性、客观性、准确性负责。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第四十四条  违反本规定第十八条规定，设立工地临时实验室的单位弄虚作假、出具虚假数据报告的，责令改正，处1万元以上3万元以下的罚款。</w:t>
            </w:r>
          </w:p>
        </w:tc>
        <w:tc>
          <w:tcPr>
            <w:tcW w:w="1549" w:type="dxa"/>
            <w:shd w:val="clear" w:color="auto" w:fill="auto"/>
            <w:vAlign w:val="center"/>
          </w:tcPr>
          <w:p w14:paraId="235EFF58">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0BC069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1A8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23DD2D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64</w:t>
            </w:r>
          </w:p>
        </w:tc>
        <w:tc>
          <w:tcPr>
            <w:tcW w:w="1104" w:type="dxa"/>
            <w:shd w:val="clear" w:color="auto" w:fill="auto"/>
            <w:tcMar>
              <w:left w:w="57" w:type="dxa"/>
              <w:right w:w="57" w:type="dxa"/>
            </w:tcMar>
            <w:vAlign w:val="center"/>
          </w:tcPr>
          <w:p w14:paraId="51AB73E2">
            <w:pPr>
              <w:pStyle w:val="11"/>
              <w:keepNext w:val="0"/>
              <w:keepLines w:val="0"/>
              <w:pageBreakBefore w:val="0"/>
              <w:widowControl/>
              <w:kinsoku/>
              <w:wordWrap/>
              <w:overflowPunct/>
              <w:topLinePunct w:val="0"/>
              <w:autoSpaceDE/>
              <w:autoSpaceDN/>
              <w:bidi w:val="0"/>
              <w:adjustRightInd/>
              <w:snapToGrid/>
              <w:spacing w:line="23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对依照《建</w:t>
            </w:r>
          </w:p>
          <w:p w14:paraId="7F349C31">
            <w:pPr>
              <w:pStyle w:val="11"/>
              <w:keepNext w:val="0"/>
              <w:keepLines w:val="0"/>
              <w:pageBreakBefore w:val="0"/>
              <w:widowControl/>
              <w:kinsoku/>
              <w:wordWrap/>
              <w:overflowPunct/>
              <w:topLinePunct w:val="0"/>
              <w:autoSpaceDE/>
              <w:autoSpaceDN/>
              <w:bidi w:val="0"/>
              <w:adjustRightInd/>
              <w:snapToGrid/>
              <w:spacing w:line="23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设工程质量管理条例》</w:t>
            </w:r>
          </w:p>
          <w:p w14:paraId="410141CA">
            <w:pPr>
              <w:pStyle w:val="11"/>
              <w:keepNext w:val="0"/>
              <w:keepLines w:val="0"/>
              <w:pageBreakBefore w:val="0"/>
              <w:widowControl/>
              <w:kinsoku/>
              <w:wordWrap/>
              <w:overflowPunct/>
              <w:topLinePunct w:val="0"/>
              <w:autoSpaceDE/>
              <w:autoSpaceDN/>
              <w:bidi w:val="0"/>
              <w:adjustRightInd/>
              <w:snapToGrid/>
              <w:spacing w:line="23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给予单位罚款处罚的单位直接负责的主管人员和其他直接责任人员的行政处罚</w:t>
            </w:r>
          </w:p>
        </w:tc>
        <w:tc>
          <w:tcPr>
            <w:tcW w:w="1104" w:type="dxa"/>
            <w:shd w:val="clear" w:color="auto" w:fill="auto"/>
            <w:tcMar>
              <w:top w:w="0" w:type="dxa"/>
              <w:left w:w="0" w:type="dxa"/>
              <w:bottom w:w="0" w:type="dxa"/>
              <w:right w:w="0" w:type="dxa"/>
            </w:tcMar>
            <w:vAlign w:val="center"/>
          </w:tcPr>
          <w:p w14:paraId="56AFA9A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E6CA332">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lang w:eastAsia="zh-CN"/>
              </w:rPr>
              <w:t>《公路水运工程质量监督管理规定》（交通运输部令2017年第28号）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  依照《建设工程质量管理条例》规定给予单位罚款处罚的，对单位直接负责的主管人员和其他直接责任人员处单位罚款数额5%以上10%以下的罚款。</w:t>
            </w:r>
          </w:p>
        </w:tc>
        <w:tc>
          <w:tcPr>
            <w:tcW w:w="1549" w:type="dxa"/>
            <w:shd w:val="clear" w:color="auto" w:fill="auto"/>
            <w:vAlign w:val="center"/>
          </w:tcPr>
          <w:p w14:paraId="417F172B">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70E9C599">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AD8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5FC3C3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65</w:t>
            </w:r>
          </w:p>
        </w:tc>
        <w:tc>
          <w:tcPr>
            <w:tcW w:w="1104" w:type="dxa"/>
            <w:shd w:val="clear" w:color="auto" w:fill="auto"/>
            <w:tcMar>
              <w:left w:w="57" w:type="dxa"/>
              <w:right w:w="57" w:type="dxa"/>
            </w:tcMar>
            <w:vAlign w:val="center"/>
          </w:tcPr>
          <w:p w14:paraId="6788FDC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对公路水运工程从业单位未全面履行安全生产责任，导致</w:t>
            </w:r>
          </w:p>
          <w:p w14:paraId="1ECFCB4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重大事故隐患等行为的行政处罚</w:t>
            </w:r>
          </w:p>
        </w:tc>
        <w:tc>
          <w:tcPr>
            <w:tcW w:w="1104" w:type="dxa"/>
            <w:shd w:val="clear" w:color="auto" w:fill="auto"/>
            <w:tcMar>
              <w:top w:w="0" w:type="dxa"/>
              <w:left w:w="0" w:type="dxa"/>
              <w:bottom w:w="0" w:type="dxa"/>
              <w:right w:w="0" w:type="dxa"/>
            </w:tcMar>
            <w:vAlign w:val="center"/>
          </w:tcPr>
          <w:p w14:paraId="25FD063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FEDCD4C">
            <w:pPr>
              <w:keepNext w:val="0"/>
              <w:keepLines w:val="0"/>
              <w:pageBreakBefore w:val="0"/>
              <w:widowControl/>
              <w:wordWrap/>
              <w:overflowPunct/>
              <w:topLinePunct w:val="0"/>
              <w:bidi w:val="0"/>
              <w:spacing w:line="226"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《公路水运工程安全生产监督管理办法》</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bCs/>
                <w:color w:val="000000"/>
                <w:kern w:val="0"/>
                <w:sz w:val="18"/>
                <w:szCs w:val="18"/>
              </w:rPr>
              <w:t>交通运输部令2017年第25号</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第二十二条　公路水运工程施工现场的办公、生活区与作业区应当分开设置，并保持安全距离。办公、生活区的选址应当符合安全性要求，严禁在已发现的泥石流影响区、滑坡体等危险区域设置施工驻地。</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施工作业区应当根据施工安全风险辨识结果，确定不同风险等级的管理要求，合理布设。在风险等级较高的区域应当设置警戒区和风险告知牌。</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施工作业点应当设置明显的安全警示标志，按规定设置安全防护设施。施工便道便桥、临时码头应当满足通行和安全作业要求，施工便桥和临时码头还应当提供临边防护和水上救生等设施。</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第二十四条　公路水运工程建设应当实施安全生产风险管理，按规定开展设计、施工安全风险评估。</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设计单位应当依据风险评估结论，对设计方案进行修改完善。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施工单位应当依据风险评估结论，对风险等级较高的分部分项工程编制专项施工方案，并附安全验算结果，经施工单位技术负责人签字后报监理工程师批准执行。</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必要时，施工单位应当组织专家对专项施工方案进行论证、审核。</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第二十七条　从业单位应当建立健全安全生产责任制，明确各岗位的责任人员、责任范围和考核标准等内容。从业单位应当建立相应的机制，加强对安全生产责任制落实情况的监督考核。</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第五十五条  从业单位及相关责任人违反本办法规定，有下列行为之一的，责令限期改正；逾期未改正的，对从业单位处1万元以上3万元以下的罚款；构成犯罪的，依法移送司法部门追究刑事责任：（一）从业单位未全面履行安全生产责任，导致重大事故隐患的；（二）未按规定开展设计、施工安全风险评估，或者风险评估结论与实际情况严重不符，导致重大事故隐患未被及时发现的；（三）未按批准的专项施工方案进行施工，导致重大事故隐患的；（四）在已发现的泥石流影响区、滑坡体等危险区域设置施工驻地，导致重大事故隐患的。</w:t>
            </w:r>
          </w:p>
        </w:tc>
        <w:tc>
          <w:tcPr>
            <w:tcW w:w="1549" w:type="dxa"/>
            <w:shd w:val="clear" w:color="auto" w:fill="auto"/>
            <w:vAlign w:val="center"/>
          </w:tcPr>
          <w:p w14:paraId="5F43F9EA">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7884C86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C81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4" w:hRule="atLeast"/>
        </w:trPr>
        <w:tc>
          <w:tcPr>
            <w:tcW w:w="620" w:type="dxa"/>
            <w:vAlign w:val="center"/>
          </w:tcPr>
          <w:p w14:paraId="3CCFDE2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66</w:t>
            </w:r>
          </w:p>
        </w:tc>
        <w:tc>
          <w:tcPr>
            <w:tcW w:w="1104" w:type="dxa"/>
            <w:shd w:val="clear" w:color="auto" w:fill="auto"/>
            <w:tcMar>
              <w:left w:w="57" w:type="dxa"/>
              <w:right w:w="57" w:type="dxa"/>
            </w:tcMar>
            <w:vAlign w:val="center"/>
          </w:tcPr>
          <w:p w14:paraId="0F1F91F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对申请公路建设行业从业许可过程中弄虚作假、以欺骗、贿赂等不正当手段取得从业许可等行为的行政处罚</w:t>
            </w:r>
          </w:p>
        </w:tc>
        <w:tc>
          <w:tcPr>
            <w:tcW w:w="1104" w:type="dxa"/>
            <w:shd w:val="clear" w:color="auto" w:fill="auto"/>
            <w:tcMar>
              <w:top w:w="0" w:type="dxa"/>
              <w:left w:w="0" w:type="dxa"/>
              <w:bottom w:w="0" w:type="dxa"/>
              <w:right w:w="0" w:type="dxa"/>
            </w:tcMar>
            <w:vAlign w:val="center"/>
          </w:tcPr>
          <w:p w14:paraId="1FECBC86">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9F40B8F">
            <w:pPr>
              <w:keepNext w:val="0"/>
              <w:keepLines w:val="0"/>
              <w:pageBreakBefore w:val="0"/>
              <w:widowControl/>
              <w:wordWrap/>
              <w:overflowPunct/>
              <w:topLinePunct w:val="0"/>
              <w:bidi w:val="0"/>
              <w:spacing w:line="226"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1.《中华人民共和国行政许可法》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第三十一条第一款　申请人申请行政许可，应当如实向行政机关提交有关材料和反映真实情况，并对其申请材料实质内容的真实性负责。行政机关不得要求申请人提交与其申请的行政许可事项无关的技术资料和其他材料。</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第七十九条  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w:t>
            </w:r>
            <w:r>
              <w:rPr>
                <w:rFonts w:hint="eastAsia" w:asciiTheme="majorEastAsia" w:hAnsiTheme="majorEastAsia" w:eastAsiaTheme="majorEastAsia" w:cstheme="majorEastAsia"/>
                <w:b/>
                <w:bCs/>
                <w:color w:val="000000"/>
                <w:kern w:val="0"/>
                <w:sz w:val="18"/>
                <w:szCs w:val="18"/>
                <w:lang w:eastAsia="zh-CN"/>
              </w:rPr>
              <w:t>《公路建设市场管理办法》（交通运输部令2015年第11号）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第十三条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公路工程勘察、设计、施工、监理、试验检测等从业单位应当按照法律、法规的规定，取得有关管理部门颁发的相应资质后，方可进入公路建设市场。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法律、法规对公路建设从业人员的执业资格作出规定的，从业人员应当依法取得相应的执业资格后，方可进入公路建设市场。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第四十八条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从业单位违反本办法规定，在申请公路建设从业许可时，隐瞒有关情况或者提供虚假材料的，行政机关不予受理或者不予行政许可，并给予警告；行政许可申请人在1年内不得再次申请该行政许可。</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被许可人以欺骗、贿赂等不正当手段取得从业许可的，行政机关应当依照法律、法规给予行政处罚；申请人在3年内不得再次申请该行政许可；构成犯罪的，依法追究刑事责任。</w:t>
            </w:r>
          </w:p>
        </w:tc>
        <w:tc>
          <w:tcPr>
            <w:tcW w:w="1549" w:type="dxa"/>
            <w:shd w:val="clear" w:color="auto" w:fill="auto"/>
            <w:vAlign w:val="center"/>
          </w:tcPr>
          <w:p w14:paraId="0E73CAF1">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75408AD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B25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620" w:type="dxa"/>
            <w:vAlign w:val="center"/>
          </w:tcPr>
          <w:p w14:paraId="539A03A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67</w:t>
            </w:r>
          </w:p>
        </w:tc>
        <w:tc>
          <w:tcPr>
            <w:tcW w:w="1104" w:type="dxa"/>
            <w:shd w:val="clear" w:color="auto" w:fill="auto"/>
            <w:tcMar>
              <w:left w:w="57" w:type="dxa"/>
              <w:right w:w="57" w:type="dxa"/>
            </w:tcMar>
            <w:vAlign w:val="center"/>
          </w:tcPr>
          <w:p w14:paraId="2035EB7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对有关单位、个人拒绝或阻碍公路建设监督检查工作行为的行政处罚</w:t>
            </w:r>
          </w:p>
        </w:tc>
        <w:tc>
          <w:tcPr>
            <w:tcW w:w="1104" w:type="dxa"/>
            <w:shd w:val="clear" w:color="auto" w:fill="auto"/>
            <w:tcMar>
              <w:top w:w="0" w:type="dxa"/>
              <w:left w:w="0" w:type="dxa"/>
              <w:bottom w:w="0" w:type="dxa"/>
              <w:right w:w="0" w:type="dxa"/>
            </w:tcMar>
            <w:vAlign w:val="center"/>
          </w:tcPr>
          <w:p w14:paraId="5C2F07B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2570832F">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县级以上人民政府交通主管部门必须依照法律、法规及本办法的规定对公路建设实施监督管理。有关单位和个人应当接受县级以上人民政府交通主管部门依法进行的公路建设监督检查，并给予支持与配合，不得拒绝或阻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第三十六条  违反本办法第四条规定，拒绝或阻碍依法进行公路建设监督检查工作的，责令改正，构成犯罪的，依法追究刑事责任。</w:t>
            </w:r>
          </w:p>
        </w:tc>
        <w:tc>
          <w:tcPr>
            <w:tcW w:w="1549" w:type="dxa"/>
            <w:shd w:val="clear" w:color="auto" w:fill="auto"/>
            <w:vAlign w:val="center"/>
          </w:tcPr>
          <w:p w14:paraId="61657CCA">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BD69E3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257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trPr>
        <w:tc>
          <w:tcPr>
            <w:tcW w:w="620" w:type="dxa"/>
            <w:vAlign w:val="center"/>
          </w:tcPr>
          <w:p w14:paraId="3EBAD63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68</w:t>
            </w:r>
          </w:p>
        </w:tc>
        <w:tc>
          <w:tcPr>
            <w:tcW w:w="1104" w:type="dxa"/>
            <w:shd w:val="clear" w:color="auto" w:fill="auto"/>
            <w:tcMar>
              <w:left w:w="57" w:type="dxa"/>
              <w:right w:w="57" w:type="dxa"/>
            </w:tcMar>
            <w:vAlign w:val="center"/>
          </w:tcPr>
          <w:p w14:paraId="3895781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对公路工程项目法人侵占、挪用公路建设资金，非法扩大建设成本的行政处罚</w:t>
            </w:r>
          </w:p>
        </w:tc>
        <w:tc>
          <w:tcPr>
            <w:tcW w:w="1104" w:type="dxa"/>
            <w:shd w:val="clear" w:color="auto" w:fill="auto"/>
            <w:tcMar>
              <w:top w:w="0" w:type="dxa"/>
              <w:left w:w="0" w:type="dxa"/>
              <w:bottom w:w="0" w:type="dxa"/>
              <w:right w:w="0" w:type="dxa"/>
            </w:tcMar>
            <w:vAlign w:val="center"/>
          </w:tcPr>
          <w:p w14:paraId="76C774B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FEB977D">
            <w:pPr>
              <w:keepNext w:val="0"/>
              <w:keepLines w:val="0"/>
              <w:pageBreakBefore w:val="0"/>
              <w:widowControl/>
              <w:wordWrap/>
              <w:overflowPunct/>
              <w:topLinePunct w:val="0"/>
              <w:bidi w:val="0"/>
              <w:spacing w:line="23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第二十九条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公路建设资金监督管理的主要内容：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（一）是否严格执行建设资金专款专用、专户存储、不准侵占、挪用等有关管理规定；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（二）是否严格执行概预算管理规定，有无将建设资金用于计划外工程；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（三）资金来源是否符合国家有关规定，配套资金是否落实、及时到位；</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（四）是否按合同规定拨付工程进度款，有无高估冒算，虚报冒领情况，工程预备费使用是否符合有关规定；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（五）是否在控制额度内按规定使用建设管理费，按规定的比例预留工程质量保证金，有无非法扩大建设成本的问题；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（六）是否按规定编制项目竣工财务决算，办理财产移交手续，形成的资产是否及时登记入帐管理；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（七）财会机构是否建立健全，并配备相适应的财会人员。各项原始记录、统计台帐、凭证帐册、会计核算、财务报告、内部控制制度等基础性工作是否健全、规范。</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第四十七条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第二十九条规定，项目法人侵占、挪用公路建设资金，非法扩大建设成本，责令限期整改，可给予警告处罚；情节严重的，对全部或部分使用财政性资金的项目，可暂停项目执行或暂缓资金拨付，对直接责任人依法给予行政处分。</w:t>
            </w:r>
          </w:p>
        </w:tc>
        <w:tc>
          <w:tcPr>
            <w:tcW w:w="1549" w:type="dxa"/>
            <w:shd w:val="clear" w:color="auto" w:fill="auto"/>
            <w:vAlign w:val="center"/>
          </w:tcPr>
          <w:p w14:paraId="5118FBF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6DD25D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78A0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4D033C33">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69</w:t>
            </w:r>
          </w:p>
        </w:tc>
        <w:tc>
          <w:tcPr>
            <w:tcW w:w="1104" w:type="dxa"/>
            <w:shd w:val="clear" w:color="auto" w:fill="auto"/>
            <w:tcMar>
              <w:left w:w="57" w:type="dxa"/>
              <w:right w:w="57" w:type="dxa"/>
            </w:tcMar>
            <w:vAlign w:val="center"/>
          </w:tcPr>
          <w:p w14:paraId="289AB29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对交通运输领域生产安全事故发生单位对事故发生负有责任的单位、</w:t>
            </w:r>
          </w:p>
          <w:p w14:paraId="5788415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有关人员的行政处罚</w:t>
            </w:r>
            <w:r>
              <w:rPr>
                <w:rFonts w:hint="eastAsia" w:asciiTheme="majorEastAsia" w:hAnsiTheme="majorEastAsia" w:eastAsiaTheme="majorEastAsia" w:cstheme="majorEastAsia"/>
                <w:b w:val="0"/>
                <w:bCs w:val="0"/>
                <w:color w:val="000000"/>
                <w:kern w:val="0"/>
                <w:sz w:val="18"/>
                <w:szCs w:val="18"/>
              </w:rPr>
              <w:br w:type="textWrapping"/>
            </w:r>
          </w:p>
        </w:tc>
        <w:tc>
          <w:tcPr>
            <w:tcW w:w="1104" w:type="dxa"/>
            <w:shd w:val="clear" w:color="auto" w:fill="auto"/>
            <w:tcMar>
              <w:top w:w="0" w:type="dxa"/>
              <w:left w:w="0" w:type="dxa"/>
              <w:bottom w:w="0" w:type="dxa"/>
              <w:right w:w="0" w:type="dxa"/>
            </w:tcMar>
            <w:vAlign w:val="center"/>
          </w:tcPr>
          <w:p w14:paraId="65EF683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C972183">
            <w:pPr>
              <w:keepNext w:val="0"/>
              <w:keepLines w:val="0"/>
              <w:pageBreakBefore w:val="0"/>
              <w:widowControl/>
              <w:wordWrap/>
              <w:overflowPunct/>
              <w:topLinePunct w:val="0"/>
              <w:bidi w:val="0"/>
              <w:spacing w:line="220" w:lineRule="exact"/>
              <w:ind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《生产安全事故报告和调查处理条例》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第九条　事故发生后，事故现场有关人员应当立即向本单位负责人报告；单位负责人接到报告后，应当于1小时内向事故发生地县级以上人民政府安全生产监督管理部门和负有安全生产监督管理职责的有关部门报告。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情况紧急时，事故现场有关人员可以直接向事故发生地县级以上人民政府安全生产监督管理部门和负有安全生产监督管理职责的有关部门报告。</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　事故发生单位负责人接到事故报告后，应当立即启动事故相应应急预案，或者采取有效措施，组织抢救，防止事故扩大，减少人员伤亡和财产损失。</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第十五条　事故发生地有关地方人民政府、安全生产监督管理部门和负有安全生产监督管理职责的有关部门接到事故报告后，其负责人应当立即赶赴事故现场，组织事故救援。</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　事故发生后，有关单位和人员应当妥善保护事故现场以及相关证据，任何单位和个人不得破坏事故现场、毁灭相关证据。</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因抢救人员、防止事故扩大以及疏通交通等原因，需要移动事故现场物件的，应当做出标志，绘制现场简图并做出书面记录，妥善保存现场重要痕迹、物证。</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　事故发生地公安机关根据事故的情况，对涉嫌犯罪的，应当依法立案侦查，采取强制措施和侦查措施。犯罪嫌疑人逃匿的，公安机关应当迅速追捕归案。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第三十三条　事故发生单位应当认真吸取事故教训，落实防范和整改措施，防止事故再次发生。防范和整改措施的落实情况应当接受工会和职工的监督。</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安全生产监督管理部门和负有安全生产监督管理职责的有关部门应当对事故发生单位落实防范和整改措施的情况进行监督检查。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第四十条第一款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p>
        </w:tc>
        <w:tc>
          <w:tcPr>
            <w:tcW w:w="1549" w:type="dxa"/>
            <w:shd w:val="clear" w:color="auto" w:fill="auto"/>
            <w:vAlign w:val="center"/>
          </w:tcPr>
          <w:p w14:paraId="7B0BE39B">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1B16C4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9BB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620" w:type="dxa"/>
            <w:vAlign w:val="center"/>
          </w:tcPr>
          <w:p w14:paraId="1D797AA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70</w:t>
            </w:r>
          </w:p>
        </w:tc>
        <w:tc>
          <w:tcPr>
            <w:tcW w:w="1104" w:type="dxa"/>
            <w:shd w:val="clear" w:color="auto" w:fill="auto"/>
            <w:tcMar>
              <w:left w:w="57" w:type="dxa"/>
              <w:right w:w="57" w:type="dxa"/>
            </w:tcMar>
            <w:vAlign w:val="center"/>
          </w:tcPr>
          <w:p w14:paraId="1BCF211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对公路工程未交工验收试运营、交</w:t>
            </w:r>
          </w:p>
          <w:p w14:paraId="6A990DA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工验收不合格试运营、</w:t>
            </w:r>
          </w:p>
          <w:p w14:paraId="6F9D589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未备案试运营等行为的行政处罚</w:t>
            </w:r>
          </w:p>
          <w:p w14:paraId="633E405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p>
          <w:p w14:paraId="352649D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p>
        </w:tc>
        <w:tc>
          <w:tcPr>
            <w:tcW w:w="1104" w:type="dxa"/>
            <w:shd w:val="clear" w:color="auto" w:fill="auto"/>
            <w:tcMar>
              <w:top w:w="0" w:type="dxa"/>
              <w:left w:w="0" w:type="dxa"/>
              <w:bottom w:w="0" w:type="dxa"/>
              <w:right w:w="0" w:type="dxa"/>
            </w:tcMar>
            <w:vAlign w:val="center"/>
          </w:tcPr>
          <w:p w14:paraId="5033198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BFA5F34">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1.《建设工程质量管理条例》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第十六条第一款　建设单位收到建设工程竣工报告后，应当组织设计、施工、工程监理等有关单位进行竣工验收。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第五十八条  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2.《公路工程竣（交）工验收办法》</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bCs/>
                <w:color w:val="000000"/>
                <w:kern w:val="0"/>
                <w:sz w:val="18"/>
                <w:szCs w:val="18"/>
              </w:rPr>
              <w:t>交通部令(2004)第3号</w:t>
            </w:r>
            <w:r>
              <w:rPr>
                <w:rFonts w:hint="eastAsia" w:asciiTheme="majorEastAsia" w:hAnsiTheme="majorEastAsia" w:eastAsiaTheme="majorEastAsia" w:cstheme="majorEastAsia"/>
                <w:b/>
                <w:bCs/>
                <w:color w:val="000000"/>
                <w:kern w:val="0"/>
                <w:sz w:val="18"/>
                <w:szCs w:val="18"/>
                <w:lang w:eastAsia="zh-CN"/>
              </w:rPr>
              <w:t>）</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第九条　公路工程各合同段符合交工验收条件后，经监理工程师同意，由施工单位向项目法人提出申请，项目法人应及时组织对该合同段进行交工验收。</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第十四条　公路工程各合同段验收合格后，项目法人应按交通部规定的要求及时完成项目交工验收报告，并向交通主管部门备案。国家、部重点公路工程项目中100公里以上的高速公路、独立特大型桥梁和特长隧道工程向省级人民政府交通主管部门备案，其它公路工程按省级人民政府交通主管部门的规定向相应的交通主管部门备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公路工程各合同段验收合格后，质量监督机构应向交通主管部门提交项目的检测报告。交通主管部门在15天内未对备案的项目交工验收报告提出异议，项目法人可开放交通进入试运营期。试运营期不得超过3年。</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第二十六条  项目法人违反本办法规定，对未进行交工验收、交工验收不合格或未备案的工程开放交通进行试运营的，由交通主管部门责令停止试运营，并予以警告处罚。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3.</w:t>
            </w:r>
            <w:r>
              <w:rPr>
                <w:rFonts w:hint="eastAsia" w:asciiTheme="majorEastAsia" w:hAnsiTheme="majorEastAsia" w:eastAsiaTheme="majorEastAsia" w:cstheme="majorEastAsia"/>
                <w:b/>
                <w:bCs/>
                <w:color w:val="000000"/>
                <w:kern w:val="0"/>
                <w:sz w:val="18"/>
                <w:szCs w:val="18"/>
                <w:lang w:eastAsia="zh-CN"/>
              </w:rPr>
              <w:t>《公路建设监督管理办法》（交通运输部令2021年第11号）</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第十五条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公路建设项目验收分为交工验收和竣工验收两个阶段。项目法人负责组织对各合同段进行交工验收，并完成项目交工验收报告报交通主管部门备案。交通主管部门在15天内没有对备案项目的交工验收报告提出异议，项目法人可开放交通进入试运营期。试运营期不得超过3年。</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通车试运营2年后，交通主管部门应组织竣工验收，经竣工验收合格的项目可转为正式运营。对未进行交工验收、交工验收不合格或没有备案的工程开放交通进行试运营的，由交通主管部门责令停止试运营。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公路建设项目验收工作应当符合交通部制定的《公路工程竣（交）工验收办法》的规定。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违反本办法第十五条规定，未组织项目交工验收或验收不合格擅自交付使用的，责令改正并停止使用，处工程合同价款2％以上4％以下的罚款；对收费公路项目应当停止收费。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4. 《湖南省高速公路条例》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第十七条第一款　高速公路建设项目未按照国家有关规定进行交工验收或者交工验收不合格的，不得交付使用。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第四十九条　违反本条例第十七条第一款规定，高速公路建设项目未进行交工验收或者交工验收不合格，擅自交付使用的，由交通运输主管部门责令改正，处工程合同价款百分之二以上百分之四以下罚款。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5.《湖南省交通建设工程质量与安全生产条例》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第十七条</w:t>
            </w:r>
            <w:r>
              <w:rPr>
                <w:rFonts w:hint="eastAsia" w:asciiTheme="majorEastAsia" w:hAnsiTheme="majorEastAsia" w:eastAsiaTheme="majorEastAsia" w:cstheme="majorEastAsia"/>
                <w:b w:val="0"/>
                <w:bCs w:val="0"/>
                <w:color w:val="000000"/>
                <w:kern w:val="0"/>
                <w:sz w:val="18"/>
                <w:szCs w:val="18"/>
                <w:lang w:eastAsia="zh-CN"/>
              </w:rPr>
              <w:t>第一款</w:t>
            </w:r>
            <w:r>
              <w:rPr>
                <w:rFonts w:hint="eastAsia" w:asciiTheme="majorEastAsia" w:hAnsiTheme="majorEastAsia" w:eastAsiaTheme="majorEastAsia" w:cstheme="majorEastAsia"/>
                <w:b w:val="0"/>
                <w:bCs w:val="0"/>
                <w:color w:val="000000"/>
                <w:kern w:val="0"/>
                <w:sz w:val="18"/>
                <w:szCs w:val="18"/>
              </w:rPr>
              <w:t xml:space="preserve">  交通建设工程交工验收前，质安监管机构应当出具检测意见。未经检测或者检测不合格的，建设单位不得组织交工验收。</w:t>
            </w:r>
          </w:p>
        </w:tc>
        <w:tc>
          <w:tcPr>
            <w:tcW w:w="1549" w:type="dxa"/>
            <w:shd w:val="clear" w:color="auto" w:fill="auto"/>
            <w:vAlign w:val="center"/>
          </w:tcPr>
          <w:p w14:paraId="019E7D5F">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C753B5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01A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5" w:hRule="atLeast"/>
        </w:trPr>
        <w:tc>
          <w:tcPr>
            <w:tcW w:w="620" w:type="dxa"/>
            <w:vAlign w:val="center"/>
          </w:tcPr>
          <w:p w14:paraId="0F17DE94">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71</w:t>
            </w:r>
          </w:p>
        </w:tc>
        <w:tc>
          <w:tcPr>
            <w:tcW w:w="1104" w:type="dxa"/>
            <w:shd w:val="clear" w:color="auto" w:fill="auto"/>
            <w:tcMar>
              <w:left w:w="57" w:type="dxa"/>
              <w:right w:w="57" w:type="dxa"/>
            </w:tcMar>
            <w:vAlign w:val="center"/>
          </w:tcPr>
          <w:p w14:paraId="14B230D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r>
              <w:rPr>
                <w:rFonts w:hint="eastAsia" w:asciiTheme="majorEastAsia" w:hAnsiTheme="majorEastAsia" w:eastAsiaTheme="majorEastAsia" w:cstheme="majorEastAsia"/>
                <w:b w:val="0"/>
                <w:bCs w:val="0"/>
                <w:color w:val="auto"/>
                <w:kern w:val="0"/>
                <w:sz w:val="18"/>
                <w:szCs w:val="18"/>
              </w:rPr>
              <w:t>对交通运输领域承担安全评价工作等机构出具失实报告、租借资质、挂靠、出具虚假报告行为的行政处罚</w:t>
            </w:r>
          </w:p>
        </w:tc>
        <w:tc>
          <w:tcPr>
            <w:tcW w:w="1104" w:type="dxa"/>
            <w:shd w:val="clear" w:color="auto" w:fill="auto"/>
            <w:tcMar>
              <w:top w:w="0" w:type="dxa"/>
              <w:left w:w="0" w:type="dxa"/>
              <w:bottom w:w="0" w:type="dxa"/>
              <w:right w:w="0" w:type="dxa"/>
            </w:tcMar>
            <w:vAlign w:val="center"/>
          </w:tcPr>
          <w:p w14:paraId="656FC60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65B98647">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bCs/>
                <w:color w:val="auto"/>
                <w:kern w:val="0"/>
                <w:sz w:val="18"/>
                <w:szCs w:val="18"/>
              </w:rPr>
              <w:t>《中华人民共和国安全生产法》</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第七十二条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承担安全评价、认证、检测、检验职责的机构应当具备国家规定的资质条件，并对其作出的安全评价、认证、检测、检验结果的合法性、真实性负责。资质条件由国务院应急管理部门会同国务院有关部门制定。</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承担安全评价、认证、检测、检验职责的机构应当建立并实施服务公开和报告公开制度，不得租借资质、挂靠、出具虚假报告。                                                                                                        </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第九十二条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承担安全评价、认证、检测、检验职责的机构出具失实报告的，责令停业整顿，并处三万元以上十万元以下的罚款；给他人造成损害的，依法承担赔偿责任。</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对有前款违法行为的机构及其直接责任人员，吊销其相应资质和资格，五年内不得从事安全评价、认证、检测、检验等工作；情节严重的，实行终身行业和职业禁入。</w:t>
            </w:r>
          </w:p>
        </w:tc>
        <w:tc>
          <w:tcPr>
            <w:tcW w:w="1549" w:type="dxa"/>
            <w:shd w:val="clear" w:color="auto" w:fill="auto"/>
            <w:vAlign w:val="center"/>
          </w:tcPr>
          <w:p w14:paraId="661D8F3E">
            <w:pPr>
              <w:pStyle w:val="11"/>
              <w:kinsoku/>
              <w:spacing w:line="240" w:lineRule="exact"/>
              <w:jc w:val="center"/>
              <w:rPr>
                <w:rFonts w:hint="eastAsia" w:asciiTheme="majorEastAsia" w:hAnsiTheme="majorEastAsia" w:eastAsiaTheme="majorEastAsia" w:cstheme="majorEastAsia"/>
                <w:b w:val="0"/>
                <w:bCs w:val="0"/>
                <w:snapToGrid w:val="0"/>
                <w:color w:val="auto"/>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0EA8C411">
            <w:pPr>
              <w:pStyle w:val="11"/>
              <w:kinsoku/>
              <w:spacing w:line="240" w:lineRule="exact"/>
              <w:jc w:val="center"/>
              <w:rPr>
                <w:rFonts w:hint="eastAsia" w:ascii="宋体" w:hAnsi="宋体" w:eastAsia="宋体" w:cs="宋体"/>
                <w:b w:val="0"/>
                <w:bCs w:val="0"/>
                <w:snapToGrid w:val="0"/>
                <w:color w:val="auto"/>
                <w:spacing w:val="-4"/>
                <w:kern w:val="0"/>
                <w:sz w:val="18"/>
                <w:szCs w:val="18"/>
                <w:lang w:val="en-US" w:eastAsia="zh-CN" w:bidi="ar-SA"/>
              </w:rPr>
            </w:pPr>
            <w:r>
              <w:rPr>
                <w:rFonts w:hint="eastAsia"/>
                <w:color w:val="auto"/>
                <w:spacing w:val="-4"/>
                <w:lang w:eastAsia="zh-CN"/>
              </w:rPr>
              <w:t>衡阳市交通运输综合行政执法支队</w:t>
            </w:r>
          </w:p>
        </w:tc>
      </w:tr>
      <w:tr w14:paraId="7D66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620" w:type="dxa"/>
            <w:vAlign w:val="center"/>
          </w:tcPr>
          <w:p w14:paraId="66BDB61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72</w:t>
            </w:r>
          </w:p>
        </w:tc>
        <w:tc>
          <w:tcPr>
            <w:tcW w:w="1104" w:type="dxa"/>
            <w:shd w:val="clear" w:color="auto" w:fill="auto"/>
            <w:tcMar>
              <w:left w:w="57" w:type="dxa"/>
              <w:right w:w="57" w:type="dxa"/>
            </w:tcMar>
            <w:vAlign w:val="center"/>
          </w:tcPr>
          <w:p w14:paraId="342CB04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对不依法保证安全生产所必需的资金投入，致使生产经营单位不具备安全生产条件行为的行政处罚</w:t>
            </w:r>
          </w:p>
          <w:p w14:paraId="7BF4668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p>
        </w:tc>
        <w:tc>
          <w:tcPr>
            <w:tcW w:w="1104" w:type="dxa"/>
            <w:shd w:val="clear" w:color="auto" w:fill="auto"/>
            <w:tcMar>
              <w:top w:w="0" w:type="dxa"/>
              <w:left w:w="0" w:type="dxa"/>
              <w:bottom w:w="0" w:type="dxa"/>
              <w:right w:w="0" w:type="dxa"/>
            </w:tcMar>
            <w:vAlign w:val="center"/>
          </w:tcPr>
          <w:p w14:paraId="4923668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2B653CC">
            <w:pPr>
              <w:keepNext w:val="0"/>
              <w:keepLines w:val="0"/>
              <w:pageBreakBefore w:val="0"/>
              <w:widowControl/>
              <w:wordWrap/>
              <w:overflowPunct/>
              <w:topLinePunct w:val="0"/>
              <w:bidi w:val="0"/>
              <w:spacing w:line="230"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1.《中华人民共和国安全生产法》   </w:t>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第二十三条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生产经营单位应当具备的安全生产条件所必需的资金投入，由生产经营单位的决策机构、主要负责人或者个人经营的投资人予以保证，并对由于安全生产所必需的资金投入不足导致的后果承担责任。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第九十三条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有前款违法行为，导致发生生产安全事故的，对生产经营单位的主要负责人给予撤职处分，对个人经营的投资人处二万元以上二十万元以下的罚款；构成犯罪的，依照刑法有关规定追究刑事责任。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2.《建设工程安全生产管理条例》</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第二十一条　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第五十四条  违反本条例的规定，建设单位未提供建设工程安全生产作业环境及安全施工措施所需费用的，责令限期改正；逾期未改正的，责令该建设工程停止施工。</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建设单位未将保证安全施工的措施或者拆除工程的有关资料报送有关部门备案的，责令限期改正，给予警告。     </w:t>
            </w:r>
          </w:p>
        </w:tc>
        <w:tc>
          <w:tcPr>
            <w:tcW w:w="1549" w:type="dxa"/>
            <w:shd w:val="clear" w:color="auto" w:fill="auto"/>
            <w:vAlign w:val="center"/>
          </w:tcPr>
          <w:p w14:paraId="29AB3F2E">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E7EF5F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FB9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C85588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73</w:t>
            </w:r>
          </w:p>
        </w:tc>
        <w:tc>
          <w:tcPr>
            <w:tcW w:w="1104" w:type="dxa"/>
            <w:shd w:val="clear" w:color="auto" w:fill="auto"/>
            <w:tcMar>
              <w:left w:w="57" w:type="dxa"/>
              <w:right w:w="57" w:type="dxa"/>
            </w:tcMar>
            <w:vAlign w:val="center"/>
          </w:tcPr>
          <w:p w14:paraId="5C383A3E">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对交通运输领域生产经营单位主要负责人及其安全生产管理人员未履行安全生产管理职责的行政处罚</w:t>
            </w:r>
          </w:p>
        </w:tc>
        <w:tc>
          <w:tcPr>
            <w:tcW w:w="1104" w:type="dxa"/>
            <w:shd w:val="clear" w:color="auto" w:fill="auto"/>
            <w:tcMar>
              <w:top w:w="0" w:type="dxa"/>
              <w:left w:w="0" w:type="dxa"/>
              <w:bottom w:w="0" w:type="dxa"/>
              <w:right w:w="0" w:type="dxa"/>
            </w:tcMar>
            <w:vAlign w:val="center"/>
          </w:tcPr>
          <w:p w14:paraId="08219FD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767DE5A">
            <w:pPr>
              <w:keepNext w:val="0"/>
              <w:keepLines w:val="0"/>
              <w:pageBreakBefore w:val="0"/>
              <w:widowControl/>
              <w:wordWrap/>
              <w:overflowPunct/>
              <w:topLinePunct w:val="0"/>
              <w:bidi w:val="0"/>
              <w:spacing w:line="224" w:lineRule="exact"/>
              <w:ind w:right="0" w:firstLine="181" w:firstLineChars="1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 xml:space="preserve"> </w:t>
            </w:r>
            <w:r>
              <w:rPr>
                <w:rFonts w:hint="eastAsia" w:asciiTheme="majorEastAsia" w:hAnsiTheme="majorEastAsia" w:eastAsiaTheme="majorEastAsia" w:cstheme="majorEastAsia"/>
                <w:b/>
                <w:bCs/>
                <w:color w:val="000000"/>
                <w:kern w:val="0"/>
                <w:sz w:val="18"/>
                <w:szCs w:val="18"/>
              </w:rPr>
              <w:t>1.《中华人民共和国安全生产法》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第二十一条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主要负责人对本单位安全生产工作负有下列职责：（一）建立健全并落实本单位全员安全生产责任制，加强安全生产标准化建设；（二）组织制定并实施本单位安全生产规章制度和操作规程；（三）组织制定并实施本单位安全生产教育和培训计划；（四）保证本单位安全生产投入的有效实施；（五）组织建立并落实安全风险分级管控和隐患排查治理双重预防工作机制，督促、检查本单位的安全生产工作，及时消除生产安全事故隐患；（六）组织制定并实施本单位的生产安全事故应急救援预案；（七）及时、如实报告生产安全事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矿山、金属冶炼、建筑施工、运输单位和危险物品的生产、经营、储存、装卸单位，应当设置安全生产管理机构或者配备专职安全生产管理人员。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前款规定以外的其他生产经营单位，从业人员超过一百人的，应当设置安全生产管理机构或者配备专职安全生产管理人员；从业人员在一百人以下的，应当配备专职或者兼职的安全生产管理人员。</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第四十六条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         </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生产经营单位的主要负责人未履行本法规定的安全生产管理职责的，责令限期改正，处二万元以上五万元以下的罚款；逾期未改正的，处五万元以上十万元以下的罚款，责令生产经营单位停产停业整顿。</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生产经营单位的主要负责人有前款违法行为，导致发生生产安全事故的，给予撤职处分；构成犯罪的，依照刑法有关规定追究刑事责任。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第九十五条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主要负责人未履行本法规定的安全生产管理职责，导致发生生产安全事故的，由应急管理部门依照下列规定处以罚款：（一）发生一般事故的，处上一年年收入百分之四十的罚款；（二）发生较大事故的，处上一年年收入百分之六十的罚款；（三）发生重大事故的，处上一年年收入百分之八十的罚款；（四）发生特别重大事故的，处上一年年收入百分之一百的罚款。</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第九十六条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bCs/>
                <w:color w:val="000000"/>
                <w:kern w:val="0"/>
                <w:sz w:val="18"/>
                <w:szCs w:val="18"/>
              </w:rPr>
              <w:t xml:space="preserve"> 2.《建设工程安全生产管理条例》</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第二十一条　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 xml:space="preserve"> 第六十六条第一款  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14:paraId="49F9BBB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bidi="ar-SA"/>
              </w:rPr>
            </w:pPr>
            <w:r>
              <w:rPr>
                <w:rFonts w:hint="eastAsia" w:asciiTheme="majorEastAsia" w:hAnsiTheme="majorEastAsia" w:eastAsiaTheme="majorEastAsia" w:cstheme="majorEastAsia"/>
                <w:b/>
                <w:bCs/>
                <w:color w:val="000000"/>
                <w:kern w:val="0"/>
                <w:sz w:val="18"/>
                <w:szCs w:val="18"/>
                <w:lang w:val="en-US" w:eastAsia="zh-CN" w:bidi="ar-SA"/>
              </w:rPr>
              <w:t>3、《交通运输工程施工单位主要负责人、项目负责人和专职安全生产管理人员安全生产考核管理办法》（交通运输部令2024年第2号）</w:t>
            </w:r>
          </w:p>
          <w:p w14:paraId="1477C86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第五条  交通运输工程安管人员安全生产考核分为公路工程和水运工程两个领域，每个领域按照岗位类型均分为主要负责人考核、项目负责人考核和专职安全生产管理人员考核。</w:t>
            </w:r>
          </w:p>
          <w:p w14:paraId="1A1D1C1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安管人员应当按照考核合格证书明确的工程领域、岗位类型从事相应的安全生产工作，依法履行安全生产管理职责。</w:t>
            </w:r>
          </w:p>
          <w:p w14:paraId="7EFE1B2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第二十二  主要负责人未依法履行安全生产管理职责的，责令限期改正，处2万元以上5万元以下的罚款；逾期未改正的，处5万元以上10万元以下的罚款，责令施工单位停产停业整顿。</w:t>
            </w:r>
          </w:p>
          <w:p w14:paraId="73D155D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有前款违法行为，导致发生生产安全事故的，给予撤职处分；构成犯罪的，依照刑法有关规定追究刑事责任。</w:t>
            </w:r>
          </w:p>
          <w:p w14:paraId="18FD30FD">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主要负责人依照前款规定受刑事处罚或者撤职处分的，自刑罚执行完毕或者受处分之日起，5年内不得担任任何生产经营单位的主要负责人；对重大、特别重大生产安全事故负有责任的，终身不得担任本行业生产经营单位的主要负责人。</w:t>
            </w:r>
          </w:p>
          <w:p w14:paraId="60125AB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第二十三条  项目负责人未依法履行安全生产管理职责的，责令限期改正，处1万元以上3万元以下的罚款。</w:t>
            </w:r>
          </w:p>
          <w:p w14:paraId="3441FB2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有前款违法行为，导致发生一般生产安全事故的，暂停考核合格证书6个月至12个月，并处上一年年收入20%以上30%以下的罚款；导致发生较大及以上生产安全事故的，吊销考核合格证书，并处上一年年收入30%以上50%以下的罚款。构成犯罪的，依照刑法有关规定追究刑事责任。</w:t>
            </w:r>
          </w:p>
          <w:p w14:paraId="50BF983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bidi="ar-SA"/>
              </w:rPr>
              <w:t>第二十四条  专职安全生产管理人员未依法履行安全生产管理职责的，责令限期改正，处1万元以上3万元以下的罚款。</w:t>
            </w:r>
          </w:p>
          <w:p w14:paraId="0D41EB1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4"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val="en-US" w:eastAsia="zh-CN" w:bidi="ar-SA"/>
              </w:rPr>
              <w:t>有前款违法行为，导致发生一般生产安全事故的，暂停考核合格证书3个月至6个月，并处上一年年收入20%以上30%以下的罚款；导致发生较大生产安全事故的，暂停考核合格证书6个月至12个月，并处上一年年收入30%以上40%以下的罚款；导致发生重大、特别重大生产安全事故的，吊销考核合格证书，并处上一年年收入40%以上50%以下的罚款。构成犯罪的，依照刑法有关规定追究刑事责任。</w:t>
            </w:r>
          </w:p>
        </w:tc>
        <w:tc>
          <w:tcPr>
            <w:tcW w:w="1549" w:type="dxa"/>
            <w:shd w:val="clear" w:color="auto" w:fill="auto"/>
            <w:vAlign w:val="center"/>
          </w:tcPr>
          <w:p w14:paraId="38218D4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FCDF71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CB9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5777E4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74</w:t>
            </w:r>
          </w:p>
        </w:tc>
        <w:tc>
          <w:tcPr>
            <w:tcW w:w="1104" w:type="dxa"/>
            <w:shd w:val="clear" w:color="auto" w:fill="auto"/>
            <w:tcMar>
              <w:left w:w="57" w:type="dxa"/>
              <w:right w:w="57" w:type="dxa"/>
            </w:tcMar>
            <w:vAlign w:val="center"/>
          </w:tcPr>
          <w:p w14:paraId="7A7FC5C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对生产经营单位未按规定设置安全生产管理机构或者配备安全生产管理人员等行为的行政处罚</w:t>
            </w:r>
          </w:p>
          <w:p w14:paraId="5A84DAC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p>
        </w:tc>
        <w:tc>
          <w:tcPr>
            <w:tcW w:w="1104" w:type="dxa"/>
            <w:shd w:val="clear" w:color="auto" w:fill="auto"/>
            <w:tcMar>
              <w:top w:w="0" w:type="dxa"/>
              <w:left w:w="0" w:type="dxa"/>
              <w:bottom w:w="0" w:type="dxa"/>
              <w:right w:w="0" w:type="dxa"/>
            </w:tcMar>
            <w:vAlign w:val="center"/>
          </w:tcPr>
          <w:p w14:paraId="6475F2D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56EC34CB">
            <w:pPr>
              <w:keepNext w:val="0"/>
              <w:keepLines w:val="0"/>
              <w:pageBreakBefore w:val="0"/>
              <w:widowControl/>
              <w:wordWrap/>
              <w:overflowPunct/>
              <w:topLinePunct w:val="0"/>
              <w:bidi w:val="0"/>
              <w:spacing w:line="232"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bCs/>
                <w:color w:val="000000"/>
                <w:kern w:val="0"/>
                <w:sz w:val="18"/>
                <w:szCs w:val="18"/>
                <w:lang w:val="en-US" w:eastAsia="en-US"/>
              </w:rPr>
              <w:t>1.《中华人民共和国安全生产法》</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第二十四条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lang w:val="en-US" w:eastAsia="en-US"/>
              </w:rPr>
              <w:t>矿山、金属冶炼、建筑施工、运输单位和危险物品的生产、经营、储存、装卸单位，应当设置安全生产管理机构或者配备专职安全生产管理人员。</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前款规定以外的其他生产经营单位，从业人员超过一百人的，应当设置安全生产管理机构或者配备专职安全生产管理人员；从业人员在一百人以下的，应当配备专职或者兼职的安全生产管理人员。</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第九十七条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lang w:val="en-US" w:eastAsia="en-US"/>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w:t>
            </w:r>
            <w:r>
              <w:rPr>
                <w:rFonts w:hint="eastAsia" w:asciiTheme="majorEastAsia" w:hAnsiTheme="majorEastAsia" w:eastAsiaTheme="majorEastAsia" w:cstheme="majorEastAsia"/>
                <w:b w:val="0"/>
                <w:bCs w:val="0"/>
                <w:color w:val="000000"/>
                <w:kern w:val="0"/>
                <w:sz w:val="18"/>
                <w:szCs w:val="18"/>
                <w:lang w:val="en-US" w:eastAsia="zh-CN"/>
              </w:rPr>
              <w:t>；</w:t>
            </w:r>
            <w:r>
              <w:rPr>
                <w:rFonts w:hint="eastAsia" w:asciiTheme="majorEastAsia" w:hAnsiTheme="majorEastAsia" w:eastAsiaTheme="majorEastAsia" w:cstheme="majorEastAsia"/>
                <w:b w:val="0"/>
                <w:bCs w:val="0"/>
                <w:color w:val="000000"/>
                <w:kern w:val="0"/>
                <w:sz w:val="18"/>
                <w:szCs w:val="18"/>
                <w:lang w:val="en-US" w:eastAsia="en-US"/>
              </w:rPr>
              <w:t>（二）危险物品的生产、经营、储存、装卸单位以及矿山、金属冶炼、建筑施工、运输单位的主要负责人和安全生产管理人员未按照规定经考核合格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w:t>
            </w:r>
            <w:r>
              <w:rPr>
                <w:rFonts w:hint="eastAsia" w:asciiTheme="majorEastAsia" w:hAnsiTheme="majorEastAsia" w:eastAsiaTheme="majorEastAsia" w:cstheme="majorEastAsia"/>
                <w:b/>
                <w:bCs/>
                <w:color w:val="000000"/>
                <w:kern w:val="0"/>
                <w:sz w:val="18"/>
                <w:szCs w:val="18"/>
                <w:lang w:val="en-US" w:eastAsia="en-US"/>
              </w:rPr>
              <w:t>2.《建设工程安全生产管理条例》</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第二十三条　施工单位应当设立安全生产管理机构，配备专职安全生产管理人员。</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专职安全生产管理人员负责对安全生产进行现场监督检查。发现安全事故隐患，应当及时向项目负责人和安全生产管理机构报告；对违章指挥、违章操作的，应当立即制止。</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专职安全生产管理人员的配备办法由国务院建设行政主管部门会同国务院其他有关部门制定。</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第六十二条第（一）（二）项  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 (一)未设立安全生产管理机构、配备专职安全生产管理人员或者分部分项工程施工时无专职安全生产管理人员现场监督的；（二）施工单位的主要负责人、项目负责人、专职安全生产管理人员、作业人员或者特种作业人员，未经安全教育培训或者经考核不合格即从事相关工作的。</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w:t>
            </w:r>
            <w:r>
              <w:rPr>
                <w:rFonts w:hint="eastAsia" w:asciiTheme="majorEastAsia" w:hAnsiTheme="majorEastAsia" w:eastAsiaTheme="majorEastAsia" w:cstheme="majorEastAsia"/>
                <w:b/>
                <w:bCs/>
                <w:color w:val="000000"/>
                <w:kern w:val="0"/>
                <w:sz w:val="18"/>
                <w:szCs w:val="18"/>
                <w:lang w:val="en-US" w:eastAsia="en-US"/>
              </w:rPr>
              <w:t xml:space="preserve"> 3.《危险化学品安全管理条例》</w:t>
            </w:r>
            <w:r>
              <w:rPr>
                <w:rFonts w:hint="eastAsia" w:asciiTheme="majorEastAsia" w:hAnsiTheme="majorEastAsia" w:eastAsiaTheme="majorEastAsia" w:cstheme="majorEastAsia"/>
                <w:b/>
                <w:bCs/>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第四条第三款  危险化学品单位应当具备法律、行政法规规定和国家标准、行业标准要求的安全条件，建立、健全安全管理规章制度和岗位安全责任制度，对从业人员进行安全教育、法制教育和岗位技术培训。从业人员应当接受教育和培训，考核合格后上岗作业；对有资格要求的岗位，应当配备依法取得相应资格的人员。</w:t>
            </w:r>
          </w:p>
          <w:p w14:paraId="37742E38">
            <w:pPr>
              <w:keepNext w:val="0"/>
              <w:keepLines w:val="0"/>
              <w:pageBreakBefore w:val="0"/>
              <w:widowControl/>
              <w:wordWrap/>
              <w:overflowPunct/>
              <w:topLinePunct w:val="0"/>
              <w:bidi w:val="0"/>
              <w:spacing w:line="232"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lang w:val="en-US" w:eastAsia="en-US"/>
              </w:rPr>
              <w:t>第八十六条  有下列情形之一的，由交通运输主管部门责令改正，处5万元以上10万元以下的罚款；拒不改正的，责令停产停业整顿；构成犯罪的，依法追究刑事责任：（一）危险化学品道路运输企业、水路运输企业的驾驶人员、船员、装卸管理人员、押运人员、申报人员、集装箱装箱现场检查员未取得从业资格上岗作业的；（二）运输危险化学品，未根据危险化学品的危险特性采取相应的安全防护措施，或者未配备必要的防护用品和应急救援器材的；（三）使用未依法取得危险货物适装证书的船舶，通过内河运输危险化学品的；（四）通过内河运输危险化学品的承运人违反国务院交通运输主管部门对单船运输的危险化学品数量的限制性规定运输危险化学品的；（五）用于危险化学品运输作业的内河码头、泊位不符合国家有关安全规范，或者未与饮用水取水口保持国家规定的安全距离，或者未经交通运输主管部门验收合格投入使用的；（六）托运人不向承运人说明所托运的危险化学品的种类、数量、危险特性以及发生危险情况的应急处置措施，或者未按照国家有关规定对所托运的危险化学品妥善包装并在外包装上设置相应标志的；（七）运输危险化学品需要添加抑制剂或者稳定剂，托运人未添加或者未将有关情况告知承运人的。</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w:t>
            </w:r>
            <w:r>
              <w:rPr>
                <w:rFonts w:hint="eastAsia" w:asciiTheme="majorEastAsia" w:hAnsiTheme="majorEastAsia" w:eastAsiaTheme="majorEastAsia" w:cstheme="majorEastAsia"/>
                <w:b/>
                <w:bCs/>
                <w:color w:val="000000"/>
                <w:kern w:val="0"/>
                <w:sz w:val="18"/>
                <w:szCs w:val="18"/>
                <w:lang w:val="en-US" w:eastAsia="en-US"/>
              </w:rPr>
              <w:t>4.</w:t>
            </w:r>
            <w:r>
              <w:rPr>
                <w:rFonts w:hint="eastAsia" w:asciiTheme="majorEastAsia" w:hAnsiTheme="majorEastAsia" w:eastAsiaTheme="majorEastAsia" w:cstheme="majorEastAsia"/>
                <w:b/>
                <w:bCs/>
                <w:color w:val="000000"/>
                <w:kern w:val="0"/>
                <w:sz w:val="18"/>
                <w:szCs w:val="18"/>
                <w:lang w:val="en-US" w:eastAsia="zh-CN"/>
              </w:rPr>
              <w:t>《道路危险货物运输管理规定》（交通运输部令2023年第13号）</w:t>
            </w:r>
            <w:r>
              <w:rPr>
                <w:rFonts w:hint="eastAsia" w:asciiTheme="majorEastAsia" w:hAnsiTheme="majorEastAsia" w:eastAsiaTheme="majorEastAsia" w:cstheme="majorEastAsia"/>
                <w:b/>
                <w:bCs/>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第八条第（三）项　申请从事道路危险货物运输经营，应当具备下列条件：（三）有符合下列要求的从业人员和安全管理人员：</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1</w:t>
            </w:r>
            <w:r>
              <w:rPr>
                <w:rFonts w:hint="eastAsia" w:asciiTheme="majorEastAsia" w:hAnsiTheme="majorEastAsia" w:eastAsiaTheme="majorEastAsia" w:cstheme="majorEastAsia"/>
                <w:b w:val="0"/>
                <w:bCs w:val="0"/>
                <w:color w:val="000000"/>
                <w:kern w:val="0"/>
                <w:sz w:val="18"/>
                <w:szCs w:val="18"/>
                <w:lang w:val="en-US" w:eastAsia="zh-CN"/>
              </w:rPr>
              <w:t>)</w:t>
            </w:r>
            <w:r>
              <w:rPr>
                <w:rFonts w:hint="eastAsia" w:asciiTheme="majorEastAsia" w:hAnsiTheme="majorEastAsia" w:eastAsiaTheme="majorEastAsia" w:cstheme="majorEastAsia"/>
                <w:b w:val="0"/>
                <w:bCs w:val="0"/>
                <w:color w:val="000000"/>
                <w:kern w:val="0"/>
                <w:sz w:val="18"/>
                <w:szCs w:val="18"/>
                <w:lang w:val="en-US" w:eastAsia="en-US"/>
              </w:rPr>
              <w:t>专用车辆的驾驶人员取得相应机动车驾驶证，年龄不超过60周岁。</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2</w:t>
            </w:r>
            <w:r>
              <w:rPr>
                <w:rFonts w:hint="eastAsia" w:asciiTheme="majorEastAsia" w:hAnsiTheme="majorEastAsia" w:eastAsiaTheme="majorEastAsia" w:cstheme="majorEastAsia"/>
                <w:b w:val="0"/>
                <w:bCs w:val="0"/>
                <w:color w:val="000000"/>
                <w:kern w:val="0"/>
                <w:sz w:val="18"/>
                <w:szCs w:val="18"/>
                <w:lang w:val="en-US" w:eastAsia="zh-CN"/>
              </w:rPr>
              <w:t>)</w:t>
            </w:r>
            <w:r>
              <w:rPr>
                <w:rFonts w:hint="eastAsia" w:asciiTheme="majorEastAsia" w:hAnsiTheme="majorEastAsia" w:eastAsiaTheme="majorEastAsia" w:cstheme="majorEastAsia"/>
                <w:b w:val="0"/>
                <w:bCs w:val="0"/>
                <w:color w:val="000000"/>
                <w:kern w:val="0"/>
                <w:sz w:val="18"/>
                <w:szCs w:val="18"/>
                <w:lang w:val="en-US" w:eastAsia="en-US"/>
              </w:rPr>
              <w:t>从事道路危险货物运输的驾驶人员、装卸管理人员、押运人员应当经所在地设区的市级人民政府交通运输主管部门考试合格，并取得相应的从业资格证；从事剧毒化学品、爆炸品道路运输的驾驶人员、装卸管理人员、押运人员，应当经考试合格，取得注明为“剧毒化学品运输”或者“爆炸品运输”类别的从业资格证。</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3</w:t>
            </w:r>
            <w:r>
              <w:rPr>
                <w:rFonts w:hint="eastAsia" w:asciiTheme="majorEastAsia" w:hAnsiTheme="majorEastAsia" w:eastAsiaTheme="majorEastAsia" w:cstheme="majorEastAsia"/>
                <w:b w:val="0"/>
                <w:bCs w:val="0"/>
                <w:color w:val="000000"/>
                <w:kern w:val="0"/>
                <w:sz w:val="18"/>
                <w:szCs w:val="18"/>
                <w:lang w:val="en-US" w:eastAsia="zh-CN"/>
              </w:rPr>
              <w:t>)</w:t>
            </w:r>
            <w:r>
              <w:rPr>
                <w:rFonts w:hint="eastAsia" w:asciiTheme="majorEastAsia" w:hAnsiTheme="majorEastAsia" w:eastAsiaTheme="majorEastAsia" w:cstheme="majorEastAsia"/>
                <w:b w:val="0"/>
                <w:bCs w:val="0"/>
                <w:color w:val="000000"/>
                <w:kern w:val="0"/>
                <w:sz w:val="18"/>
                <w:szCs w:val="18"/>
                <w:lang w:val="en-US" w:eastAsia="en-US"/>
              </w:rPr>
              <w:t>企业应当配备专职安全管理人员。</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w:t>
            </w:r>
            <w:r>
              <w:rPr>
                <w:rFonts w:hint="eastAsia" w:asciiTheme="majorEastAsia" w:hAnsiTheme="majorEastAsia" w:eastAsiaTheme="majorEastAsia" w:cstheme="majorEastAsia"/>
                <w:b w:val="0"/>
                <w:bCs w:val="0"/>
                <w:color w:val="000000"/>
                <w:kern w:val="0"/>
                <w:sz w:val="18"/>
                <w:szCs w:val="18"/>
                <w:lang w:val="en-US" w:eastAsia="zh-CN"/>
              </w:rPr>
              <w:t>五十八</w:t>
            </w:r>
            <w:r>
              <w:rPr>
                <w:rFonts w:hint="eastAsia" w:asciiTheme="majorEastAsia" w:hAnsiTheme="majorEastAsia" w:eastAsiaTheme="majorEastAsia" w:cstheme="majorEastAsia"/>
                <w:b w:val="0"/>
                <w:bCs w:val="0"/>
                <w:color w:val="000000"/>
                <w:kern w:val="0"/>
                <w:sz w:val="18"/>
                <w:szCs w:val="18"/>
                <w:lang w:val="en-US" w:eastAsia="en-US"/>
              </w:rPr>
              <w:t>条  违反本规定，道路危险货物运输企业或者单位以及托运人有下列情形之一的，由</w:t>
            </w:r>
            <w:r>
              <w:rPr>
                <w:rFonts w:hint="eastAsia" w:asciiTheme="majorEastAsia" w:hAnsiTheme="majorEastAsia" w:eastAsiaTheme="majorEastAsia" w:cstheme="majorEastAsia"/>
                <w:b w:val="0"/>
                <w:bCs w:val="0"/>
                <w:color w:val="000000"/>
                <w:kern w:val="0"/>
                <w:sz w:val="18"/>
                <w:szCs w:val="18"/>
                <w:lang w:val="en-US" w:eastAsia="zh-CN"/>
              </w:rPr>
              <w:t>交通</w:t>
            </w:r>
            <w:r>
              <w:rPr>
                <w:rFonts w:hint="eastAsia" w:asciiTheme="majorEastAsia" w:hAnsiTheme="majorEastAsia" w:eastAsiaTheme="majorEastAsia" w:cstheme="majorEastAsia"/>
                <w:b w:val="0"/>
                <w:bCs w:val="0"/>
                <w:color w:val="000000"/>
                <w:kern w:val="0"/>
                <w:sz w:val="18"/>
                <w:szCs w:val="18"/>
                <w:lang w:val="en-US" w:eastAsia="en-US"/>
              </w:rPr>
              <w:t>运输</w:t>
            </w:r>
            <w:r>
              <w:rPr>
                <w:rFonts w:hint="eastAsia" w:asciiTheme="majorEastAsia" w:hAnsiTheme="majorEastAsia" w:eastAsiaTheme="majorEastAsia" w:cstheme="majorEastAsia"/>
                <w:b w:val="0"/>
                <w:bCs w:val="0"/>
                <w:color w:val="000000"/>
                <w:kern w:val="0"/>
                <w:sz w:val="18"/>
                <w:szCs w:val="18"/>
                <w:lang w:val="en-US" w:eastAsia="zh-CN"/>
              </w:rPr>
              <w:t>主管部门</w:t>
            </w:r>
            <w:r>
              <w:rPr>
                <w:rFonts w:hint="eastAsia" w:asciiTheme="majorEastAsia" w:hAnsiTheme="majorEastAsia" w:eastAsiaTheme="majorEastAsia" w:cstheme="majorEastAsia"/>
                <w:b w:val="0"/>
                <w:bCs w:val="0"/>
                <w:color w:val="000000"/>
                <w:kern w:val="0"/>
                <w:sz w:val="18"/>
                <w:szCs w:val="18"/>
                <w:lang w:val="en-US" w:eastAsia="en-US"/>
              </w:rPr>
              <w:t>责令改正，并处5万元以上10万元以下的罚款，拒不改正的，责令停产停业整顿；构成犯罪的，依法追究刑事责任：（一）驾驶人员、装卸管理人员、押运人员未取得从业资格上岗作业的；（二）托运人不向承运人说明所托运的危险化学品的种类、数量、危险特性以及发生危险情况的应急处置措施，或者未按照国家有关规定对所托运的危险化学品妥善包装并在外包装上设置相应标志的；（三）未根据危险化学品的危险特性采取相应的安全防护措施，或者未配备必要的防护用品和应急救援器材的；（四）运输危险化学品需要添加抑制剂或者稳定剂，托运人未添加或者未将有关情况告知承运人的。</w:t>
            </w:r>
          </w:p>
        </w:tc>
        <w:tc>
          <w:tcPr>
            <w:tcW w:w="1549" w:type="dxa"/>
            <w:shd w:val="clear" w:color="auto" w:fill="auto"/>
            <w:vAlign w:val="center"/>
          </w:tcPr>
          <w:p w14:paraId="5F090F5F">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349C94E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en-US" w:bidi="ar-SA"/>
              </w:rPr>
            </w:pPr>
            <w:r>
              <w:rPr>
                <w:rFonts w:hint="eastAsia"/>
                <w:color w:val="auto"/>
                <w:spacing w:val="-4"/>
                <w:lang w:eastAsia="zh-CN"/>
              </w:rPr>
              <w:t>衡阳市交通运输综合行政执法支队</w:t>
            </w:r>
          </w:p>
        </w:tc>
      </w:tr>
      <w:tr w14:paraId="5426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7" w:hRule="atLeast"/>
        </w:trPr>
        <w:tc>
          <w:tcPr>
            <w:tcW w:w="620" w:type="dxa"/>
            <w:vAlign w:val="center"/>
          </w:tcPr>
          <w:p w14:paraId="7FE82B53">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75</w:t>
            </w:r>
          </w:p>
        </w:tc>
        <w:tc>
          <w:tcPr>
            <w:tcW w:w="1104" w:type="dxa"/>
            <w:shd w:val="clear" w:color="auto" w:fill="auto"/>
            <w:tcMar>
              <w:left w:w="57" w:type="dxa"/>
              <w:right w:w="57" w:type="dxa"/>
            </w:tcMar>
            <w:vAlign w:val="center"/>
          </w:tcPr>
          <w:p w14:paraId="3A676F0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spacing w:val="-1"/>
                <w:sz w:val="18"/>
                <w:szCs w:val="18"/>
              </w:rPr>
              <w:t>对未按照规定对危险货物港口建设</w:t>
            </w:r>
            <w:r>
              <w:rPr>
                <w:spacing w:val="7"/>
                <w:sz w:val="18"/>
                <w:szCs w:val="18"/>
              </w:rPr>
              <w:t xml:space="preserve"> </w:t>
            </w:r>
            <w:r>
              <w:rPr>
                <w:spacing w:val="1"/>
                <w:sz w:val="18"/>
                <w:szCs w:val="18"/>
              </w:rPr>
              <w:t>项目进行安全评价行为的行政处罚</w:t>
            </w:r>
          </w:p>
        </w:tc>
        <w:tc>
          <w:tcPr>
            <w:tcW w:w="1104" w:type="dxa"/>
            <w:shd w:val="clear" w:color="auto" w:fill="auto"/>
            <w:tcMar>
              <w:top w:w="0" w:type="dxa"/>
              <w:left w:w="0" w:type="dxa"/>
              <w:bottom w:w="0" w:type="dxa"/>
              <w:right w:w="0" w:type="dxa"/>
            </w:tcMar>
            <w:vAlign w:val="center"/>
          </w:tcPr>
          <w:p w14:paraId="329F8E2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3C4BBDF3">
            <w:pPr>
              <w:keepNext w:val="0"/>
              <w:keepLines w:val="0"/>
              <w:pageBreakBefore w:val="0"/>
              <w:widowControl/>
              <w:wordWrap/>
              <w:overflowPunct/>
              <w:topLinePunct w:val="0"/>
              <w:bidi w:val="0"/>
              <w:spacing w:line="232" w:lineRule="exact"/>
              <w:ind w:left="0" w:right="0" w:firstLine="361"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lang w:val="en-US" w:eastAsia="en-US"/>
              </w:rPr>
              <w:t>《中华人民共和国安全生产法》</w:t>
            </w:r>
            <w:r>
              <w:rPr>
                <w:rFonts w:hint="eastAsia" w:asciiTheme="majorEastAsia" w:hAnsiTheme="majorEastAsia" w:eastAsiaTheme="majorEastAsia" w:cstheme="majorEastAsia"/>
                <w:b/>
                <w:bCs/>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第三十二条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lang w:val="en-US" w:eastAsia="en-US"/>
              </w:rPr>
              <w:t>矿山、金属冶炼建设项目和用于生产、储存、装卸危险物品的建设项目，应当按照国家有关规定进行安全评价。</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第九十八条</w:t>
            </w:r>
            <w:r>
              <w:rPr>
                <w:rFonts w:hint="eastAsia" w:asciiTheme="majorEastAsia" w:hAnsiTheme="majorEastAsia" w:eastAsiaTheme="majorEastAsia" w:cstheme="majorEastAsia"/>
                <w:b w:val="0"/>
                <w:bCs w:val="0"/>
                <w:color w:val="000000"/>
                <w:kern w:val="0"/>
                <w:sz w:val="18"/>
                <w:szCs w:val="18"/>
                <w:lang w:val="en-US" w:eastAsia="zh-CN"/>
              </w:rPr>
              <w:t xml:space="preserve">第（一）项  </w:t>
            </w:r>
            <w:r>
              <w:rPr>
                <w:rFonts w:hint="eastAsia" w:asciiTheme="majorEastAsia" w:hAnsiTheme="majorEastAsia" w:eastAsiaTheme="majorEastAsia" w:cstheme="majorEastAsia"/>
                <w:b w:val="0"/>
                <w:bCs w:val="0"/>
                <w:color w:val="000000"/>
                <w:kern w:val="0"/>
                <w:sz w:val="18"/>
                <w:szCs w:val="18"/>
                <w:lang w:val="en-US" w:eastAsia="en-US"/>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一）未按照规定对矿山、金属冶炼建设项目或者用于生产、储存、装卸危险物品的建设项目进行安全评价的；</w:t>
            </w:r>
          </w:p>
          <w:p w14:paraId="490D5711">
            <w:pPr>
              <w:keepNext w:val="0"/>
              <w:keepLines w:val="0"/>
              <w:pageBreakBefore w:val="0"/>
              <w:widowControl/>
              <w:wordWrap/>
              <w:overflowPunct/>
              <w:topLinePunct w:val="0"/>
              <w:bidi w:val="0"/>
              <w:spacing w:line="232"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2.《港口危险货物安全管理规定》（交通运输部令2023年第8号）</w:t>
            </w:r>
          </w:p>
          <w:p w14:paraId="4AE54BB6">
            <w:pPr>
              <w:keepNext w:val="0"/>
              <w:keepLines w:val="0"/>
              <w:pageBreakBefore w:val="0"/>
              <w:widowControl/>
              <w:wordWrap/>
              <w:overflowPunct/>
              <w:topLinePunct w:val="0"/>
              <w:bidi w:val="0"/>
              <w:spacing w:line="232" w:lineRule="exact"/>
              <w:ind w:left="0" w:leftChars="0" w:right="0" w:rightChars="0" w:firstLine="360" w:firstLineChars="200"/>
              <w:jc w:val="left"/>
              <w:rPr>
                <w:rFonts w:hint="default"/>
                <w:color w:val="auto"/>
                <w:lang w:val="en-US" w:eastAsia="zh-CN"/>
              </w:rPr>
            </w:pPr>
            <w:r>
              <w:rPr>
                <w:rFonts w:hint="eastAsia" w:asciiTheme="majorEastAsia" w:hAnsiTheme="majorEastAsia" w:eastAsiaTheme="majorEastAsia" w:cstheme="majorEastAsia"/>
                <w:b w:val="0"/>
                <w:bCs w:val="0"/>
                <w:color w:val="000000"/>
                <w:kern w:val="0"/>
                <w:sz w:val="18"/>
                <w:szCs w:val="18"/>
                <w:lang w:val="en-US" w:eastAsia="en-US"/>
              </w:rPr>
              <w:t>第七十二条</w:t>
            </w:r>
            <w:r>
              <w:rPr>
                <w:rFonts w:hint="eastAsia" w:asciiTheme="majorEastAsia" w:hAnsiTheme="majorEastAsia" w:eastAsiaTheme="majorEastAsia" w:cstheme="majorEastAsia"/>
                <w:b w:val="0"/>
                <w:bCs w:val="0"/>
                <w:color w:val="000000"/>
                <w:kern w:val="0"/>
                <w:sz w:val="18"/>
                <w:szCs w:val="18"/>
                <w:lang w:val="en-US" w:eastAsia="zh-CN"/>
              </w:rPr>
              <w:t>第（一）项</w:t>
            </w:r>
            <w:r>
              <w:rPr>
                <w:rFonts w:hint="eastAsia" w:asciiTheme="majorEastAsia" w:hAnsiTheme="majorEastAsia" w:eastAsiaTheme="majorEastAsia" w:cstheme="majorEastAsia"/>
                <w:b w:val="0"/>
                <w:bCs w:val="0"/>
                <w:color w:val="000000"/>
                <w:kern w:val="0"/>
                <w:sz w:val="18"/>
                <w:szCs w:val="18"/>
                <w:lang w:val="en-US" w:eastAsia="en-US"/>
              </w:rPr>
              <w:t>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一）未按照规定对危险货物港口建设项目进行安全评价的</w:t>
            </w:r>
            <w:r>
              <w:rPr>
                <w:rFonts w:hint="eastAsia" w:asciiTheme="majorEastAsia" w:hAnsiTheme="majorEastAsia" w:eastAsiaTheme="majorEastAsia" w:cstheme="majorEastAsia"/>
                <w:b w:val="0"/>
                <w:bCs w:val="0"/>
                <w:color w:val="000000"/>
                <w:kern w:val="0"/>
                <w:sz w:val="18"/>
                <w:szCs w:val="18"/>
                <w:lang w:val="en-US" w:eastAsia="zh-CN"/>
              </w:rPr>
              <w:t>；</w:t>
            </w:r>
            <w:r>
              <w:rPr>
                <w:rFonts w:hint="eastAsia" w:asciiTheme="majorEastAsia" w:hAnsiTheme="majorEastAsia" w:eastAsiaTheme="majorEastAsia" w:cstheme="majorEastAsia"/>
                <w:b w:val="0"/>
                <w:bCs w:val="0"/>
                <w:color w:val="000000"/>
                <w:kern w:val="0"/>
                <w:sz w:val="18"/>
                <w:szCs w:val="18"/>
                <w:lang w:val="en-US" w:eastAsia="en-US"/>
              </w:rPr>
              <w:t>（二）没有安全设施设计或者安全设施设计未按照规定报经港口行政管理部门审查同意的；（三）施工单位未按照批准的安全设施设计施工的；（四）安全设施未经验收合格，擅自从事危险货物港口作业的。</w:t>
            </w:r>
          </w:p>
        </w:tc>
        <w:tc>
          <w:tcPr>
            <w:tcW w:w="1549" w:type="dxa"/>
            <w:shd w:val="clear" w:color="auto" w:fill="auto"/>
            <w:vAlign w:val="center"/>
          </w:tcPr>
          <w:p w14:paraId="7F8EE2EF">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4C01111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en-US" w:bidi="ar-SA"/>
              </w:rPr>
            </w:pPr>
            <w:r>
              <w:rPr>
                <w:rFonts w:hint="eastAsia"/>
                <w:color w:val="auto"/>
                <w:spacing w:val="-4"/>
                <w:lang w:eastAsia="zh-CN"/>
              </w:rPr>
              <w:t>衡阳市交通运输综合行政执法支队</w:t>
            </w:r>
          </w:p>
        </w:tc>
      </w:tr>
      <w:tr w14:paraId="0289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0" w:hRule="atLeast"/>
        </w:trPr>
        <w:tc>
          <w:tcPr>
            <w:tcW w:w="620" w:type="dxa"/>
            <w:vAlign w:val="center"/>
          </w:tcPr>
          <w:p w14:paraId="0269DA0E">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76</w:t>
            </w:r>
          </w:p>
        </w:tc>
        <w:tc>
          <w:tcPr>
            <w:tcW w:w="1104" w:type="dxa"/>
            <w:shd w:val="clear" w:color="auto" w:fill="auto"/>
            <w:tcMar>
              <w:left w:w="57" w:type="dxa"/>
              <w:right w:w="57" w:type="dxa"/>
            </w:tcMar>
            <w:vAlign w:val="center"/>
          </w:tcPr>
          <w:p w14:paraId="2B94C90A">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inorEastAsia" w:hAnsiTheme="minorEastAsia" w:eastAsiaTheme="minorEastAsia" w:cstheme="minorEastAsia"/>
                <w:b w:val="0"/>
                <w:bCs w:val="0"/>
                <w:color w:val="auto"/>
                <w:kern w:val="0"/>
                <w:sz w:val="18"/>
                <w:szCs w:val="18"/>
              </w:rPr>
            </w:pPr>
            <w:r>
              <w:rPr>
                <w:rFonts w:hint="eastAsia" w:asciiTheme="minorEastAsia" w:hAnsiTheme="minorEastAsia" w:eastAsiaTheme="minorEastAsia" w:cstheme="minorEastAsia"/>
                <w:spacing w:val="-1"/>
                <w:sz w:val="18"/>
                <w:szCs w:val="18"/>
              </w:rPr>
              <w:t>对危险货物港口建设项目没有安全</w:t>
            </w:r>
            <w:r>
              <w:rPr>
                <w:rFonts w:hint="eastAsia" w:asciiTheme="minorEastAsia" w:hAnsiTheme="minorEastAsia" w:eastAsiaTheme="minorEastAsia" w:cstheme="minorEastAsia"/>
                <w:spacing w:val="7"/>
                <w:sz w:val="18"/>
                <w:szCs w:val="18"/>
              </w:rPr>
              <w:t xml:space="preserve"> </w:t>
            </w:r>
            <w:r>
              <w:rPr>
                <w:rFonts w:hint="eastAsia" w:asciiTheme="minorEastAsia" w:hAnsiTheme="minorEastAsia" w:eastAsiaTheme="minorEastAsia" w:cstheme="minorEastAsia"/>
                <w:spacing w:val="1"/>
                <w:sz w:val="18"/>
                <w:szCs w:val="18"/>
              </w:rPr>
              <w:t>设施设计或者安全设施设计未按照</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pacing w:val="-1"/>
                <w:sz w:val="18"/>
                <w:szCs w:val="18"/>
              </w:rPr>
              <w:t>规定报经港口管理部门审查同意行</w:t>
            </w:r>
            <w:r>
              <w:rPr>
                <w:rFonts w:hint="eastAsia" w:asciiTheme="minorEastAsia" w:hAnsiTheme="minorEastAsia" w:eastAsiaTheme="minorEastAsia" w:cstheme="minorEastAsia"/>
                <w:spacing w:val="5"/>
                <w:sz w:val="18"/>
                <w:szCs w:val="18"/>
              </w:rPr>
              <w:t xml:space="preserve"> </w:t>
            </w:r>
            <w:r>
              <w:rPr>
                <w:rFonts w:hint="eastAsia" w:asciiTheme="minorEastAsia" w:hAnsiTheme="minorEastAsia" w:eastAsiaTheme="minorEastAsia" w:cstheme="minorEastAsia"/>
                <w:spacing w:val="17"/>
                <w:sz w:val="18"/>
                <w:szCs w:val="18"/>
              </w:rPr>
              <w:t>为的行政处罚</w:t>
            </w:r>
          </w:p>
        </w:tc>
        <w:tc>
          <w:tcPr>
            <w:tcW w:w="1104" w:type="dxa"/>
            <w:shd w:val="clear" w:color="auto" w:fill="auto"/>
            <w:tcMar>
              <w:top w:w="0" w:type="dxa"/>
              <w:left w:w="0" w:type="dxa"/>
              <w:bottom w:w="0" w:type="dxa"/>
              <w:right w:w="0" w:type="dxa"/>
            </w:tcMar>
            <w:vAlign w:val="center"/>
          </w:tcPr>
          <w:p w14:paraId="7A7762A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cs="宋体"/>
                <w:b w:val="0"/>
                <w:bCs w:val="0"/>
                <w:color w:val="auto"/>
                <w:kern w:val="0"/>
                <w:sz w:val="18"/>
                <w:szCs w:val="18"/>
                <w:lang w:eastAsia="zh-CN"/>
              </w:rPr>
            </w:pPr>
            <w:r>
              <w:rPr>
                <w:rFonts w:hint="eastAsia" w:cs="宋体"/>
                <w:b w:val="0"/>
                <w:bCs w:val="0"/>
                <w:color w:val="000000"/>
                <w:kern w:val="0"/>
                <w:sz w:val="18"/>
                <w:szCs w:val="18"/>
                <w:lang w:val="en-US" w:eastAsia="zh-CN"/>
              </w:rPr>
              <w:t>行政处罚</w:t>
            </w:r>
          </w:p>
        </w:tc>
        <w:tc>
          <w:tcPr>
            <w:tcW w:w="8552" w:type="dxa"/>
            <w:shd w:val="clear" w:color="auto" w:fill="auto"/>
            <w:vAlign w:val="center"/>
          </w:tcPr>
          <w:p w14:paraId="269886D1">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en-US"/>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lang w:val="en-US" w:eastAsia="en-US"/>
              </w:rPr>
              <w:t>《中华人民共和国安全生产法》</w:t>
            </w:r>
          </w:p>
          <w:p w14:paraId="358856FA">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第三十三条　建设项目安全设施的设计人、设计单位应当对安全设施设计负责。</w:t>
            </w:r>
          </w:p>
          <w:p w14:paraId="1D294A05">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矿山、金属冶炼建设项目和用于生产、储存、装卸危险物品的建设项目的安全设施设计应当按照国家有关规定报经有关部门审查，审查部门及其负责审查的人员对审查结果负责。</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第九十八条</w:t>
            </w:r>
            <w:r>
              <w:rPr>
                <w:rFonts w:hint="eastAsia" w:asciiTheme="majorEastAsia" w:hAnsiTheme="majorEastAsia" w:eastAsiaTheme="majorEastAsia" w:cstheme="majorEastAsia"/>
                <w:b w:val="0"/>
                <w:bCs w:val="0"/>
                <w:color w:val="000000"/>
                <w:kern w:val="0"/>
                <w:sz w:val="18"/>
                <w:szCs w:val="18"/>
                <w:lang w:val="en-US" w:eastAsia="zh-CN"/>
              </w:rPr>
              <w:t xml:space="preserve">第（二）项  </w:t>
            </w:r>
            <w:r>
              <w:rPr>
                <w:rFonts w:hint="eastAsia" w:asciiTheme="majorEastAsia" w:hAnsiTheme="majorEastAsia" w:eastAsiaTheme="majorEastAsia" w:cstheme="majorEastAsia"/>
                <w:b w:val="0"/>
                <w:bCs w:val="0"/>
                <w:color w:val="000000"/>
                <w:kern w:val="0"/>
                <w:sz w:val="18"/>
                <w:szCs w:val="18"/>
                <w:lang w:val="en-US" w:eastAsia="en-US"/>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二）矿山、金属冶炼建设项目或者用于生产、储存、装卸危险物品的建设项目没有安全设施设计或者安全设施设计未按照规定报经有关部门审查同意的；</w:t>
            </w:r>
          </w:p>
          <w:p w14:paraId="225DFA78">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2.《港口危险货物安全管理规定》（交通运输部令2023年第8号）</w:t>
            </w:r>
          </w:p>
          <w:p w14:paraId="7232D837">
            <w:pPr>
              <w:keepNext w:val="0"/>
              <w:keepLines w:val="0"/>
              <w:pageBreakBefore w:val="0"/>
              <w:widowControl/>
              <w:wordWrap/>
              <w:overflowPunct/>
              <w:topLinePunct w:val="0"/>
              <w:bidi w:val="0"/>
              <w:spacing w:line="240" w:lineRule="exact"/>
              <w:ind w:left="0" w:leftChars="0" w:right="0" w:rightChars="0" w:firstLine="360" w:firstLineChars="200"/>
              <w:jc w:val="left"/>
              <w:rPr>
                <w:rFonts w:hint="eastAsia" w:asciiTheme="majorEastAsia" w:hAnsiTheme="majorEastAsia" w:eastAsiaTheme="majorEastAsia" w:cstheme="majorEastAsia"/>
                <w:b w:val="0"/>
                <w:bCs w:val="0"/>
                <w:color w:val="auto"/>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第七十二条</w:t>
            </w:r>
            <w:r>
              <w:rPr>
                <w:rFonts w:hint="eastAsia" w:asciiTheme="majorEastAsia" w:hAnsiTheme="majorEastAsia" w:eastAsiaTheme="majorEastAsia" w:cstheme="majorEastAsia"/>
                <w:b w:val="0"/>
                <w:bCs w:val="0"/>
                <w:color w:val="000000"/>
                <w:kern w:val="0"/>
                <w:sz w:val="18"/>
                <w:szCs w:val="18"/>
                <w:lang w:val="en-US" w:eastAsia="zh-CN"/>
              </w:rPr>
              <w:t>第（二）项</w:t>
            </w:r>
            <w:r>
              <w:rPr>
                <w:rFonts w:hint="eastAsia" w:asciiTheme="majorEastAsia" w:hAnsiTheme="majorEastAsia" w:eastAsiaTheme="majorEastAsia" w:cstheme="majorEastAsia"/>
                <w:b w:val="0"/>
                <w:bCs w:val="0"/>
                <w:color w:val="000000"/>
                <w:kern w:val="0"/>
                <w:sz w:val="18"/>
                <w:szCs w:val="18"/>
                <w:lang w:val="en-US" w:eastAsia="en-US"/>
              </w:rPr>
              <w:t>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二）没有安全设施设计或者安全设施设计未按照规定报经港口行政管理部门审查同意的；</w:t>
            </w:r>
          </w:p>
        </w:tc>
        <w:tc>
          <w:tcPr>
            <w:tcW w:w="1549" w:type="dxa"/>
            <w:shd w:val="clear" w:color="auto" w:fill="auto"/>
            <w:vAlign w:val="center"/>
          </w:tcPr>
          <w:p w14:paraId="6416116E">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eastAsia="zh-CN"/>
              </w:rPr>
            </w:pPr>
            <w:r>
              <w:rPr>
                <w:rFonts w:hint="eastAsia"/>
                <w:color w:val="auto"/>
                <w:spacing w:val="-4"/>
                <w:lang w:eastAsia="zh-CN"/>
              </w:rPr>
              <w:t>衡阳市交通运输局</w:t>
            </w:r>
          </w:p>
        </w:tc>
        <w:tc>
          <w:tcPr>
            <w:tcW w:w="1739" w:type="dxa"/>
            <w:shd w:val="clear" w:color="auto" w:fill="auto"/>
            <w:vAlign w:val="center"/>
          </w:tcPr>
          <w:p w14:paraId="2D7165F1">
            <w:pPr>
              <w:pStyle w:val="11"/>
              <w:kinsoku/>
              <w:spacing w:line="240" w:lineRule="exact"/>
              <w:jc w:val="center"/>
              <w:rPr>
                <w:rFonts w:hint="eastAsia"/>
                <w:b w:val="0"/>
                <w:bCs w:val="0"/>
                <w:spacing w:val="-4"/>
                <w:lang w:eastAsia="zh-CN"/>
              </w:rPr>
            </w:pPr>
            <w:r>
              <w:rPr>
                <w:rFonts w:hint="eastAsia"/>
                <w:color w:val="auto"/>
                <w:spacing w:val="-4"/>
                <w:lang w:eastAsia="zh-CN"/>
              </w:rPr>
              <w:t>衡阳市交通运输综合行政执法支队</w:t>
            </w:r>
          </w:p>
        </w:tc>
      </w:tr>
      <w:tr w14:paraId="73C9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0" w:hRule="atLeast"/>
        </w:trPr>
        <w:tc>
          <w:tcPr>
            <w:tcW w:w="620" w:type="dxa"/>
            <w:vAlign w:val="center"/>
          </w:tcPr>
          <w:p w14:paraId="2AA2EEA3">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77</w:t>
            </w:r>
          </w:p>
        </w:tc>
        <w:tc>
          <w:tcPr>
            <w:tcW w:w="1104" w:type="dxa"/>
            <w:shd w:val="clear" w:color="auto" w:fill="auto"/>
            <w:tcMar>
              <w:left w:w="57" w:type="dxa"/>
              <w:right w:w="57" w:type="dxa"/>
            </w:tcMar>
            <w:vAlign w:val="center"/>
          </w:tcPr>
          <w:p w14:paraId="0E1D87E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inorEastAsia" w:hAnsiTheme="minorEastAsia" w:eastAsiaTheme="minorEastAsia" w:cstheme="minorEastAsia"/>
                <w:b w:val="0"/>
                <w:bCs w:val="0"/>
                <w:color w:val="auto"/>
                <w:kern w:val="0"/>
                <w:sz w:val="18"/>
                <w:szCs w:val="18"/>
              </w:rPr>
            </w:pPr>
            <w:r>
              <w:rPr>
                <w:rFonts w:hint="eastAsia" w:asciiTheme="minorEastAsia" w:hAnsiTheme="minorEastAsia" w:eastAsiaTheme="minorEastAsia" w:cstheme="minorEastAsia"/>
                <w:spacing w:val="-1"/>
                <w:sz w:val="18"/>
                <w:szCs w:val="18"/>
              </w:rPr>
              <w:t>对危险货物港口建设项目未按照批</w:t>
            </w:r>
            <w:r>
              <w:rPr>
                <w:rFonts w:hint="eastAsia" w:asciiTheme="minorEastAsia" w:hAnsiTheme="minorEastAsia" w:eastAsiaTheme="minorEastAsia" w:cstheme="minorEastAsia"/>
                <w:spacing w:val="7"/>
                <w:sz w:val="18"/>
                <w:szCs w:val="18"/>
              </w:rPr>
              <w:t xml:space="preserve"> </w:t>
            </w:r>
            <w:r>
              <w:rPr>
                <w:rFonts w:hint="eastAsia" w:asciiTheme="minorEastAsia" w:hAnsiTheme="minorEastAsia" w:eastAsiaTheme="minorEastAsia" w:cstheme="minorEastAsia"/>
                <w:spacing w:val="-1"/>
                <w:sz w:val="18"/>
                <w:szCs w:val="18"/>
              </w:rPr>
              <w:t>准的安全设施设计施工行为的行政</w:t>
            </w:r>
            <w:r>
              <w:rPr>
                <w:rFonts w:hint="eastAsia" w:asciiTheme="minorEastAsia" w:hAnsiTheme="minorEastAsia" w:eastAsiaTheme="minorEastAsia" w:cstheme="minorEastAsia"/>
                <w:spacing w:val="5"/>
                <w:sz w:val="18"/>
                <w:szCs w:val="18"/>
              </w:rPr>
              <w:t xml:space="preserve"> </w:t>
            </w:r>
            <w:r>
              <w:rPr>
                <w:rFonts w:hint="eastAsia" w:asciiTheme="minorEastAsia" w:hAnsiTheme="minorEastAsia" w:eastAsiaTheme="minorEastAsia" w:cstheme="minorEastAsia"/>
                <w:spacing w:val="41"/>
                <w:sz w:val="18"/>
                <w:szCs w:val="18"/>
              </w:rPr>
              <w:t>处罚</w:t>
            </w:r>
          </w:p>
        </w:tc>
        <w:tc>
          <w:tcPr>
            <w:tcW w:w="1104" w:type="dxa"/>
            <w:shd w:val="clear" w:color="auto" w:fill="auto"/>
            <w:tcMar>
              <w:top w:w="0" w:type="dxa"/>
              <w:left w:w="0" w:type="dxa"/>
              <w:bottom w:w="0" w:type="dxa"/>
              <w:right w:w="0" w:type="dxa"/>
            </w:tcMar>
            <w:vAlign w:val="center"/>
          </w:tcPr>
          <w:p w14:paraId="5195FD5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cs="宋体"/>
                <w:b w:val="0"/>
                <w:bCs w:val="0"/>
                <w:color w:val="auto"/>
                <w:kern w:val="0"/>
                <w:sz w:val="18"/>
                <w:szCs w:val="18"/>
                <w:lang w:eastAsia="zh-CN"/>
              </w:rPr>
            </w:pPr>
            <w:r>
              <w:rPr>
                <w:rFonts w:hint="eastAsia" w:cs="宋体"/>
                <w:b w:val="0"/>
                <w:bCs w:val="0"/>
                <w:color w:val="000000"/>
                <w:kern w:val="0"/>
                <w:sz w:val="18"/>
                <w:szCs w:val="18"/>
                <w:lang w:val="en-US" w:eastAsia="zh-CN"/>
              </w:rPr>
              <w:t>行政处罚</w:t>
            </w:r>
          </w:p>
        </w:tc>
        <w:tc>
          <w:tcPr>
            <w:tcW w:w="8552" w:type="dxa"/>
            <w:shd w:val="clear" w:color="auto" w:fill="auto"/>
            <w:vAlign w:val="center"/>
          </w:tcPr>
          <w:p w14:paraId="184D0B79">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en-US"/>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lang w:val="en-US" w:eastAsia="en-US"/>
              </w:rPr>
              <w:t>《中华人民共和国安全生产法》</w:t>
            </w:r>
          </w:p>
          <w:p w14:paraId="4167B70A">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第三十四条</w:t>
            </w:r>
            <w:r>
              <w:rPr>
                <w:rFonts w:hint="eastAsia" w:asciiTheme="majorEastAsia" w:hAnsiTheme="majorEastAsia" w:eastAsiaTheme="majorEastAsia" w:cstheme="majorEastAsia"/>
                <w:b w:val="0"/>
                <w:bCs w:val="0"/>
                <w:color w:val="000000"/>
                <w:kern w:val="0"/>
                <w:sz w:val="18"/>
                <w:szCs w:val="18"/>
                <w:lang w:val="en-US" w:eastAsia="zh-CN"/>
              </w:rPr>
              <w:t>第一款</w:t>
            </w:r>
            <w:r>
              <w:rPr>
                <w:rFonts w:hint="eastAsia" w:asciiTheme="majorEastAsia" w:hAnsiTheme="majorEastAsia" w:eastAsiaTheme="majorEastAsia" w:cstheme="majorEastAsia"/>
                <w:b w:val="0"/>
                <w:bCs w:val="0"/>
                <w:color w:val="000000"/>
                <w:kern w:val="0"/>
                <w:sz w:val="18"/>
                <w:szCs w:val="18"/>
                <w:lang w:val="en-US" w:eastAsia="en-US"/>
              </w:rPr>
              <w:t>　矿山、金属冶炼建设项目和用于生产、储存、装卸危险物品的建设项目的施工单位必须按照批准的安全设施设计施工，并对安全设施的工程质量负责。</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第九十八条</w:t>
            </w:r>
            <w:r>
              <w:rPr>
                <w:rFonts w:hint="eastAsia" w:asciiTheme="majorEastAsia" w:hAnsiTheme="majorEastAsia" w:eastAsiaTheme="majorEastAsia" w:cstheme="majorEastAsia"/>
                <w:b w:val="0"/>
                <w:bCs w:val="0"/>
                <w:color w:val="000000"/>
                <w:kern w:val="0"/>
                <w:sz w:val="18"/>
                <w:szCs w:val="18"/>
                <w:lang w:val="en-US" w:eastAsia="zh-CN"/>
              </w:rPr>
              <w:t>第（三）项</w:t>
            </w:r>
            <w:r>
              <w:rPr>
                <w:rFonts w:hint="eastAsia" w:asciiTheme="majorEastAsia" w:hAnsiTheme="majorEastAsia" w:eastAsiaTheme="majorEastAsia" w:cstheme="majorEastAsia"/>
                <w:b w:val="0"/>
                <w:bCs w:val="0"/>
                <w:color w:val="000000"/>
                <w:kern w:val="0"/>
                <w:sz w:val="18"/>
                <w:szCs w:val="18"/>
                <w:lang w:val="en-US" w:eastAsia="en-US"/>
              </w:rPr>
              <w:t xml:space="preserve"> </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lang w:val="en-US" w:eastAsia="en-US"/>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三）矿山、金属冶炼建设项目或者用于生产、储存、装卸危险物品的建设项目的施工单位未按照批准的安全设施设计施工的；</w:t>
            </w:r>
          </w:p>
          <w:p w14:paraId="355332D2">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2.《港口危险货物安全管理规定》（交通运输部令2023年第8号）</w:t>
            </w:r>
          </w:p>
          <w:p w14:paraId="47BBE7F2">
            <w:pPr>
              <w:keepNext w:val="0"/>
              <w:keepLines w:val="0"/>
              <w:pageBreakBefore w:val="0"/>
              <w:widowControl/>
              <w:wordWrap/>
              <w:overflowPunct/>
              <w:topLinePunct w:val="0"/>
              <w:bidi w:val="0"/>
              <w:spacing w:line="240" w:lineRule="exact"/>
              <w:ind w:left="0" w:leftChars="0" w:right="0" w:rightChars="0" w:firstLine="360" w:firstLineChars="200"/>
              <w:jc w:val="left"/>
              <w:rPr>
                <w:rFonts w:hint="eastAsia" w:asciiTheme="majorEastAsia" w:hAnsiTheme="majorEastAsia" w:eastAsiaTheme="majorEastAsia" w:cstheme="majorEastAsia"/>
                <w:b w:val="0"/>
                <w:bCs w:val="0"/>
                <w:color w:val="auto"/>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第七十二条</w:t>
            </w:r>
            <w:r>
              <w:rPr>
                <w:rFonts w:hint="eastAsia" w:asciiTheme="majorEastAsia" w:hAnsiTheme="majorEastAsia" w:eastAsiaTheme="majorEastAsia" w:cstheme="majorEastAsia"/>
                <w:b w:val="0"/>
                <w:bCs w:val="0"/>
                <w:color w:val="000000"/>
                <w:kern w:val="0"/>
                <w:sz w:val="18"/>
                <w:szCs w:val="18"/>
                <w:lang w:val="en-US" w:eastAsia="zh-CN"/>
              </w:rPr>
              <w:t xml:space="preserve">第（三）项  </w:t>
            </w:r>
            <w:r>
              <w:rPr>
                <w:rFonts w:hint="eastAsia" w:asciiTheme="majorEastAsia" w:hAnsiTheme="majorEastAsia" w:eastAsiaTheme="majorEastAsia" w:cstheme="majorEastAsia"/>
                <w:b w:val="0"/>
                <w:bCs w:val="0"/>
                <w:color w:val="000000"/>
                <w:kern w:val="0"/>
                <w:sz w:val="18"/>
                <w:szCs w:val="18"/>
                <w:lang w:val="en-US" w:eastAsia="en-US"/>
              </w:rPr>
              <w:t>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三）施工单位未按照批准的安全设施设计施工的；</w:t>
            </w:r>
          </w:p>
        </w:tc>
        <w:tc>
          <w:tcPr>
            <w:tcW w:w="1549" w:type="dxa"/>
            <w:shd w:val="clear" w:color="auto" w:fill="auto"/>
            <w:vAlign w:val="center"/>
          </w:tcPr>
          <w:p w14:paraId="38AC3F88">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eastAsia="zh-CN"/>
              </w:rPr>
            </w:pPr>
            <w:r>
              <w:rPr>
                <w:rFonts w:hint="eastAsia"/>
                <w:color w:val="auto"/>
                <w:spacing w:val="-4"/>
                <w:lang w:eastAsia="zh-CN"/>
              </w:rPr>
              <w:t>衡阳市交通运输局</w:t>
            </w:r>
          </w:p>
        </w:tc>
        <w:tc>
          <w:tcPr>
            <w:tcW w:w="1739" w:type="dxa"/>
            <w:shd w:val="clear" w:color="auto" w:fill="auto"/>
            <w:vAlign w:val="center"/>
          </w:tcPr>
          <w:p w14:paraId="453A2163">
            <w:pPr>
              <w:pStyle w:val="11"/>
              <w:kinsoku/>
              <w:spacing w:line="240" w:lineRule="exact"/>
              <w:jc w:val="center"/>
              <w:rPr>
                <w:rFonts w:hint="eastAsia"/>
                <w:b w:val="0"/>
                <w:bCs w:val="0"/>
                <w:spacing w:val="-4"/>
                <w:lang w:eastAsia="zh-CN"/>
              </w:rPr>
            </w:pPr>
            <w:r>
              <w:rPr>
                <w:rFonts w:hint="eastAsia"/>
                <w:color w:val="auto"/>
                <w:spacing w:val="-4"/>
                <w:lang w:eastAsia="zh-CN"/>
              </w:rPr>
              <w:t>衡阳市交通运输综合行政执法支队</w:t>
            </w:r>
          </w:p>
        </w:tc>
      </w:tr>
      <w:tr w14:paraId="6193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180987F">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78</w:t>
            </w:r>
          </w:p>
        </w:tc>
        <w:tc>
          <w:tcPr>
            <w:tcW w:w="1104" w:type="dxa"/>
            <w:shd w:val="clear" w:color="auto" w:fill="auto"/>
            <w:tcMar>
              <w:left w:w="57" w:type="dxa"/>
              <w:right w:w="57" w:type="dxa"/>
            </w:tcMar>
            <w:vAlign w:val="center"/>
          </w:tcPr>
          <w:p w14:paraId="68D8BBB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inorEastAsia" w:hAnsiTheme="minorEastAsia" w:eastAsiaTheme="minorEastAsia" w:cstheme="minorEastAsia"/>
                <w:b w:val="0"/>
                <w:bCs w:val="0"/>
                <w:color w:val="auto"/>
                <w:kern w:val="0"/>
                <w:sz w:val="18"/>
                <w:szCs w:val="18"/>
              </w:rPr>
            </w:pPr>
            <w:r>
              <w:rPr>
                <w:rFonts w:hint="eastAsia" w:asciiTheme="minorEastAsia" w:hAnsiTheme="minorEastAsia" w:eastAsiaTheme="minorEastAsia" w:cstheme="minorEastAsia"/>
                <w:spacing w:val="-1"/>
                <w:sz w:val="18"/>
                <w:szCs w:val="18"/>
              </w:rPr>
              <w:t>对危险货物港口建设项目安全设施</w:t>
            </w:r>
            <w:r>
              <w:rPr>
                <w:rFonts w:hint="eastAsia" w:asciiTheme="minorEastAsia" w:hAnsiTheme="minorEastAsia" w:eastAsiaTheme="minorEastAsia" w:cstheme="minorEastAsia"/>
                <w:spacing w:val="7"/>
                <w:sz w:val="18"/>
                <w:szCs w:val="18"/>
              </w:rPr>
              <w:t xml:space="preserve"> </w:t>
            </w:r>
            <w:r>
              <w:rPr>
                <w:rFonts w:hint="eastAsia" w:asciiTheme="minorEastAsia" w:hAnsiTheme="minorEastAsia" w:eastAsiaTheme="minorEastAsia" w:cstheme="minorEastAsia"/>
                <w:sz w:val="18"/>
                <w:szCs w:val="18"/>
              </w:rPr>
              <w:t>未经验收合格，擅自从事危险货物</w:t>
            </w:r>
            <w:r>
              <w:rPr>
                <w:rFonts w:hint="eastAsia" w:asciiTheme="minorEastAsia" w:hAnsiTheme="minorEastAsia" w:eastAsiaTheme="minorEastAsia" w:cstheme="minorEastAsia"/>
                <w:spacing w:val="8"/>
                <w:sz w:val="18"/>
                <w:szCs w:val="18"/>
              </w:rPr>
              <w:t xml:space="preserve"> </w:t>
            </w:r>
            <w:r>
              <w:rPr>
                <w:rFonts w:hint="eastAsia" w:asciiTheme="minorEastAsia" w:hAnsiTheme="minorEastAsia" w:eastAsiaTheme="minorEastAsia" w:cstheme="minorEastAsia"/>
                <w:spacing w:val="9"/>
                <w:sz w:val="18"/>
                <w:szCs w:val="18"/>
              </w:rPr>
              <w:t>港口作业行为的行政处罚</w:t>
            </w:r>
          </w:p>
        </w:tc>
        <w:tc>
          <w:tcPr>
            <w:tcW w:w="1104" w:type="dxa"/>
            <w:shd w:val="clear" w:color="auto" w:fill="auto"/>
            <w:tcMar>
              <w:top w:w="0" w:type="dxa"/>
              <w:left w:w="0" w:type="dxa"/>
              <w:bottom w:w="0" w:type="dxa"/>
              <w:right w:w="0" w:type="dxa"/>
            </w:tcMar>
            <w:vAlign w:val="center"/>
          </w:tcPr>
          <w:p w14:paraId="3A7D5CB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cs="宋体"/>
                <w:b w:val="0"/>
                <w:bCs w:val="0"/>
                <w:color w:val="auto"/>
                <w:kern w:val="0"/>
                <w:sz w:val="18"/>
                <w:szCs w:val="18"/>
                <w:lang w:eastAsia="zh-CN"/>
              </w:rPr>
            </w:pPr>
            <w:r>
              <w:rPr>
                <w:rFonts w:hint="eastAsia" w:cs="宋体"/>
                <w:b w:val="0"/>
                <w:bCs w:val="0"/>
                <w:color w:val="000000"/>
                <w:kern w:val="0"/>
                <w:sz w:val="18"/>
                <w:szCs w:val="18"/>
                <w:lang w:val="en-US" w:eastAsia="zh-CN"/>
              </w:rPr>
              <w:t>行政处罚</w:t>
            </w:r>
          </w:p>
        </w:tc>
        <w:tc>
          <w:tcPr>
            <w:tcW w:w="8552" w:type="dxa"/>
            <w:shd w:val="clear" w:color="auto" w:fill="auto"/>
            <w:vAlign w:val="center"/>
          </w:tcPr>
          <w:p w14:paraId="6FC247BD">
            <w:pPr>
              <w:keepNext w:val="0"/>
              <w:keepLines w:val="0"/>
              <w:pageBreakBefore w:val="0"/>
              <w:widowControl/>
              <w:wordWrap/>
              <w:overflowPunct/>
              <w:topLinePunct w:val="0"/>
              <w:bidi w:val="0"/>
              <w:spacing w:line="21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en-US"/>
              </w:rPr>
            </w:pPr>
            <w:r>
              <w:rPr>
                <w:rFonts w:hint="eastAsia" w:asciiTheme="majorEastAsia" w:hAnsiTheme="majorEastAsia" w:eastAsiaTheme="majorEastAsia" w:cstheme="majorEastAsia"/>
                <w:b/>
                <w:bCs/>
                <w:color w:val="000000"/>
                <w:kern w:val="0"/>
                <w:sz w:val="18"/>
                <w:szCs w:val="18"/>
                <w:lang w:val="en-US" w:eastAsia="zh-CN"/>
              </w:rPr>
              <w:t>1.</w:t>
            </w:r>
            <w:r>
              <w:rPr>
                <w:rFonts w:hint="eastAsia" w:asciiTheme="majorEastAsia" w:hAnsiTheme="majorEastAsia" w:eastAsiaTheme="majorEastAsia" w:cstheme="majorEastAsia"/>
                <w:b/>
                <w:bCs/>
                <w:color w:val="000000"/>
                <w:kern w:val="0"/>
                <w:sz w:val="18"/>
                <w:szCs w:val="18"/>
                <w:lang w:val="en-US" w:eastAsia="en-US"/>
              </w:rPr>
              <w:t>《中华人民共和国安全生产法》</w:t>
            </w:r>
          </w:p>
          <w:p w14:paraId="10C959DA">
            <w:pPr>
              <w:keepNext w:val="0"/>
              <w:keepLines w:val="0"/>
              <w:pageBreakBefore w:val="0"/>
              <w:widowControl/>
              <w:wordWrap/>
              <w:overflowPunct/>
              <w:topLinePunct w:val="0"/>
              <w:bidi w:val="0"/>
              <w:spacing w:line="21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zh-CN"/>
              </w:rPr>
              <w:t xml:space="preserve">第三十四条第二款  </w:t>
            </w:r>
            <w:r>
              <w:rPr>
                <w:rFonts w:hint="eastAsia" w:asciiTheme="majorEastAsia" w:hAnsiTheme="majorEastAsia" w:eastAsiaTheme="majorEastAsia" w:cstheme="majorEastAsia"/>
                <w:b w:val="0"/>
                <w:bCs w:val="0"/>
                <w:color w:val="000000"/>
                <w:kern w:val="0"/>
                <w:sz w:val="18"/>
                <w:szCs w:val="18"/>
                <w:lang w:val="en-US" w:eastAsia="en-US"/>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r>
              <w:rPr>
                <w:rFonts w:hint="eastAsia" w:asciiTheme="majorEastAsia" w:hAnsiTheme="majorEastAsia" w:eastAsiaTheme="majorEastAsia" w:cstheme="majorEastAsia"/>
                <w:b w:val="0"/>
                <w:bCs w:val="0"/>
                <w:color w:val="000000"/>
                <w:kern w:val="0"/>
                <w:sz w:val="18"/>
                <w:szCs w:val="18"/>
                <w:lang w:val="en-US" w:eastAsia="en-US"/>
              </w:rPr>
              <w:br w:type="textWrapping"/>
            </w:r>
            <w:r>
              <w:rPr>
                <w:rFonts w:hint="eastAsia" w:asciiTheme="majorEastAsia" w:hAnsiTheme="majorEastAsia" w:eastAsiaTheme="majorEastAsia" w:cstheme="majorEastAsia"/>
                <w:b w:val="0"/>
                <w:bCs w:val="0"/>
                <w:color w:val="000000"/>
                <w:kern w:val="0"/>
                <w:sz w:val="18"/>
                <w:szCs w:val="18"/>
                <w:lang w:val="en-US" w:eastAsia="en-US"/>
              </w:rPr>
              <w:t xml:space="preserve">    第九十八条</w:t>
            </w:r>
            <w:r>
              <w:rPr>
                <w:rFonts w:hint="eastAsia" w:asciiTheme="majorEastAsia" w:hAnsiTheme="majorEastAsia" w:eastAsiaTheme="majorEastAsia" w:cstheme="majorEastAsia"/>
                <w:b w:val="0"/>
                <w:bCs w:val="0"/>
                <w:color w:val="000000"/>
                <w:kern w:val="0"/>
                <w:sz w:val="18"/>
                <w:szCs w:val="18"/>
                <w:lang w:val="en-US" w:eastAsia="zh-CN"/>
              </w:rPr>
              <w:t xml:space="preserve">第（四）项  </w:t>
            </w:r>
            <w:r>
              <w:rPr>
                <w:rFonts w:hint="eastAsia" w:asciiTheme="majorEastAsia" w:hAnsiTheme="majorEastAsia" w:eastAsiaTheme="majorEastAsia" w:cstheme="majorEastAsia"/>
                <w:b w:val="0"/>
                <w:bCs w:val="0"/>
                <w:color w:val="000000"/>
                <w:kern w:val="0"/>
                <w:sz w:val="18"/>
                <w:szCs w:val="18"/>
                <w:lang w:val="en-US" w:eastAsia="en-US"/>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四）矿山、金属冶炼建设项目或者用于生产、储存、装卸危险物品的建设项目竣工投入生产或者使用前，安全设施未经验收合格的。</w:t>
            </w:r>
          </w:p>
          <w:p w14:paraId="4ADA6B73">
            <w:pPr>
              <w:keepNext w:val="0"/>
              <w:keepLines w:val="0"/>
              <w:pageBreakBefore w:val="0"/>
              <w:widowControl/>
              <w:wordWrap/>
              <w:overflowPunct/>
              <w:topLinePunct w:val="0"/>
              <w:bidi w:val="0"/>
              <w:spacing w:line="21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Theme="majorEastAsia" w:hAnsiTheme="majorEastAsia" w:eastAsiaTheme="majorEastAsia" w:cstheme="majorEastAsia"/>
                <w:b/>
                <w:bCs/>
                <w:color w:val="000000"/>
                <w:kern w:val="0"/>
                <w:sz w:val="18"/>
                <w:szCs w:val="18"/>
                <w:lang w:val="en-US" w:eastAsia="zh-CN"/>
              </w:rPr>
              <w:t>2.《港口危险货物安全管理规定》（交通运输部令2023年第8号）</w:t>
            </w:r>
          </w:p>
          <w:p w14:paraId="258AAC43">
            <w:pPr>
              <w:keepNext w:val="0"/>
              <w:keepLines w:val="0"/>
              <w:pageBreakBefore w:val="0"/>
              <w:widowControl/>
              <w:wordWrap/>
              <w:overflowPunct/>
              <w:topLinePunct w:val="0"/>
              <w:bidi w:val="0"/>
              <w:spacing w:line="210" w:lineRule="exact"/>
              <w:ind w:left="0" w:leftChars="0" w:right="0" w:rightChars="0" w:firstLine="360" w:firstLineChars="200"/>
              <w:jc w:val="left"/>
              <w:rPr>
                <w:rFonts w:hint="eastAsia" w:asciiTheme="majorEastAsia" w:hAnsiTheme="majorEastAsia" w:eastAsiaTheme="majorEastAsia" w:cstheme="majorEastAsia"/>
                <w:b w:val="0"/>
                <w:bCs w:val="0"/>
                <w:color w:val="auto"/>
                <w:kern w:val="0"/>
                <w:sz w:val="18"/>
                <w:szCs w:val="18"/>
                <w:lang w:val="en-US" w:eastAsia="en-US"/>
              </w:rPr>
            </w:pPr>
            <w:r>
              <w:rPr>
                <w:rFonts w:hint="eastAsia" w:asciiTheme="majorEastAsia" w:hAnsiTheme="majorEastAsia" w:eastAsiaTheme="majorEastAsia" w:cstheme="majorEastAsia"/>
                <w:b w:val="0"/>
                <w:bCs w:val="0"/>
                <w:color w:val="000000"/>
                <w:kern w:val="0"/>
                <w:sz w:val="18"/>
                <w:szCs w:val="18"/>
                <w:lang w:val="en-US" w:eastAsia="en-US"/>
              </w:rPr>
              <w:t>第七十二条</w:t>
            </w:r>
            <w:r>
              <w:rPr>
                <w:rFonts w:hint="eastAsia" w:asciiTheme="majorEastAsia" w:hAnsiTheme="majorEastAsia" w:eastAsiaTheme="majorEastAsia" w:cstheme="majorEastAsia"/>
                <w:b w:val="0"/>
                <w:bCs w:val="0"/>
                <w:color w:val="000000"/>
                <w:kern w:val="0"/>
                <w:sz w:val="18"/>
                <w:szCs w:val="18"/>
                <w:lang w:val="en-US" w:eastAsia="zh-CN"/>
              </w:rPr>
              <w:t>第（四）项</w:t>
            </w:r>
            <w:r>
              <w:rPr>
                <w:rFonts w:hint="eastAsia" w:asciiTheme="majorEastAsia" w:hAnsiTheme="majorEastAsia" w:eastAsiaTheme="majorEastAsia" w:cstheme="majorEastAsia"/>
                <w:b w:val="0"/>
                <w:bCs w:val="0"/>
                <w:color w:val="000000"/>
                <w:kern w:val="0"/>
                <w:sz w:val="18"/>
                <w:szCs w:val="18"/>
                <w:lang w:val="en-US" w:eastAsia="en-US"/>
              </w:rPr>
              <w:t>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四）安全设施未经验收合格，擅自从事危险货物港口作业的。</w:t>
            </w:r>
          </w:p>
        </w:tc>
        <w:tc>
          <w:tcPr>
            <w:tcW w:w="1549" w:type="dxa"/>
            <w:shd w:val="clear" w:color="auto" w:fill="auto"/>
            <w:vAlign w:val="center"/>
          </w:tcPr>
          <w:p w14:paraId="48B02F42">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eastAsia="zh-CN"/>
              </w:rPr>
            </w:pPr>
            <w:r>
              <w:rPr>
                <w:rFonts w:hint="eastAsia"/>
                <w:color w:val="auto"/>
                <w:spacing w:val="-4"/>
                <w:lang w:eastAsia="zh-CN"/>
              </w:rPr>
              <w:t>衡阳市交通运输局</w:t>
            </w:r>
          </w:p>
        </w:tc>
        <w:tc>
          <w:tcPr>
            <w:tcW w:w="1739" w:type="dxa"/>
            <w:shd w:val="clear" w:color="auto" w:fill="auto"/>
            <w:vAlign w:val="center"/>
          </w:tcPr>
          <w:p w14:paraId="2550D75A">
            <w:pPr>
              <w:pStyle w:val="11"/>
              <w:kinsoku/>
              <w:spacing w:line="240" w:lineRule="exact"/>
              <w:jc w:val="center"/>
              <w:rPr>
                <w:rFonts w:hint="eastAsia"/>
                <w:b w:val="0"/>
                <w:bCs w:val="0"/>
                <w:spacing w:val="-4"/>
                <w:lang w:eastAsia="zh-CN"/>
              </w:rPr>
            </w:pPr>
            <w:r>
              <w:rPr>
                <w:rFonts w:hint="eastAsia"/>
                <w:color w:val="auto"/>
                <w:spacing w:val="-4"/>
                <w:lang w:eastAsia="zh-CN"/>
              </w:rPr>
              <w:t>衡阳市交通运输综合行政执法支队</w:t>
            </w:r>
          </w:p>
        </w:tc>
      </w:tr>
      <w:tr w14:paraId="113E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5E4C8D19">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79</w:t>
            </w:r>
          </w:p>
        </w:tc>
        <w:tc>
          <w:tcPr>
            <w:tcW w:w="1104" w:type="dxa"/>
            <w:shd w:val="clear" w:color="auto" w:fill="auto"/>
            <w:tcMar>
              <w:left w:w="57" w:type="dxa"/>
              <w:right w:w="57" w:type="dxa"/>
            </w:tcMar>
            <w:vAlign w:val="center"/>
          </w:tcPr>
          <w:p w14:paraId="4F7CA9D6">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对交通运输领域生产经营单位未在有较大危险因素的生产经营场所和有关设施、</w:t>
            </w:r>
          </w:p>
          <w:p w14:paraId="6F17DB7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设备上设置明显的安全警示标志等行为的行政处罚</w:t>
            </w:r>
          </w:p>
          <w:p w14:paraId="5530940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p>
        </w:tc>
        <w:tc>
          <w:tcPr>
            <w:tcW w:w="1104" w:type="dxa"/>
            <w:shd w:val="clear" w:color="auto" w:fill="auto"/>
            <w:tcMar>
              <w:top w:w="0" w:type="dxa"/>
              <w:left w:w="0" w:type="dxa"/>
              <w:bottom w:w="0" w:type="dxa"/>
              <w:right w:w="0" w:type="dxa"/>
            </w:tcMar>
            <w:vAlign w:val="center"/>
          </w:tcPr>
          <w:p w14:paraId="2BBBD0F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6884A4B9">
            <w:pPr>
              <w:keepNext w:val="0"/>
              <w:keepLines w:val="0"/>
              <w:pageBreakBefore w:val="0"/>
              <w:widowControl/>
              <w:wordWrap/>
              <w:overflowPunct/>
              <w:topLinePunct w:val="0"/>
              <w:bidi w:val="0"/>
              <w:spacing w:line="210" w:lineRule="exact"/>
              <w:ind w:right="0" w:firstLine="361" w:firstLineChars="200"/>
              <w:jc w:val="left"/>
              <w:rPr>
                <w:rFonts w:hint="eastAsia" w:asciiTheme="majorEastAsia" w:hAnsiTheme="majorEastAsia" w:eastAsiaTheme="majorEastAsia" w:cstheme="majorEastAsia"/>
                <w:b w:val="0"/>
                <w:bCs w:val="0"/>
                <w:color w:val="auto"/>
                <w:kern w:val="0"/>
                <w:sz w:val="18"/>
                <w:szCs w:val="18"/>
                <w:lang w:val="en-US" w:eastAsia="en-US"/>
              </w:rPr>
            </w:pPr>
            <w:r>
              <w:rPr>
                <w:rFonts w:hint="eastAsia" w:asciiTheme="majorEastAsia" w:hAnsiTheme="majorEastAsia" w:eastAsiaTheme="majorEastAsia" w:cstheme="majorEastAsia"/>
                <w:b/>
                <w:bCs/>
                <w:color w:val="auto"/>
                <w:kern w:val="0"/>
                <w:sz w:val="18"/>
                <w:szCs w:val="18"/>
                <w:lang w:val="en-US" w:eastAsia="en-US"/>
              </w:rPr>
              <w:t>1.《中华人民共和国安全生产法》</w:t>
            </w:r>
            <w:r>
              <w:rPr>
                <w:rFonts w:hint="eastAsia" w:asciiTheme="majorEastAsia" w:hAnsiTheme="majorEastAsia" w:eastAsiaTheme="majorEastAsia" w:cstheme="majorEastAsia"/>
                <w:b/>
                <w:bCs/>
                <w:color w:val="auto"/>
                <w:kern w:val="0"/>
                <w:sz w:val="18"/>
                <w:szCs w:val="18"/>
                <w:lang w:val="en-US" w:eastAsia="en-US"/>
              </w:rPr>
              <w:br w:type="textWrapping"/>
            </w:r>
            <w:r>
              <w:rPr>
                <w:rFonts w:hint="eastAsia" w:asciiTheme="majorEastAsia" w:hAnsiTheme="majorEastAsia" w:eastAsiaTheme="majorEastAsia" w:cstheme="majorEastAsia"/>
                <w:b w:val="0"/>
                <w:bCs w:val="0"/>
                <w:color w:val="auto"/>
                <w:kern w:val="0"/>
                <w:sz w:val="18"/>
                <w:szCs w:val="18"/>
                <w:lang w:val="en-US" w:eastAsia="en-US"/>
              </w:rPr>
              <w:t xml:space="preserve">    第三十五条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lang w:val="en-US" w:eastAsia="en-US"/>
              </w:rPr>
              <w:t>生产经营单位应当在有较大危险因素的生产经营场所和有关设施、设备上，设置明显的安全警示标志。</w:t>
            </w:r>
            <w:r>
              <w:rPr>
                <w:rFonts w:hint="eastAsia" w:asciiTheme="majorEastAsia" w:hAnsiTheme="majorEastAsia" w:eastAsiaTheme="majorEastAsia" w:cstheme="majorEastAsia"/>
                <w:b w:val="0"/>
                <w:bCs w:val="0"/>
                <w:color w:val="auto"/>
                <w:kern w:val="0"/>
                <w:sz w:val="18"/>
                <w:szCs w:val="18"/>
                <w:lang w:val="en-US" w:eastAsia="en-US"/>
              </w:rPr>
              <w:br w:type="textWrapping"/>
            </w:r>
            <w:r>
              <w:rPr>
                <w:rFonts w:hint="eastAsia" w:asciiTheme="majorEastAsia" w:hAnsiTheme="majorEastAsia" w:eastAsiaTheme="majorEastAsia" w:cstheme="majorEastAsia"/>
                <w:b w:val="0"/>
                <w:bCs w:val="0"/>
                <w:color w:val="auto"/>
                <w:kern w:val="0"/>
                <w:sz w:val="18"/>
                <w:szCs w:val="18"/>
                <w:lang w:val="en-US" w:eastAsia="en-US"/>
              </w:rPr>
              <w:t xml:space="preserve">    第九十九条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lang w:val="en-US" w:eastAsia="en-US"/>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二）安全设备的安装、使用、检测、改造和报废不符合国家标准或者行业标准的；（三）未对安全设备进行经常性维护、保养和定期检测的；（四）关闭、破坏直接关系生产安全的监控、报警、防护、救生设备、设施，或者篡改、隐瞒、销毁其相关数据、信息的；（五）未为从业人员提供符合国家标准或者行业标准的劳动防护用品的；（六）危险物品的容器、运输工具，以及涉及人身安全、危险性较大的海洋石油开采特种设备和矿山井下特种设备未经具有专业资质的机构检测、检验合格，取得安全使用证或者安全标志，投入使用的；（七）使用应当淘汰的危及生产安全的工艺、设备的。（八）餐饮等行业的生产经营单位使用燃气未安装可燃气体报警装置的。</w:t>
            </w:r>
            <w:r>
              <w:rPr>
                <w:rFonts w:hint="eastAsia" w:asciiTheme="majorEastAsia" w:hAnsiTheme="majorEastAsia" w:eastAsiaTheme="majorEastAsia" w:cstheme="majorEastAsia"/>
                <w:b w:val="0"/>
                <w:bCs w:val="0"/>
                <w:color w:val="auto"/>
                <w:kern w:val="0"/>
                <w:sz w:val="18"/>
                <w:szCs w:val="18"/>
                <w:lang w:val="en-US" w:eastAsia="en-US"/>
              </w:rPr>
              <w:br w:type="textWrapping"/>
            </w:r>
            <w:r>
              <w:rPr>
                <w:rFonts w:hint="eastAsia" w:asciiTheme="majorEastAsia" w:hAnsiTheme="majorEastAsia" w:eastAsiaTheme="majorEastAsia" w:cstheme="majorEastAsia"/>
                <w:b w:val="0"/>
                <w:bCs w:val="0"/>
                <w:color w:val="auto"/>
                <w:kern w:val="0"/>
                <w:sz w:val="18"/>
                <w:szCs w:val="18"/>
                <w:lang w:val="en-US" w:eastAsia="en-US"/>
              </w:rPr>
              <w:t xml:space="preserve">   </w:t>
            </w:r>
            <w:r>
              <w:rPr>
                <w:rFonts w:hint="eastAsia" w:asciiTheme="majorEastAsia" w:hAnsiTheme="majorEastAsia" w:eastAsiaTheme="majorEastAsia" w:cstheme="majorEastAsia"/>
                <w:b/>
                <w:bCs/>
                <w:color w:val="auto"/>
                <w:kern w:val="0"/>
                <w:sz w:val="18"/>
                <w:szCs w:val="18"/>
                <w:lang w:val="en-US" w:eastAsia="en-US"/>
              </w:rPr>
              <w:t xml:space="preserve"> 2.《建设工程安全生产管理条例》</w:t>
            </w:r>
            <w:r>
              <w:rPr>
                <w:rFonts w:hint="eastAsia" w:asciiTheme="majorEastAsia" w:hAnsiTheme="majorEastAsia" w:eastAsiaTheme="majorEastAsia" w:cstheme="majorEastAsia"/>
                <w:b/>
                <w:bCs/>
                <w:color w:val="auto"/>
                <w:kern w:val="0"/>
                <w:sz w:val="18"/>
                <w:szCs w:val="18"/>
                <w:lang w:val="en-US" w:eastAsia="en-US"/>
              </w:rPr>
              <w:br w:type="textWrapping"/>
            </w:r>
            <w:r>
              <w:rPr>
                <w:rFonts w:hint="eastAsia" w:asciiTheme="majorEastAsia" w:hAnsiTheme="majorEastAsia" w:eastAsiaTheme="majorEastAsia" w:cstheme="majorEastAsia"/>
                <w:b w:val="0"/>
                <w:bCs w:val="0"/>
                <w:color w:val="auto"/>
                <w:kern w:val="0"/>
                <w:sz w:val="18"/>
                <w:szCs w:val="18"/>
                <w:lang w:val="en-US" w:eastAsia="en-US"/>
              </w:rPr>
              <w:t xml:space="preserve">    第二十八条第一款　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r>
              <w:rPr>
                <w:rFonts w:hint="eastAsia" w:asciiTheme="majorEastAsia" w:hAnsiTheme="majorEastAsia" w:eastAsiaTheme="majorEastAsia" w:cstheme="majorEastAsia"/>
                <w:b w:val="0"/>
                <w:bCs w:val="0"/>
                <w:color w:val="auto"/>
                <w:kern w:val="0"/>
                <w:sz w:val="18"/>
                <w:szCs w:val="18"/>
                <w:lang w:val="en-US" w:eastAsia="en-US"/>
              </w:rPr>
              <w:br w:type="textWrapping"/>
            </w:r>
            <w:r>
              <w:rPr>
                <w:rFonts w:hint="eastAsia" w:asciiTheme="majorEastAsia" w:hAnsiTheme="majorEastAsia" w:eastAsiaTheme="majorEastAsia" w:cstheme="majorEastAsia"/>
                <w:b w:val="0"/>
                <w:bCs w:val="0"/>
                <w:color w:val="auto"/>
                <w:kern w:val="0"/>
                <w:sz w:val="18"/>
                <w:szCs w:val="18"/>
                <w:lang w:val="en-US" w:eastAsia="en-US"/>
              </w:rPr>
              <w:t xml:space="preserve">    第六十二条第（三）（四）（五）（六）项  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三）未在施工现场的危险部位设置明显的安全警示标志，或者未按照国家有关规定在施工现场设置消防通道、消防水源、配备消防设施和灭火器材的；（四）未向作业人员提供安全防护用具和安全防护服装的；（五）未按照规定在施工起重机械和整体提升脚手架、模板等自升式架设设施验收合格后登记的；（六）使用国家明令淘汰、禁止使用的危及施工安全的工艺、设备、材料的。</w:t>
            </w:r>
          </w:p>
        </w:tc>
        <w:tc>
          <w:tcPr>
            <w:tcW w:w="1549" w:type="dxa"/>
            <w:shd w:val="clear" w:color="auto" w:fill="auto"/>
            <w:vAlign w:val="center"/>
          </w:tcPr>
          <w:p w14:paraId="23607D48">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31C8D95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en-US" w:bidi="ar-SA"/>
              </w:rPr>
            </w:pPr>
            <w:r>
              <w:rPr>
                <w:rFonts w:hint="eastAsia"/>
                <w:color w:val="auto"/>
                <w:spacing w:val="-4"/>
                <w:lang w:eastAsia="zh-CN"/>
              </w:rPr>
              <w:t>衡阳市交通运输综合行政执法支队</w:t>
            </w:r>
          </w:p>
        </w:tc>
      </w:tr>
      <w:tr w14:paraId="5C86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F8BF396">
            <w:pPr>
              <w:pStyle w:val="11"/>
              <w:keepNext w:val="0"/>
              <w:keepLines w:val="0"/>
              <w:pageBreakBefore w:val="0"/>
              <w:widowControl/>
              <w:numPr>
                <w:ilvl w:val="0"/>
                <w:numId w:val="0"/>
              </w:numPr>
              <w:wordWrap/>
              <w:overflowPunct/>
              <w:topLinePunct w:val="0"/>
              <w:bidi w:val="0"/>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80</w:t>
            </w:r>
          </w:p>
        </w:tc>
        <w:tc>
          <w:tcPr>
            <w:tcW w:w="1104" w:type="dxa"/>
            <w:shd w:val="clear" w:color="auto" w:fill="auto"/>
            <w:tcMar>
              <w:left w:w="57" w:type="dxa"/>
              <w:right w:w="57" w:type="dxa"/>
            </w:tcMar>
            <w:vAlign w:val="center"/>
          </w:tcPr>
          <w:p w14:paraId="4C42CA2A">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对交通运输领域生产、经营、运输、储存、使用危险物品或者处置废弃危险物品，未建立专门安全管理制度、未采取可靠的安全措施等行为的行政处罚</w:t>
            </w:r>
          </w:p>
          <w:p w14:paraId="7838FC00">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p>
        </w:tc>
        <w:tc>
          <w:tcPr>
            <w:tcW w:w="1104" w:type="dxa"/>
            <w:shd w:val="clear" w:color="auto" w:fill="auto"/>
            <w:tcMar>
              <w:top w:w="0" w:type="dxa"/>
              <w:left w:w="0" w:type="dxa"/>
              <w:bottom w:w="0" w:type="dxa"/>
              <w:right w:w="0" w:type="dxa"/>
            </w:tcMar>
            <w:vAlign w:val="center"/>
          </w:tcPr>
          <w:p w14:paraId="1B3EF675">
            <w:pPr>
              <w:pStyle w:val="11"/>
              <w:keepNext w:val="0"/>
              <w:keepLines w:val="0"/>
              <w:pageBreakBefore w:val="0"/>
              <w:widowControl/>
              <w:kinsoku/>
              <w:wordWrap/>
              <w:overflowPunct/>
              <w:topLinePunct w:val="0"/>
              <w:bidi w:val="0"/>
              <w:adjustRightInd/>
              <w:snapToGrid/>
              <w:spacing w:line="22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5AB09D19">
            <w:pPr>
              <w:keepNext w:val="0"/>
              <w:keepLines w:val="0"/>
              <w:pageBreakBefore w:val="0"/>
              <w:widowControl/>
              <w:numPr>
                <w:ilvl w:val="0"/>
                <w:numId w:val="0"/>
              </w:numPr>
              <w:kinsoku/>
              <w:wordWrap/>
              <w:overflowPunct/>
              <w:topLinePunct w:val="0"/>
              <w:autoSpaceDE/>
              <w:autoSpaceDN/>
              <w:bidi w:val="0"/>
              <w:adjustRightInd/>
              <w:snapToGrid/>
              <w:spacing w:line="220" w:lineRule="exact"/>
              <w:ind w:right="0" w:rightChars="0" w:firstLine="361" w:firstLineChars="200"/>
              <w:jc w:val="left"/>
              <w:textAlignment w:val="auto"/>
              <w:rPr>
                <w:rFonts w:hint="default" w:eastAsia="等线"/>
                <w:b w:val="0"/>
                <w:bCs w:val="0"/>
                <w:color w:val="auto"/>
                <w:lang w:val="en-US" w:eastAsia="zh-CN"/>
              </w:rPr>
            </w:pPr>
            <w:r>
              <w:rPr>
                <w:rFonts w:hint="eastAsia" w:asciiTheme="majorEastAsia" w:hAnsiTheme="majorEastAsia" w:eastAsiaTheme="majorEastAsia" w:cstheme="majorEastAsia"/>
                <w:b/>
                <w:bCs/>
                <w:color w:val="auto"/>
                <w:kern w:val="0"/>
                <w:sz w:val="18"/>
                <w:szCs w:val="18"/>
                <w:lang w:val="en-US" w:eastAsia="zh-CN"/>
              </w:rPr>
              <w:t>1.</w:t>
            </w:r>
            <w:r>
              <w:rPr>
                <w:rFonts w:hint="eastAsia" w:asciiTheme="majorEastAsia" w:hAnsiTheme="majorEastAsia" w:eastAsiaTheme="majorEastAsia" w:cstheme="majorEastAsia"/>
                <w:b/>
                <w:bCs/>
                <w:color w:val="auto"/>
                <w:kern w:val="0"/>
                <w:sz w:val="18"/>
                <w:szCs w:val="18"/>
              </w:rPr>
              <w:t>《</w:t>
            </w:r>
            <w:r>
              <w:rPr>
                <w:rFonts w:hint="eastAsia" w:asciiTheme="majorEastAsia" w:hAnsiTheme="majorEastAsia" w:eastAsiaTheme="majorEastAsia" w:cstheme="majorEastAsia"/>
                <w:b/>
                <w:bCs/>
                <w:color w:val="auto"/>
                <w:kern w:val="0"/>
                <w:sz w:val="18"/>
                <w:szCs w:val="18"/>
                <w:lang w:val="en-US" w:eastAsia="en-US"/>
              </w:rPr>
              <w:t>中华人民共和国</w:t>
            </w:r>
            <w:r>
              <w:rPr>
                <w:rFonts w:hint="eastAsia" w:asciiTheme="majorEastAsia" w:hAnsiTheme="majorEastAsia" w:eastAsiaTheme="majorEastAsia" w:cstheme="majorEastAsia"/>
                <w:b/>
                <w:bCs/>
                <w:color w:val="auto"/>
                <w:kern w:val="0"/>
                <w:sz w:val="18"/>
                <w:szCs w:val="18"/>
              </w:rPr>
              <w:t>安全生产法》</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第三十九条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生产、经营、运输、储存、使用危险物品或者处置废弃危险物品的，由有关主管部门依照有关法律、法规的规定和国家标准或者行业标准审批并实施监督管理。</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生产经营单位生产、经营、运输、储存、使用危险物品或者处置废弃危险物品，必须执行有关法律、法规和国家标准或者行业标准，建立专门的安全管理制度，采取可靠的安全措施，接受有关主管部门依法实施的监督管理。</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第一百零一条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二）对重大危险源未登记建档，未进行定期检测、评估、监控，未制定应急预案，或者未告知应急措施的；（三）进行爆破、吊装、动火、临时用电以及国务院应急管理部门会同国务院有关部门规定的其他危险作业，未安排专门人员进行现场安全管理的；（四）未建立安全风险分级管控制度或者未按照安全风险分级采取相应管控措施的；（五）未建立事故隐患排查治理制度，或者重大事故隐患排查治理情况未按照规定报告的。</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w:t>
            </w:r>
            <w:r>
              <w:rPr>
                <w:rFonts w:hint="eastAsia" w:asciiTheme="majorEastAsia" w:hAnsiTheme="majorEastAsia" w:eastAsiaTheme="majorEastAsia" w:cstheme="majorEastAsia"/>
                <w:b/>
                <w:bCs/>
                <w:color w:val="auto"/>
                <w:kern w:val="0"/>
                <w:sz w:val="18"/>
                <w:szCs w:val="18"/>
              </w:rPr>
              <w:t xml:space="preserve"> 2.《湖南省安全生产条例》</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w:t>
            </w:r>
            <w:r>
              <w:rPr>
                <w:rFonts w:hint="eastAsia" w:asciiTheme="majorEastAsia" w:hAnsiTheme="majorEastAsia" w:eastAsiaTheme="majorEastAsia" w:cstheme="majorEastAsia"/>
                <w:b w:val="0"/>
                <w:bCs w:val="0"/>
                <w:color w:val="auto"/>
                <w:kern w:val="0"/>
                <w:sz w:val="18"/>
                <w:szCs w:val="18"/>
                <w:lang w:val="en-US" w:eastAsia="zh-CN"/>
              </w:rPr>
              <w:t>二十六</w:t>
            </w:r>
            <w:r>
              <w:rPr>
                <w:rFonts w:hint="eastAsia" w:asciiTheme="majorEastAsia" w:hAnsiTheme="majorEastAsia" w:eastAsiaTheme="majorEastAsia" w:cstheme="majorEastAsia"/>
                <w:b w:val="0"/>
                <w:bCs w:val="0"/>
                <w:color w:val="auto"/>
                <w:kern w:val="0"/>
                <w:sz w:val="18"/>
                <w:szCs w:val="18"/>
              </w:rPr>
              <w:t>条　生产经营单位进行爆破、吊装、</w:t>
            </w:r>
            <w:r>
              <w:rPr>
                <w:rFonts w:hint="eastAsia" w:asciiTheme="majorEastAsia" w:hAnsiTheme="majorEastAsia" w:eastAsiaTheme="majorEastAsia" w:cstheme="majorEastAsia"/>
                <w:b w:val="0"/>
                <w:bCs w:val="0"/>
                <w:color w:val="auto"/>
                <w:kern w:val="0"/>
                <w:sz w:val="18"/>
                <w:szCs w:val="18"/>
                <w:lang w:val="en-US" w:eastAsia="zh-CN"/>
              </w:rPr>
              <w:t>动火、临时用电以及国家有关部门规定的其他</w:t>
            </w:r>
            <w:r>
              <w:rPr>
                <w:rFonts w:hint="eastAsia" w:asciiTheme="majorEastAsia" w:hAnsiTheme="majorEastAsia" w:eastAsiaTheme="majorEastAsia" w:cstheme="majorEastAsia"/>
                <w:b w:val="0"/>
                <w:bCs w:val="0"/>
                <w:color w:val="auto"/>
                <w:kern w:val="0"/>
                <w:sz w:val="18"/>
                <w:szCs w:val="18"/>
              </w:rPr>
              <w:t>危险作业，应当制定具体的</w:t>
            </w:r>
            <w:r>
              <w:rPr>
                <w:rFonts w:hint="eastAsia" w:asciiTheme="majorEastAsia" w:hAnsiTheme="majorEastAsia" w:eastAsiaTheme="majorEastAsia" w:cstheme="majorEastAsia"/>
                <w:b w:val="0"/>
                <w:bCs w:val="0"/>
                <w:color w:val="auto"/>
                <w:kern w:val="0"/>
                <w:sz w:val="18"/>
                <w:szCs w:val="18"/>
                <w:lang w:val="en-US" w:eastAsia="zh-CN"/>
              </w:rPr>
              <w:t>作业</w:t>
            </w:r>
            <w:r>
              <w:rPr>
                <w:rFonts w:hint="eastAsia" w:asciiTheme="majorEastAsia" w:hAnsiTheme="majorEastAsia" w:eastAsiaTheme="majorEastAsia" w:cstheme="majorEastAsia"/>
                <w:b w:val="0"/>
                <w:bCs w:val="0"/>
                <w:color w:val="auto"/>
                <w:kern w:val="0"/>
                <w:sz w:val="18"/>
                <w:szCs w:val="18"/>
              </w:rPr>
              <w:t>方案</w:t>
            </w:r>
            <w:r>
              <w:rPr>
                <w:rFonts w:hint="eastAsia" w:asciiTheme="majorEastAsia" w:hAnsiTheme="majorEastAsia" w:eastAsiaTheme="majorEastAsia" w:cstheme="majorEastAsia"/>
                <w:b w:val="0"/>
                <w:bCs w:val="0"/>
                <w:color w:val="auto"/>
                <w:kern w:val="0"/>
                <w:sz w:val="18"/>
                <w:szCs w:val="18"/>
                <w:lang w:eastAsia="zh-CN"/>
              </w:rPr>
              <w:t>、</w:t>
            </w:r>
            <w:r>
              <w:rPr>
                <w:rFonts w:hint="eastAsia" w:asciiTheme="majorEastAsia" w:hAnsiTheme="majorEastAsia" w:eastAsiaTheme="majorEastAsia" w:cstheme="majorEastAsia"/>
                <w:b w:val="0"/>
                <w:bCs w:val="0"/>
                <w:color w:val="auto"/>
                <w:kern w:val="0"/>
                <w:sz w:val="18"/>
                <w:szCs w:val="18"/>
                <w:lang w:val="en-US" w:eastAsia="zh-CN"/>
              </w:rPr>
              <w:t>操作规程</w:t>
            </w:r>
            <w:r>
              <w:rPr>
                <w:rFonts w:hint="eastAsia" w:asciiTheme="majorEastAsia" w:hAnsiTheme="majorEastAsia" w:eastAsiaTheme="majorEastAsia" w:cstheme="majorEastAsia"/>
                <w:b w:val="0"/>
                <w:bCs w:val="0"/>
                <w:color w:val="auto"/>
                <w:kern w:val="0"/>
                <w:sz w:val="18"/>
                <w:szCs w:val="18"/>
              </w:rPr>
              <w:t>和安全保障措施，安排专人进行现场安全管理和安全检查。现场负责人应当在作业前向作业人员详细说明有关危险作业的操作规程和安全保障措施。作业人员应当严格执行</w:t>
            </w:r>
            <w:r>
              <w:rPr>
                <w:rFonts w:hint="eastAsia" w:asciiTheme="majorEastAsia" w:hAnsiTheme="majorEastAsia" w:eastAsiaTheme="majorEastAsia" w:cstheme="majorEastAsia"/>
                <w:b w:val="0"/>
                <w:bCs w:val="0"/>
                <w:color w:val="auto"/>
                <w:kern w:val="0"/>
                <w:sz w:val="18"/>
                <w:szCs w:val="18"/>
                <w:lang w:val="en-US" w:eastAsia="zh-CN"/>
              </w:rPr>
              <w:t>作业</w:t>
            </w:r>
            <w:r>
              <w:rPr>
                <w:rFonts w:hint="eastAsia" w:asciiTheme="majorEastAsia" w:hAnsiTheme="majorEastAsia" w:eastAsiaTheme="majorEastAsia" w:cstheme="majorEastAsia"/>
                <w:b w:val="0"/>
                <w:bCs w:val="0"/>
                <w:color w:val="auto"/>
                <w:kern w:val="0"/>
                <w:sz w:val="18"/>
                <w:szCs w:val="18"/>
              </w:rPr>
              <w:t>方案、操作规程和安全保障措施。</w:t>
            </w:r>
          </w:p>
        </w:tc>
        <w:tc>
          <w:tcPr>
            <w:tcW w:w="1549" w:type="dxa"/>
            <w:shd w:val="clear" w:color="auto" w:fill="auto"/>
            <w:vAlign w:val="center"/>
          </w:tcPr>
          <w:p w14:paraId="1948F42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10DD3813">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7F8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03893A2">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81</w:t>
            </w:r>
          </w:p>
        </w:tc>
        <w:tc>
          <w:tcPr>
            <w:tcW w:w="1104" w:type="dxa"/>
            <w:shd w:val="clear" w:color="auto" w:fill="auto"/>
            <w:tcMar>
              <w:left w:w="57" w:type="dxa"/>
              <w:right w:w="57" w:type="dxa"/>
            </w:tcMar>
            <w:vAlign w:val="center"/>
          </w:tcPr>
          <w:p w14:paraId="49E56E2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对生产经营单位未采取措施消除事故隐患行为的行政处罚</w:t>
            </w:r>
          </w:p>
          <w:p w14:paraId="2DF9BFD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p>
        </w:tc>
        <w:tc>
          <w:tcPr>
            <w:tcW w:w="1104" w:type="dxa"/>
            <w:shd w:val="clear" w:color="auto" w:fill="auto"/>
            <w:tcMar>
              <w:top w:w="0" w:type="dxa"/>
              <w:left w:w="0" w:type="dxa"/>
              <w:bottom w:w="0" w:type="dxa"/>
              <w:right w:w="0" w:type="dxa"/>
            </w:tcMar>
            <w:vAlign w:val="center"/>
          </w:tcPr>
          <w:p w14:paraId="3E615DC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0E42ADF1">
            <w:pPr>
              <w:keepNext w:val="0"/>
              <w:keepLines w:val="0"/>
              <w:pageBreakBefore w:val="0"/>
              <w:widowControl/>
              <w:wordWrap/>
              <w:overflowPunct/>
              <w:topLinePunct w:val="0"/>
              <w:bidi w:val="0"/>
              <w:spacing w:line="240" w:lineRule="exact"/>
              <w:ind w:left="0" w:right="0" w:firstLine="361" w:firstLineChars="20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bCs/>
                <w:color w:val="auto"/>
                <w:kern w:val="0"/>
                <w:sz w:val="18"/>
                <w:szCs w:val="18"/>
              </w:rPr>
              <w:t>《中华人民共和国安全生产法》</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第四十一条第二款</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第一百零二条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1549" w:type="dxa"/>
            <w:shd w:val="clear" w:color="auto" w:fill="auto"/>
            <w:vAlign w:val="center"/>
          </w:tcPr>
          <w:p w14:paraId="0EBF6307">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E2CA6C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13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E18ED2A">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82</w:t>
            </w:r>
          </w:p>
        </w:tc>
        <w:tc>
          <w:tcPr>
            <w:tcW w:w="1104" w:type="dxa"/>
            <w:shd w:val="clear" w:color="auto" w:fill="auto"/>
            <w:tcMar>
              <w:left w:w="57" w:type="dxa"/>
              <w:right w:w="57" w:type="dxa"/>
            </w:tcMar>
            <w:vAlign w:val="center"/>
          </w:tcPr>
          <w:p w14:paraId="16334A6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对交通运输领域建设单位将工程发包给不具备安全生产条件或者相应资质的单位或者个人行为的行政处罚</w:t>
            </w:r>
          </w:p>
          <w:p w14:paraId="47BFEE8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p>
        </w:tc>
        <w:tc>
          <w:tcPr>
            <w:tcW w:w="1104" w:type="dxa"/>
            <w:shd w:val="clear" w:color="auto" w:fill="auto"/>
            <w:tcMar>
              <w:top w:w="0" w:type="dxa"/>
              <w:left w:w="0" w:type="dxa"/>
              <w:bottom w:w="0" w:type="dxa"/>
              <w:right w:w="0" w:type="dxa"/>
            </w:tcMar>
            <w:vAlign w:val="center"/>
          </w:tcPr>
          <w:p w14:paraId="4301DF9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089DEC1F">
            <w:pPr>
              <w:keepNext w:val="0"/>
              <w:keepLines w:val="0"/>
              <w:pageBreakBefore w:val="0"/>
              <w:widowControl/>
              <w:wordWrap/>
              <w:overflowPunct/>
              <w:topLinePunct w:val="0"/>
              <w:bidi w:val="0"/>
              <w:spacing w:line="240" w:lineRule="exact"/>
              <w:ind w:right="0" w:firstLine="360" w:firstLineChars="200"/>
              <w:jc w:val="left"/>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 xml:space="preserve"> </w:t>
            </w:r>
            <w:r>
              <w:rPr>
                <w:rFonts w:hint="eastAsia" w:asciiTheme="majorEastAsia" w:hAnsiTheme="majorEastAsia" w:eastAsiaTheme="majorEastAsia" w:cstheme="majorEastAsia"/>
                <w:b/>
                <w:bCs/>
                <w:color w:val="auto"/>
                <w:kern w:val="0"/>
                <w:sz w:val="18"/>
                <w:szCs w:val="18"/>
              </w:rPr>
              <w:t>1.《中华人民共和国安全生产法》</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第四十九条</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生产经营单位不得将生产经营项目、场所、设备发包或者出租给不具备安全生产条件或者相应资质的单位或者个人。</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第一百零三条 </w:t>
            </w:r>
            <w:r>
              <w:rPr>
                <w:rFonts w:hint="eastAsia" w:asciiTheme="majorEastAsia" w:hAnsiTheme="majorEastAsia" w:eastAsiaTheme="majorEastAsia" w:cstheme="majorEastAsia"/>
                <w:b w:val="0"/>
                <w:bCs w:val="0"/>
                <w:color w:val="auto"/>
                <w:kern w:val="0"/>
                <w:sz w:val="18"/>
                <w:szCs w:val="18"/>
                <w:lang w:val="en-US" w:eastAsia="zh-CN"/>
              </w:rPr>
              <w:t xml:space="preserve"> </w:t>
            </w:r>
            <w:r>
              <w:rPr>
                <w:rFonts w:hint="eastAsia" w:asciiTheme="majorEastAsia" w:hAnsiTheme="majorEastAsia" w:eastAsiaTheme="majorEastAsia" w:cstheme="majorEastAsia"/>
                <w:b w:val="0"/>
                <w:bCs w:val="0"/>
                <w:color w:val="auto"/>
                <w:kern w:val="0"/>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bCs/>
                <w:color w:val="auto"/>
                <w:kern w:val="0"/>
                <w:sz w:val="18"/>
                <w:szCs w:val="18"/>
              </w:rPr>
              <w:t xml:space="preserve">    2.《建设工程安全生产管理条例》</w:t>
            </w:r>
            <w:r>
              <w:rPr>
                <w:rFonts w:hint="eastAsia" w:asciiTheme="majorEastAsia" w:hAnsiTheme="majorEastAsia" w:eastAsiaTheme="majorEastAsia" w:cstheme="majorEastAsia"/>
                <w:b w:val="0"/>
                <w:bCs w:val="0"/>
                <w:color w:val="auto"/>
                <w:kern w:val="0"/>
                <w:sz w:val="18"/>
                <w:szCs w:val="18"/>
              </w:rPr>
              <w:br w:type="textWrapping"/>
            </w:r>
            <w:r>
              <w:rPr>
                <w:rFonts w:hint="eastAsia" w:asciiTheme="majorEastAsia" w:hAnsiTheme="majorEastAsia" w:eastAsiaTheme="majorEastAsia" w:cstheme="majorEastAsia"/>
                <w:b w:val="0"/>
                <w:bCs w:val="0"/>
                <w:color w:val="auto"/>
                <w:kern w:val="0"/>
                <w:sz w:val="18"/>
                <w:szCs w:val="18"/>
              </w:rPr>
              <w:t xml:space="preserve">    第五十五条第（三）项  违反本条例的规定，建设单位有下列行为之一的，责令限期改正，处20万元以上50万元以下的罚款；造成重大安全事故，构成犯罪的，对直接责任人员，依照刑法有关规定追究刑事责任；造成损失的，依法承担赔偿责任：（三）将拆除工程发包给不具有相应资质等级的施工单位的。</w:t>
            </w:r>
          </w:p>
        </w:tc>
        <w:tc>
          <w:tcPr>
            <w:tcW w:w="1549" w:type="dxa"/>
            <w:shd w:val="clear" w:color="auto" w:fill="auto"/>
            <w:vAlign w:val="center"/>
          </w:tcPr>
          <w:p w14:paraId="1C007BCB">
            <w:pPr>
              <w:pStyle w:val="11"/>
              <w:kinsoku/>
              <w:spacing w:line="240" w:lineRule="exact"/>
              <w:jc w:val="center"/>
              <w:rPr>
                <w:rFonts w:hint="eastAsia" w:asciiTheme="majorEastAsia" w:hAnsiTheme="majorEastAsia" w:eastAsiaTheme="majorEastAsia" w:cstheme="majorEastAsia"/>
                <w:b w:val="0"/>
                <w:bCs w:val="0"/>
                <w:snapToGrid w:val="0"/>
                <w:color w:val="auto"/>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4909FF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A9E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13A7FEF6">
            <w:pPr>
              <w:pStyle w:val="11"/>
              <w:numPr>
                <w:ilvl w:val="0"/>
                <w:numId w:val="0"/>
              </w:numPr>
              <w:spacing w:before="0" w:line="240" w:lineRule="exact"/>
              <w:ind w:left="0" w:leftChars="0" w:right="0" w:firstLine="0" w:firstLineChars="0"/>
              <w:jc w:val="center"/>
              <w:rPr>
                <w:b w:val="0"/>
                <w:bCs w:val="0"/>
                <w:color w:val="auto"/>
                <w:spacing w:val="-4"/>
                <w:lang w:eastAsia="zh-CN"/>
              </w:rPr>
            </w:pPr>
            <w:r>
              <w:rPr>
                <w:rFonts w:ascii="宋体" w:hAnsi="宋体" w:eastAsia="宋体" w:cs="宋体"/>
                <w:b w:val="0"/>
                <w:bCs w:val="0"/>
                <w:snapToGrid w:val="0"/>
                <w:color w:val="auto"/>
                <w:spacing w:val="-4"/>
                <w:kern w:val="0"/>
                <w:sz w:val="18"/>
                <w:szCs w:val="18"/>
                <w:lang w:val="en-US" w:eastAsia="zh-CN" w:bidi="ar-SA"/>
              </w:rPr>
              <w:t>83</w:t>
            </w:r>
          </w:p>
        </w:tc>
        <w:tc>
          <w:tcPr>
            <w:tcW w:w="1104" w:type="dxa"/>
            <w:shd w:val="clear" w:color="auto" w:fill="auto"/>
            <w:tcMar>
              <w:left w:w="57" w:type="dxa"/>
              <w:right w:w="57" w:type="dxa"/>
            </w:tcMar>
            <w:vAlign w:val="center"/>
          </w:tcPr>
          <w:p w14:paraId="2123D649">
            <w:pPr>
              <w:pStyle w:val="11"/>
              <w:keepNext w:val="0"/>
              <w:keepLines w:val="0"/>
              <w:pageBreakBefore w:val="0"/>
              <w:widowControl/>
              <w:kinsoku/>
              <w:wordWrap/>
              <w:overflowPunct/>
              <w:topLinePunct w:val="0"/>
              <w:autoSpaceDE/>
              <w:autoSpaceDN/>
              <w:bidi w:val="0"/>
              <w:adjustRightInd/>
              <w:snapToGrid/>
              <w:spacing w:line="21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val="en-US" w:eastAsia="zh-CN"/>
              </w:rPr>
            </w:pPr>
            <w:r>
              <w:rPr>
                <w:rFonts w:hint="eastAsia" w:asciiTheme="majorEastAsia" w:hAnsiTheme="majorEastAsia" w:eastAsiaTheme="majorEastAsia" w:cstheme="majorEastAsia"/>
                <w:b w:val="0"/>
                <w:bCs w:val="0"/>
                <w:color w:val="auto"/>
                <w:kern w:val="0"/>
                <w:sz w:val="18"/>
                <w:szCs w:val="18"/>
              </w:rPr>
              <w:t>对两个以上生产经营单位在同一作业区域内进行可能危及对方安全生产的生产经营活动，未签订安全生产管理协议或者未指定专职安全生产管理人员进行安全检查与协调行为的行政处罚</w:t>
            </w:r>
          </w:p>
        </w:tc>
        <w:tc>
          <w:tcPr>
            <w:tcW w:w="1104" w:type="dxa"/>
            <w:shd w:val="clear" w:color="auto" w:fill="auto"/>
            <w:tcMar>
              <w:top w:w="0" w:type="dxa"/>
              <w:left w:w="0" w:type="dxa"/>
              <w:bottom w:w="0" w:type="dxa"/>
              <w:right w:w="0" w:type="dxa"/>
            </w:tcMar>
            <w:vAlign w:val="center"/>
          </w:tcPr>
          <w:p w14:paraId="5B0FACC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auto"/>
                <w:kern w:val="0"/>
                <w:sz w:val="18"/>
                <w:szCs w:val="18"/>
                <w:lang w:eastAsia="zh-CN"/>
              </w:rPr>
              <w:t>行政处罚</w:t>
            </w:r>
          </w:p>
        </w:tc>
        <w:tc>
          <w:tcPr>
            <w:tcW w:w="8552" w:type="dxa"/>
            <w:shd w:val="clear" w:color="auto" w:fill="auto"/>
            <w:vAlign w:val="center"/>
          </w:tcPr>
          <w:p w14:paraId="0F277973">
            <w:pPr>
              <w:keepNext w:val="0"/>
              <w:keepLines w:val="0"/>
              <w:pageBreakBefore w:val="0"/>
              <w:widowControl/>
              <w:kinsoku/>
              <w:wordWrap/>
              <w:overflowPunct/>
              <w:topLinePunct w:val="0"/>
              <w:autoSpaceDE/>
              <w:autoSpaceDN/>
              <w:bidi w:val="0"/>
              <w:adjustRightInd/>
              <w:snapToGrid/>
              <w:spacing w:line="240" w:lineRule="exact"/>
              <w:ind w:left="0" w:leftChars="0" w:right="0" w:firstLine="361" w:firstLineChars="200"/>
              <w:jc w:val="both"/>
              <w:textAlignment w:val="auto"/>
              <w:rPr>
                <w:rFonts w:hint="eastAsia" w:asciiTheme="majorEastAsia" w:hAnsiTheme="majorEastAsia" w:eastAsiaTheme="majorEastAsia" w:cstheme="majorEastAsia"/>
                <w:b/>
                <w:bCs/>
                <w:color w:val="auto"/>
                <w:kern w:val="0"/>
                <w:sz w:val="18"/>
                <w:szCs w:val="18"/>
              </w:rPr>
            </w:pPr>
            <w:r>
              <w:rPr>
                <w:rFonts w:hint="eastAsia" w:asciiTheme="majorEastAsia" w:hAnsiTheme="majorEastAsia" w:eastAsiaTheme="majorEastAsia" w:cstheme="majorEastAsia"/>
                <w:b/>
                <w:bCs/>
                <w:color w:val="auto"/>
                <w:kern w:val="0"/>
                <w:sz w:val="18"/>
                <w:szCs w:val="18"/>
              </w:rPr>
              <w:t>《中华人民共和国安全生产法》</w:t>
            </w:r>
          </w:p>
          <w:p w14:paraId="58AF6AB9">
            <w:pPr>
              <w:keepNext w:val="0"/>
              <w:keepLines w:val="0"/>
              <w:pageBreakBefore w:val="0"/>
              <w:widowControl/>
              <w:kinsoku/>
              <w:wordWrap/>
              <w:overflowPunct/>
              <w:topLinePunct w:val="0"/>
              <w:autoSpaceDE/>
              <w:autoSpaceDN/>
              <w:bidi w:val="0"/>
              <w:adjustRightInd/>
              <w:snapToGrid/>
              <w:spacing w:line="240" w:lineRule="exact"/>
              <w:ind w:left="0" w:leftChars="0" w:right="0" w:firstLine="360" w:firstLineChars="200"/>
              <w:jc w:val="both"/>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6D05B8A2">
            <w:pPr>
              <w:keepNext w:val="0"/>
              <w:keepLines w:val="0"/>
              <w:pageBreakBefore w:val="0"/>
              <w:widowControl/>
              <w:kinsoku/>
              <w:wordWrap/>
              <w:overflowPunct/>
              <w:topLinePunct w:val="0"/>
              <w:autoSpaceDE/>
              <w:autoSpaceDN/>
              <w:bidi w:val="0"/>
              <w:adjustRightInd/>
              <w:snapToGrid/>
              <w:spacing w:line="240" w:lineRule="exact"/>
              <w:ind w:left="0" w:leftChars="0" w:right="0" w:firstLine="360" w:firstLineChars="200"/>
              <w:jc w:val="both"/>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kern w:val="0"/>
                <w:sz w:val="18"/>
                <w:szCs w:val="18"/>
              </w:rPr>
              <w:t>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1549" w:type="dxa"/>
            <w:shd w:val="clear" w:color="auto" w:fill="auto"/>
            <w:vAlign w:val="center"/>
          </w:tcPr>
          <w:p w14:paraId="110FC1A8">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40695E1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7CE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5" w:hRule="atLeast"/>
        </w:trPr>
        <w:tc>
          <w:tcPr>
            <w:tcW w:w="620" w:type="dxa"/>
            <w:vAlign w:val="center"/>
          </w:tcPr>
          <w:p w14:paraId="7855F53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84</w:t>
            </w:r>
          </w:p>
        </w:tc>
        <w:tc>
          <w:tcPr>
            <w:tcW w:w="1104" w:type="dxa"/>
            <w:shd w:val="clear" w:color="auto" w:fill="auto"/>
            <w:tcMar>
              <w:left w:w="57" w:type="dxa"/>
              <w:right w:w="57" w:type="dxa"/>
            </w:tcMar>
            <w:vAlign w:val="center"/>
          </w:tcPr>
          <w:p w14:paraId="676947A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val="0"/>
                <w:bCs w:val="0"/>
                <w:color w:val="000000"/>
                <w:kern w:val="0"/>
                <w:sz w:val="18"/>
                <w:szCs w:val="18"/>
              </w:rPr>
              <w:t>对交通运输领域生产经营单位储存危险物品的仓库与员工宿舍在同一座建筑内，或者与员工宿舍的距离不符合安全要求等行为的行政处罚</w:t>
            </w:r>
          </w:p>
        </w:tc>
        <w:tc>
          <w:tcPr>
            <w:tcW w:w="1104" w:type="dxa"/>
            <w:shd w:val="clear" w:color="auto" w:fill="auto"/>
            <w:tcMar>
              <w:top w:w="0" w:type="dxa"/>
              <w:left w:w="0" w:type="dxa"/>
              <w:bottom w:w="0" w:type="dxa"/>
              <w:right w:w="0" w:type="dxa"/>
            </w:tcMar>
            <w:vAlign w:val="center"/>
          </w:tcPr>
          <w:p w14:paraId="414E9E7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56B72402">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bCs/>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第四十二条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生产、经营、储存、使用危险物品的车间、商店、仓库不得与员工宿舍在同一座建筑物内，并应当与员工宿舍保持安全距离。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生产经营场所和员工宿舍应当设有符合紧急疏散要求、标志明显、保持畅通的出口。禁止占用、锁闭、封堵生产经营场所或者员工宿舍的出口、疏散通道。</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第一百零五条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一）生产、经营、储存、使用危险物品的车间、商店、仓库与员工宿舍在同一座建筑内，或者与员工宿舍的距离不符合安全要求的；（二）生产经营场所和员工宿舍未设有符合紧急疏散需要、标志明显、保持畅通的出口，或者占用、锁闭、封堵生产经营场所或者员工宿舍出口、疏散通道的。</w:t>
            </w:r>
          </w:p>
        </w:tc>
        <w:tc>
          <w:tcPr>
            <w:tcW w:w="1549" w:type="dxa"/>
            <w:shd w:val="clear" w:color="auto" w:fill="auto"/>
            <w:vAlign w:val="center"/>
          </w:tcPr>
          <w:p w14:paraId="21BD73C0">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AF93FC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3DC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trPr>
        <w:tc>
          <w:tcPr>
            <w:tcW w:w="620" w:type="dxa"/>
            <w:vAlign w:val="center"/>
          </w:tcPr>
          <w:p w14:paraId="1D66ECB9">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85</w:t>
            </w:r>
          </w:p>
        </w:tc>
        <w:tc>
          <w:tcPr>
            <w:tcW w:w="1104" w:type="dxa"/>
            <w:shd w:val="clear" w:color="auto" w:fill="auto"/>
            <w:tcMar>
              <w:left w:w="57" w:type="dxa"/>
              <w:right w:w="57" w:type="dxa"/>
            </w:tcMar>
            <w:vAlign w:val="center"/>
          </w:tcPr>
          <w:p w14:paraId="2844D404">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对交通运输领域生产经营单位与从业人员订立协议，免除或者减轻其对从业人员因生产安全事故伤亡依法应承担的责任行为的行政处罚</w:t>
            </w:r>
          </w:p>
        </w:tc>
        <w:tc>
          <w:tcPr>
            <w:tcW w:w="1104" w:type="dxa"/>
            <w:shd w:val="clear" w:color="auto" w:fill="auto"/>
            <w:tcMar>
              <w:top w:w="0" w:type="dxa"/>
              <w:left w:w="0" w:type="dxa"/>
              <w:bottom w:w="0" w:type="dxa"/>
              <w:right w:w="0" w:type="dxa"/>
            </w:tcMar>
            <w:vAlign w:val="center"/>
          </w:tcPr>
          <w:p w14:paraId="01B7BA1B">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C5DD0D2">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第五十二条第二款</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生产经营单位不得以任何形式与从业人员订立协议，免除或者减轻其对从业人员因生产安全事故伤亡依法应承担的责任。</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第一百零六条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1549" w:type="dxa"/>
            <w:shd w:val="clear" w:color="auto" w:fill="auto"/>
            <w:vAlign w:val="center"/>
          </w:tcPr>
          <w:p w14:paraId="09E0461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0362C2B">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BE49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620" w:type="dxa"/>
            <w:vAlign w:val="center"/>
          </w:tcPr>
          <w:p w14:paraId="7EC5B50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86</w:t>
            </w:r>
          </w:p>
        </w:tc>
        <w:tc>
          <w:tcPr>
            <w:tcW w:w="1104" w:type="dxa"/>
            <w:shd w:val="clear" w:color="auto" w:fill="auto"/>
            <w:tcMar>
              <w:left w:w="57" w:type="dxa"/>
              <w:right w:w="57" w:type="dxa"/>
            </w:tcMar>
            <w:vAlign w:val="center"/>
          </w:tcPr>
          <w:p w14:paraId="6AFDD20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对交通运输领域生产经营单位拒绝、阻碍负有安全生产监督管理职责的部门依法实施监督检查行为的行政处罚</w:t>
            </w:r>
          </w:p>
        </w:tc>
        <w:tc>
          <w:tcPr>
            <w:tcW w:w="1104" w:type="dxa"/>
            <w:shd w:val="clear" w:color="auto" w:fill="auto"/>
            <w:tcMar>
              <w:top w:w="0" w:type="dxa"/>
              <w:left w:w="0" w:type="dxa"/>
              <w:bottom w:w="0" w:type="dxa"/>
              <w:right w:w="0" w:type="dxa"/>
            </w:tcMar>
            <w:vAlign w:val="center"/>
          </w:tcPr>
          <w:p w14:paraId="70A2768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1976E8CB">
            <w:pPr>
              <w:keepNext w:val="0"/>
              <w:keepLines w:val="0"/>
              <w:pageBreakBefore w:val="0"/>
              <w:widowControl/>
              <w:kinsoku/>
              <w:wordWrap/>
              <w:overflowPunct/>
              <w:topLinePunct w:val="0"/>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第六十六条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生产经营单位对负有安全生产监督管理职责的部门的监督检查人员（以下统称安全生产监督检查人员）依法履行监督检查职责，应当予以配合，不得拒绝、阻挠。</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第一百零八条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1549" w:type="dxa"/>
            <w:shd w:val="clear" w:color="auto" w:fill="auto"/>
            <w:vAlign w:val="center"/>
          </w:tcPr>
          <w:p w14:paraId="7CAA569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5C739D6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2FD3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413B103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87</w:t>
            </w:r>
          </w:p>
        </w:tc>
        <w:tc>
          <w:tcPr>
            <w:tcW w:w="1104" w:type="dxa"/>
            <w:shd w:val="clear" w:color="auto" w:fill="auto"/>
            <w:tcMar>
              <w:left w:w="57" w:type="dxa"/>
              <w:right w:w="57" w:type="dxa"/>
            </w:tcMar>
            <w:vAlign w:val="center"/>
          </w:tcPr>
          <w:p w14:paraId="40AC3B1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default"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对高危行业、领域的生产经营单位未按照国家规定投保安全生产责任保险的行政处罚</w:t>
            </w:r>
          </w:p>
        </w:tc>
        <w:tc>
          <w:tcPr>
            <w:tcW w:w="1104" w:type="dxa"/>
            <w:shd w:val="clear" w:color="auto" w:fill="auto"/>
            <w:tcMar>
              <w:top w:w="0" w:type="dxa"/>
              <w:left w:w="0" w:type="dxa"/>
              <w:bottom w:w="0" w:type="dxa"/>
              <w:right w:w="0" w:type="dxa"/>
            </w:tcMar>
            <w:vAlign w:val="center"/>
          </w:tcPr>
          <w:p w14:paraId="56EBADC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406BD8AC">
            <w:pPr>
              <w:keepNext w:val="0"/>
              <w:keepLines w:val="0"/>
              <w:pageBreakBefore w:val="0"/>
              <w:widowControl/>
              <w:kinsoku/>
              <w:wordWrap/>
              <w:overflowPunct/>
              <w:topLinePunct w:val="0"/>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第五十一条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生产经营单位必须依法参加工伤保险，为从业人员缴纳保险费。</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第一百零九条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高危行业、领域的生产经营单位未按照国家规定投保安全生产责任保险的，责令限期改正，处五万元以上十万元以下的罚款；逾期未改正的，处十万元以上二十万元以下的罚款。</w:t>
            </w:r>
          </w:p>
        </w:tc>
        <w:tc>
          <w:tcPr>
            <w:tcW w:w="1549" w:type="dxa"/>
            <w:shd w:val="clear" w:color="auto" w:fill="auto"/>
            <w:vAlign w:val="center"/>
          </w:tcPr>
          <w:p w14:paraId="310AA6CC">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099569D4">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9EE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64D5EE9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88</w:t>
            </w:r>
          </w:p>
        </w:tc>
        <w:tc>
          <w:tcPr>
            <w:tcW w:w="1104" w:type="dxa"/>
            <w:shd w:val="clear" w:color="auto" w:fill="auto"/>
            <w:tcMar>
              <w:left w:w="57" w:type="dxa"/>
              <w:right w:w="57" w:type="dxa"/>
            </w:tcMar>
            <w:vAlign w:val="center"/>
          </w:tcPr>
          <w:p w14:paraId="12F2EC4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rPr>
              <w:t>对交通运输领域生产经营单位不具备规定的安全生产条件，经停产停业整顿仍不具备安全生产条件的行政处罚</w:t>
            </w:r>
          </w:p>
        </w:tc>
        <w:tc>
          <w:tcPr>
            <w:tcW w:w="1104" w:type="dxa"/>
            <w:shd w:val="clear" w:color="auto" w:fill="auto"/>
            <w:tcMar>
              <w:top w:w="0" w:type="dxa"/>
              <w:left w:w="0" w:type="dxa"/>
              <w:bottom w:w="0" w:type="dxa"/>
              <w:right w:w="0" w:type="dxa"/>
            </w:tcMar>
            <w:vAlign w:val="center"/>
          </w:tcPr>
          <w:p w14:paraId="445AFF7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000000"/>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72A84D4">
            <w:pPr>
              <w:keepNext w:val="0"/>
              <w:keepLines w:val="0"/>
              <w:pageBreakBefore w:val="0"/>
              <w:widowControl/>
              <w:kinsoku/>
              <w:wordWrap/>
              <w:overflowPunct/>
              <w:topLinePunct w:val="0"/>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第二十条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生产经营单位应当具备本法和有关法律、行政法规和国家标准或者行业标准规定的安全生产条件；不具备安全生产条件的，不得从事生产经营活动。</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第一百一十三条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一）存在重大事故隐患，一百八十日内三次或者一年内四次受到本法规定的行政处罚的；（二）经停产停业整顿，仍不具备法律、行政法规和国家标准或者行业标准规定的安全生产条件的；（三）不具备法律、行政法规和国家标准或者行业标准规定的安全生产条件，导致发生重大、特别重大生产安全事故的；（四）拒不执行负有安全生产监督管理职责的部门作出的停产停业整顿决定的。</w:t>
            </w:r>
          </w:p>
        </w:tc>
        <w:tc>
          <w:tcPr>
            <w:tcW w:w="1549" w:type="dxa"/>
            <w:shd w:val="clear" w:color="auto" w:fill="auto"/>
            <w:vAlign w:val="center"/>
          </w:tcPr>
          <w:p w14:paraId="236D99E5">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77345CF">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A08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8604BEB">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89</w:t>
            </w:r>
          </w:p>
        </w:tc>
        <w:tc>
          <w:tcPr>
            <w:tcW w:w="1104" w:type="dxa"/>
            <w:shd w:val="clear" w:color="auto" w:fill="auto"/>
            <w:tcMar>
              <w:left w:w="57" w:type="dxa"/>
              <w:right w:w="57" w:type="dxa"/>
            </w:tcMar>
            <w:vAlign w:val="center"/>
          </w:tcPr>
          <w:p w14:paraId="5145077D">
            <w:pPr>
              <w:keepNext w:val="0"/>
              <w:keepLines w:val="0"/>
              <w:pageBreakBefore w:val="0"/>
              <w:widowControl/>
              <w:kinsoku/>
              <w:wordWrap/>
              <w:overflowPunct/>
              <w:topLinePunct w:val="0"/>
              <w:autoSpaceDE/>
              <w:autoSpaceDN/>
              <w:bidi w:val="0"/>
              <w:adjustRightInd/>
              <w:snapToGrid/>
              <w:spacing w:line="240" w:lineRule="exact"/>
              <w:ind w:left="0" w:right="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color w:val="auto"/>
                <w:sz w:val="18"/>
                <w:szCs w:val="18"/>
                <w:lang w:val="en-US" w:eastAsia="zh-CN"/>
              </w:rPr>
              <w:t>对交通运输建设工程领域</w:t>
            </w:r>
            <w:r>
              <w:rPr>
                <w:rFonts w:hint="eastAsia" w:asciiTheme="majorEastAsia" w:hAnsiTheme="majorEastAsia" w:eastAsiaTheme="majorEastAsia" w:cstheme="majorEastAsia"/>
                <w:b w:val="0"/>
                <w:bCs w:val="0"/>
                <w:color w:val="auto"/>
                <w:sz w:val="18"/>
                <w:szCs w:val="18"/>
                <w:lang w:eastAsia="zh-CN"/>
              </w:rPr>
              <w:t>检测机构</w:t>
            </w:r>
            <w:r>
              <w:rPr>
                <w:rFonts w:hint="eastAsia" w:asciiTheme="majorEastAsia" w:hAnsiTheme="majorEastAsia" w:eastAsiaTheme="majorEastAsia" w:cstheme="majorEastAsia"/>
                <w:b w:val="0"/>
                <w:bCs w:val="0"/>
                <w:i w:val="0"/>
                <w:iCs w:val="0"/>
                <w:caps w:val="0"/>
                <w:color w:val="auto"/>
                <w:spacing w:val="0"/>
                <w:sz w:val="18"/>
                <w:szCs w:val="18"/>
                <w:shd w:val="clear" w:fill="FFFFFF"/>
              </w:rPr>
              <w:t>未取得相应资质从事质量检测活动</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等行为</w:t>
            </w:r>
            <w:r>
              <w:rPr>
                <w:rFonts w:hint="eastAsia" w:asciiTheme="majorEastAsia" w:hAnsiTheme="majorEastAsia" w:eastAsiaTheme="majorEastAsia" w:cstheme="majorEastAsia"/>
                <w:b w:val="0"/>
                <w:bCs w:val="0"/>
                <w:i w:val="0"/>
                <w:iCs w:val="0"/>
                <w:caps w:val="0"/>
                <w:color w:val="auto"/>
                <w:spacing w:val="0"/>
                <w:sz w:val="18"/>
                <w:szCs w:val="18"/>
                <w:shd w:val="clear" w:fill="FFFFFF"/>
              </w:rPr>
              <w:t>的</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1104" w:type="dxa"/>
            <w:shd w:val="clear" w:color="auto" w:fill="auto"/>
            <w:tcMar>
              <w:top w:w="0" w:type="dxa"/>
              <w:left w:w="0" w:type="dxa"/>
              <w:bottom w:w="0" w:type="dxa"/>
              <w:right w:w="0" w:type="dxa"/>
            </w:tcMar>
            <w:vAlign w:val="center"/>
          </w:tcPr>
          <w:p w14:paraId="429F756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eastAsia="zh-CN"/>
              </w:rPr>
            </w:pPr>
            <w:r>
              <w:rPr>
                <w:rFonts w:hint="eastAsia" w:asciiTheme="majorEastAsia" w:hAnsiTheme="majorEastAsia" w:eastAsiaTheme="majorEastAsia" w:cstheme="majorEastAsia"/>
                <w:b w:val="0"/>
                <w:bCs w:val="0"/>
                <w:color w:val="auto"/>
                <w:kern w:val="0"/>
                <w:sz w:val="18"/>
                <w:szCs w:val="18"/>
                <w:lang w:eastAsia="zh-CN"/>
              </w:rPr>
              <w:t>行政处罚</w:t>
            </w:r>
          </w:p>
        </w:tc>
        <w:tc>
          <w:tcPr>
            <w:tcW w:w="8552" w:type="dxa"/>
            <w:shd w:val="clear" w:color="auto" w:fill="auto"/>
            <w:vAlign w:val="center"/>
          </w:tcPr>
          <w:p w14:paraId="601F1C91">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《公路水运工程质量检测管理办法》（交通运输部令2023年第9号）</w:t>
            </w:r>
          </w:p>
          <w:p w14:paraId="688EE152">
            <w:pPr>
              <w:keepNext w:val="0"/>
              <w:keepLines w:val="0"/>
              <w:pageBreakBefore w:val="0"/>
              <w:widowControl/>
              <w:kinsoku/>
              <w:wordWrap/>
              <w:overflowPunct/>
              <w:topLinePunct w:val="0"/>
              <w:autoSpaceDE/>
              <w:autoSpaceDN/>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第六条</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检测机构从事公路水运工程质量检测（以下简称质量检测）活动，应当按照资质等级对应的许可范围承担相应的质量检测业务。</w:t>
            </w:r>
          </w:p>
          <w:p w14:paraId="3ED71349">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第四十八条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检测机构违反本办法规定，有下列行为之一的，其检测报告无效，由交通运输主管部门处1万元以上3万元以下罚款；造成危害后果的，处3万元以上10万元以下罚款；构成犯罪的，依法追究刑事责任：</w:t>
            </w:r>
          </w:p>
          <w:p w14:paraId="6201D89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（一）</w:t>
            </w:r>
            <w:r>
              <w:rPr>
                <w:rFonts w:hint="eastAsia" w:asciiTheme="majorEastAsia" w:hAnsiTheme="majorEastAsia" w:eastAsiaTheme="majorEastAsia" w:cstheme="majorEastAsia"/>
                <w:b w:val="0"/>
                <w:bCs w:val="0"/>
                <w:i w:val="0"/>
                <w:iCs w:val="0"/>
                <w:caps w:val="0"/>
                <w:color w:val="auto"/>
                <w:spacing w:val="0"/>
                <w:sz w:val="18"/>
                <w:szCs w:val="18"/>
                <w:shd w:val="clear" w:fill="FFFFFF"/>
              </w:rPr>
              <w:t>未取得相应资质从事质量检测活动的；</w:t>
            </w:r>
          </w:p>
          <w:p w14:paraId="4217F5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（二）资质证书已过有效期从事质量检测活动的；</w:t>
            </w:r>
          </w:p>
          <w:p w14:paraId="416CBDDD">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（三）超出资质许可范围从事质量检测活动的。</w:t>
            </w:r>
          </w:p>
        </w:tc>
        <w:tc>
          <w:tcPr>
            <w:tcW w:w="1549" w:type="dxa"/>
            <w:shd w:val="clear" w:color="auto" w:fill="auto"/>
            <w:vAlign w:val="center"/>
          </w:tcPr>
          <w:p w14:paraId="3BF28FDB">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9F34DF2">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A7B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9944DC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90</w:t>
            </w:r>
          </w:p>
        </w:tc>
        <w:tc>
          <w:tcPr>
            <w:tcW w:w="1104" w:type="dxa"/>
            <w:shd w:val="clear" w:color="auto" w:fill="auto"/>
            <w:tcMar>
              <w:left w:w="57" w:type="dxa"/>
              <w:right w:w="57" w:type="dxa"/>
            </w:tcMar>
            <w:vAlign w:val="center"/>
          </w:tcPr>
          <w:p w14:paraId="47C96D90">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对交通运输建设工程领域</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检测机构隐瞒有关情况或者提供虚假材料申请资质的</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1104" w:type="dxa"/>
            <w:shd w:val="clear" w:color="auto" w:fill="auto"/>
            <w:tcMar>
              <w:top w:w="0" w:type="dxa"/>
              <w:left w:w="0" w:type="dxa"/>
              <w:bottom w:w="0" w:type="dxa"/>
              <w:right w:w="0" w:type="dxa"/>
            </w:tcMar>
            <w:vAlign w:val="center"/>
          </w:tcPr>
          <w:p w14:paraId="17250A52">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pP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8552" w:type="dxa"/>
            <w:shd w:val="clear" w:color="auto" w:fill="auto"/>
            <w:vAlign w:val="center"/>
          </w:tcPr>
          <w:p w14:paraId="09F5ADBE">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shd w:val="clear" w:fill="auto"/>
                <w:lang w:val="en-US" w:eastAsia="zh-CN" w:bidi="ar"/>
              </w:rPr>
            </w:pPr>
            <w:r>
              <w:rPr>
                <w:rFonts w:hint="eastAsia" w:asciiTheme="majorEastAsia" w:hAnsiTheme="majorEastAsia" w:eastAsiaTheme="majorEastAsia" w:cstheme="majorEastAsia"/>
                <w:b/>
                <w:bCs/>
                <w:color w:val="auto"/>
                <w:kern w:val="0"/>
                <w:sz w:val="18"/>
                <w:szCs w:val="18"/>
                <w:shd w:val="clear" w:fill="auto"/>
                <w:lang w:val="en-US" w:eastAsia="zh-CN" w:bidi="ar"/>
              </w:rPr>
              <w:t>《</w:t>
            </w:r>
            <w:r>
              <w:rPr>
                <w:rFonts w:hint="eastAsia" w:asciiTheme="majorEastAsia" w:hAnsiTheme="majorEastAsia" w:eastAsiaTheme="majorEastAsia" w:cstheme="majorEastAsia"/>
                <w:b/>
                <w:bCs/>
                <w:i w:val="0"/>
                <w:iCs w:val="0"/>
                <w:caps w:val="0"/>
                <w:color w:val="auto"/>
                <w:spacing w:val="0"/>
                <w:kern w:val="0"/>
                <w:sz w:val="18"/>
                <w:szCs w:val="18"/>
                <w:shd w:val="clear" w:fill="auto"/>
                <w:lang w:bidi="ar"/>
              </w:rPr>
              <w:t>中华人民共和国行政许可法</w:t>
            </w:r>
            <w:r>
              <w:rPr>
                <w:rFonts w:hint="eastAsia" w:asciiTheme="majorEastAsia" w:hAnsiTheme="majorEastAsia" w:eastAsiaTheme="majorEastAsia" w:cstheme="majorEastAsia"/>
                <w:b/>
                <w:bCs/>
                <w:color w:val="auto"/>
                <w:kern w:val="0"/>
                <w:sz w:val="18"/>
                <w:szCs w:val="18"/>
                <w:shd w:val="clear" w:fill="auto"/>
                <w:lang w:val="en-US" w:eastAsia="zh-CN" w:bidi="ar"/>
              </w:rPr>
              <w:t>》</w:t>
            </w:r>
          </w:p>
          <w:p w14:paraId="634CA0C9">
            <w:pPr>
              <w:keepNext w:val="0"/>
              <w:keepLines w:val="0"/>
              <w:pageBreakBefore w:val="0"/>
              <w:widowControl/>
              <w:kinsoku/>
              <w:wordWrap/>
              <w:overflowPunct/>
              <w:topLinePunct w:val="0"/>
              <w:autoSpaceDE/>
              <w:autoSpaceDN/>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shd w:val="clear" w:fill="auto"/>
                <w:lang w:val="en-US" w:eastAsia="zh-CN"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第七十八条　</w:t>
            </w:r>
            <w:bookmarkStart w:id="3" w:name="No263_Z7T78K1"/>
            <w:bookmarkEnd w:id="3"/>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14:paraId="116D6BA9">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shd w:val="clear" w:fill="auto"/>
                <w:lang w:eastAsia="zh-CN" w:bidi="ar"/>
              </w:rPr>
            </w:pPr>
            <w:r>
              <w:rPr>
                <w:rFonts w:hint="eastAsia" w:asciiTheme="majorEastAsia" w:hAnsiTheme="majorEastAsia" w:eastAsiaTheme="majorEastAsia" w:cstheme="majorEastAsia"/>
                <w:b/>
                <w:bCs/>
                <w:color w:val="auto"/>
                <w:kern w:val="0"/>
                <w:sz w:val="18"/>
                <w:szCs w:val="18"/>
                <w:shd w:val="clear" w:fill="auto"/>
                <w:lang w:eastAsia="zh-CN" w:bidi="ar"/>
              </w:rPr>
              <w:t>《公路水运工程质量检测管理办法》（交通运输部令2023年第9号）</w:t>
            </w:r>
          </w:p>
          <w:p w14:paraId="47018C8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第十一条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eastAsia="zh-CN"/>
              </w:rPr>
              <w:t>第二款</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申请人应当通过公路水运工程质量检测管理信息系统提交申请材料，并对其申请材料实质内容的真实性负责。许可机关不得要求申请人提交与其申请资质无关的技术资料和其他材料。</w:t>
            </w:r>
          </w:p>
          <w:p w14:paraId="61198D0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第四十九条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检测机构隐瞒有关情况或者提供虚假材料申请资质的，许可机关不予受理或者不予行政许可，并给予警告；检测机构1年内不得再次申请该资质。</w:t>
            </w:r>
          </w:p>
        </w:tc>
        <w:tc>
          <w:tcPr>
            <w:tcW w:w="1549" w:type="dxa"/>
            <w:shd w:val="clear" w:color="auto" w:fill="auto"/>
            <w:vAlign w:val="center"/>
          </w:tcPr>
          <w:p w14:paraId="5C7F290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E18925D">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B50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trPr>
        <w:tc>
          <w:tcPr>
            <w:tcW w:w="620" w:type="dxa"/>
            <w:vAlign w:val="center"/>
          </w:tcPr>
          <w:p w14:paraId="385B3541">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91</w:t>
            </w:r>
          </w:p>
        </w:tc>
        <w:tc>
          <w:tcPr>
            <w:tcW w:w="1104" w:type="dxa"/>
            <w:shd w:val="clear" w:color="auto" w:fill="auto"/>
            <w:tcMar>
              <w:left w:w="57" w:type="dxa"/>
              <w:right w:w="57" w:type="dxa"/>
            </w:tcMar>
            <w:vAlign w:val="center"/>
          </w:tcPr>
          <w:p w14:paraId="0DB37903">
            <w:pPr>
              <w:keepNext w:val="0"/>
              <w:keepLines w:val="0"/>
              <w:pageBreakBefore w:val="0"/>
              <w:widowControl/>
              <w:kinsoku/>
              <w:wordWrap/>
              <w:overflowPunct/>
              <w:topLinePunct w:val="0"/>
              <w:autoSpaceDE/>
              <w:autoSpaceDN/>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对交通运输建设工程领域</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检测机构以欺骗、贿赂等不正当手段取得资质证书的</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1104" w:type="dxa"/>
            <w:shd w:val="clear" w:color="auto" w:fill="auto"/>
            <w:tcMar>
              <w:top w:w="0" w:type="dxa"/>
              <w:left w:w="0" w:type="dxa"/>
              <w:bottom w:w="0" w:type="dxa"/>
              <w:right w:w="0" w:type="dxa"/>
            </w:tcMar>
            <w:vAlign w:val="center"/>
          </w:tcPr>
          <w:p w14:paraId="79153B61">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eastAsia="zh-CN"/>
              </w:rPr>
            </w:pPr>
            <w:r>
              <w:rPr>
                <w:rFonts w:hint="eastAsia" w:asciiTheme="majorEastAsia" w:hAnsiTheme="majorEastAsia" w:eastAsiaTheme="majorEastAsia" w:cstheme="majorEastAsia"/>
                <w:b w:val="0"/>
                <w:bCs w:val="0"/>
                <w:color w:val="auto"/>
                <w:kern w:val="0"/>
                <w:sz w:val="18"/>
                <w:szCs w:val="18"/>
                <w:lang w:eastAsia="zh-CN"/>
              </w:rPr>
              <w:t>行政处罚</w:t>
            </w:r>
          </w:p>
        </w:tc>
        <w:tc>
          <w:tcPr>
            <w:tcW w:w="8552" w:type="dxa"/>
            <w:shd w:val="clear" w:color="auto" w:fill="auto"/>
            <w:vAlign w:val="center"/>
          </w:tcPr>
          <w:p w14:paraId="7EDABDD2">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《中华人民共和国行政许可法》</w:t>
            </w:r>
          </w:p>
          <w:p w14:paraId="438840E6">
            <w:pPr>
              <w:keepNext w:val="0"/>
              <w:keepLines w:val="0"/>
              <w:pageBreakBefore w:val="0"/>
              <w:widowControl/>
              <w:kinsoku/>
              <w:wordWrap/>
              <w:overflowPunct/>
              <w:topLinePunct w:val="0"/>
              <w:autoSpaceDE/>
              <w:autoSpaceDN/>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第七十九条　</w:t>
            </w:r>
            <w:bookmarkStart w:id="4" w:name="No265_Z7T79K1"/>
            <w:bookmarkEnd w:id="4"/>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p w14:paraId="6CBBB8DF">
            <w:pPr>
              <w:keepNext w:val="0"/>
              <w:keepLines w:val="0"/>
              <w:pageBreakBefore w:val="0"/>
              <w:widowControl/>
              <w:kinsoku/>
              <w:wordWrap/>
              <w:overflowPunct/>
              <w:topLinePunct w:val="0"/>
              <w:autoSpaceDE/>
              <w:autoSpaceDN/>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《公路水运工程质量检测管理办法》（交通运输部令2023年第9号）</w:t>
            </w:r>
          </w:p>
          <w:p w14:paraId="7D96E0B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第十一条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eastAsia="zh-CN"/>
              </w:rPr>
              <w:t>第二款</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申请人应当通过公路水运工程质量检测管理信息系统提交申请材料，并对其申请材料实质内容的真实性负责。许可机关不得要求申请人提交与其申请资质无关的技术资料和其他材料。</w:t>
            </w:r>
          </w:p>
          <w:p w14:paraId="0AB1CA8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第五十条 检测机构以欺骗、贿赂等不正当手段取得资质证书的，由许可机关予以撤销；检测机构3年内不得再次申请该资质；构成犯罪的，依法追究刑事责任。</w:t>
            </w:r>
          </w:p>
        </w:tc>
        <w:tc>
          <w:tcPr>
            <w:tcW w:w="1549" w:type="dxa"/>
            <w:shd w:val="clear" w:color="auto" w:fill="auto"/>
            <w:vAlign w:val="center"/>
          </w:tcPr>
          <w:p w14:paraId="76F23499">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2693040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8A1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620" w:type="dxa"/>
            <w:vAlign w:val="center"/>
          </w:tcPr>
          <w:p w14:paraId="10EAFC1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92</w:t>
            </w:r>
          </w:p>
        </w:tc>
        <w:tc>
          <w:tcPr>
            <w:tcW w:w="1104" w:type="dxa"/>
            <w:shd w:val="clear" w:color="auto" w:fill="auto"/>
            <w:tcMar>
              <w:left w:w="57" w:type="dxa"/>
              <w:right w:w="57" w:type="dxa"/>
            </w:tcMar>
            <w:vAlign w:val="center"/>
          </w:tcPr>
          <w:p w14:paraId="5614F7CB">
            <w:pPr>
              <w:keepNext w:val="0"/>
              <w:keepLines w:val="0"/>
              <w:pageBreakBefore w:val="0"/>
              <w:widowControl/>
              <w:kinsoku/>
              <w:wordWrap/>
              <w:overflowPunct/>
              <w:topLinePunct w:val="0"/>
              <w:autoSpaceDE/>
              <w:autoSpaceDN/>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2"/>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对交通运输建设工程领域</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检测机构名称</w:t>
            </w:r>
            <w:r>
              <w:rPr>
                <w:rFonts w:hint="eastAsia" w:asciiTheme="majorEastAsia" w:hAnsiTheme="majorEastAsia" w:eastAsiaTheme="majorEastAsia" w:cstheme="majorEastAsia"/>
                <w:b w:val="0"/>
                <w:bCs w:val="0"/>
                <w:i w:val="0"/>
                <w:iCs w:val="0"/>
                <w:caps w:val="0"/>
                <w:color w:val="auto"/>
                <w:spacing w:val="0"/>
                <w:sz w:val="18"/>
                <w:szCs w:val="18"/>
                <w:shd w:val="clear" w:fill="FFFFFF"/>
                <w:lang w:eastAsia="zh-CN"/>
              </w:rPr>
              <w:t>、</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注册地址</w:t>
            </w:r>
            <w:r>
              <w:rPr>
                <w:rFonts w:hint="eastAsia" w:asciiTheme="majorEastAsia" w:hAnsiTheme="majorEastAsia" w:eastAsiaTheme="majorEastAsia" w:cstheme="majorEastAsia"/>
                <w:b w:val="0"/>
                <w:bCs w:val="0"/>
                <w:i w:val="0"/>
                <w:iCs w:val="0"/>
                <w:caps w:val="0"/>
                <w:color w:val="auto"/>
                <w:spacing w:val="0"/>
                <w:sz w:val="18"/>
                <w:szCs w:val="18"/>
                <w:shd w:val="clear" w:fill="FFFFFF"/>
              </w:rPr>
              <w:t>等事项发生变更</w:t>
            </w:r>
            <w:r>
              <w:rPr>
                <w:rFonts w:hint="eastAsia" w:asciiTheme="majorEastAsia" w:hAnsiTheme="majorEastAsia" w:eastAsiaTheme="majorEastAsia" w:cstheme="majorEastAsia"/>
                <w:b w:val="0"/>
                <w:bCs w:val="0"/>
                <w:i w:val="0"/>
                <w:iCs w:val="0"/>
                <w:caps w:val="0"/>
                <w:color w:val="auto"/>
                <w:spacing w:val="0"/>
                <w:sz w:val="18"/>
                <w:szCs w:val="18"/>
                <w:shd w:val="clear" w:fill="FFFFFF"/>
                <w:lang w:eastAsia="zh-CN"/>
              </w:rPr>
              <w:t>未按照规定申请变更的</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1104" w:type="dxa"/>
            <w:shd w:val="clear" w:color="auto" w:fill="auto"/>
            <w:tcMar>
              <w:top w:w="0" w:type="dxa"/>
              <w:left w:w="0" w:type="dxa"/>
              <w:bottom w:w="0" w:type="dxa"/>
              <w:right w:w="0" w:type="dxa"/>
            </w:tcMar>
            <w:vAlign w:val="center"/>
          </w:tcPr>
          <w:p w14:paraId="0CAE4F3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eastAsia="zh-CN"/>
              </w:rPr>
            </w:pPr>
            <w:r>
              <w:rPr>
                <w:rFonts w:hint="eastAsia" w:asciiTheme="majorEastAsia" w:hAnsiTheme="majorEastAsia" w:eastAsiaTheme="majorEastAsia" w:cstheme="majorEastAsia"/>
                <w:b w:val="0"/>
                <w:bCs w:val="0"/>
                <w:color w:val="auto"/>
                <w:kern w:val="0"/>
                <w:sz w:val="18"/>
                <w:szCs w:val="18"/>
                <w:lang w:eastAsia="zh-CN"/>
              </w:rPr>
              <w:t>行政处罚</w:t>
            </w:r>
          </w:p>
        </w:tc>
        <w:tc>
          <w:tcPr>
            <w:tcW w:w="8552" w:type="dxa"/>
            <w:shd w:val="clear" w:color="auto" w:fill="auto"/>
            <w:vAlign w:val="center"/>
          </w:tcPr>
          <w:p w14:paraId="5E351C5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《公路水运工程质量检测管理办法》（交通运输部令2023年第9号）</w:t>
            </w:r>
          </w:p>
          <w:p w14:paraId="7B24744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第二十三条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检测机构的名称、注册地址、检测场所地址、法定代表人、行政负责人、技术负责人和质量负责人等事项发生变更的，检测机构应当在完成变更后10个工作日内向原许可机关申请变更。</w:t>
            </w:r>
          </w:p>
          <w:p w14:paraId="01EF603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发生检测场所地址变更的，许可机关应当选派2名以上专家进行现场核查，并在15个工作日内办理完毕；其他变更事项许可机关应当在5个工作日内办理完毕。</w:t>
            </w:r>
          </w:p>
          <w:p w14:paraId="7E415F6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检测机构发生合并、分立、重组、改制等情形的，应当按照本办法的规定重新提交资质申请。</w:t>
            </w:r>
          </w:p>
          <w:p w14:paraId="2694922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第五十一条 检测机构未按照本办法第二十三条规定申请变更的，由</w:t>
            </w:r>
            <w:r>
              <w:rPr>
                <w:rFonts w:hint="eastAsia" w:asciiTheme="majorEastAsia" w:hAnsiTheme="majorEastAsia" w:eastAsiaTheme="majorEastAsia" w:cstheme="majorEastAsia"/>
                <w:b w:val="0"/>
                <w:bCs w:val="0"/>
                <w:i w:val="0"/>
                <w:iCs w:val="0"/>
                <w:caps w:val="0"/>
                <w:color w:val="000000" w:themeColor="text1"/>
                <w:spacing w:val="0"/>
                <w:sz w:val="18"/>
                <w:szCs w:val="18"/>
                <w:shd w:val="clear" w:fill="FFFFFF"/>
                <w14:textFill>
                  <w14:solidFill>
                    <w14:schemeClr w14:val="tx1"/>
                  </w14:solidFill>
                </w14:textFill>
              </w:rPr>
              <w:t>交通运输主管部门</w:t>
            </w:r>
            <w:r>
              <w:rPr>
                <w:rFonts w:hint="eastAsia" w:asciiTheme="majorEastAsia" w:hAnsiTheme="majorEastAsia" w:eastAsiaTheme="majorEastAsia" w:cstheme="majorEastAsia"/>
                <w:b w:val="0"/>
                <w:bCs w:val="0"/>
                <w:i w:val="0"/>
                <w:iCs w:val="0"/>
                <w:caps w:val="0"/>
                <w:color w:val="auto"/>
                <w:spacing w:val="0"/>
                <w:sz w:val="18"/>
                <w:szCs w:val="18"/>
                <w:shd w:val="clear" w:fill="FFFFFF"/>
              </w:rPr>
              <w:t>责令限期办理；逾期未办理的，给予警告或者通报批评。</w:t>
            </w:r>
          </w:p>
        </w:tc>
        <w:tc>
          <w:tcPr>
            <w:tcW w:w="1549" w:type="dxa"/>
            <w:shd w:val="clear" w:color="auto" w:fill="auto"/>
            <w:vAlign w:val="center"/>
          </w:tcPr>
          <w:p w14:paraId="7879914A">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99E274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3AFC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5" w:hRule="atLeast"/>
        </w:trPr>
        <w:tc>
          <w:tcPr>
            <w:tcW w:w="620" w:type="dxa"/>
            <w:vAlign w:val="center"/>
          </w:tcPr>
          <w:p w14:paraId="135C1485">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93</w:t>
            </w:r>
          </w:p>
        </w:tc>
        <w:tc>
          <w:tcPr>
            <w:tcW w:w="1104" w:type="dxa"/>
            <w:shd w:val="clear" w:color="auto" w:fill="auto"/>
            <w:tcMar>
              <w:left w:w="57" w:type="dxa"/>
              <w:right w:w="57" w:type="dxa"/>
            </w:tcMar>
            <w:vAlign w:val="center"/>
          </w:tcPr>
          <w:p w14:paraId="6556702E">
            <w:pPr>
              <w:keepNext w:val="0"/>
              <w:keepLines w:val="0"/>
              <w:pageBreakBefore w:val="0"/>
              <w:widowControl/>
              <w:kinsoku/>
              <w:wordWrap/>
              <w:overflowPunct/>
              <w:topLinePunct w:val="0"/>
              <w:autoSpaceDE/>
              <w:autoSpaceDN/>
              <w:bidi w:val="0"/>
              <w:adjustRightInd/>
              <w:snapToGrid/>
              <w:spacing w:line="240" w:lineRule="exact"/>
              <w:ind w:left="0" w:right="0"/>
              <w:jc w:val="both"/>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color w:val="auto"/>
                <w:kern w:val="0"/>
                <w:sz w:val="18"/>
                <w:szCs w:val="18"/>
                <w:lang w:val="en-US" w:eastAsia="zh-CN" w:bidi="ar"/>
              </w:rPr>
              <w:t>对</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交通运输建设工程领域</w:t>
            </w:r>
            <w:r>
              <w:rPr>
                <w:rFonts w:hint="eastAsia" w:asciiTheme="majorEastAsia" w:hAnsiTheme="majorEastAsia" w:eastAsiaTheme="majorEastAsia" w:cstheme="majorEastAsia"/>
                <w:b w:val="0"/>
                <w:bCs w:val="0"/>
                <w:color w:val="auto"/>
                <w:kern w:val="0"/>
                <w:sz w:val="18"/>
                <w:szCs w:val="18"/>
                <w:lang w:bidi="ar"/>
              </w:rPr>
              <w:t>检测机构</w:t>
            </w:r>
            <w:r>
              <w:rPr>
                <w:rFonts w:hint="eastAsia" w:asciiTheme="majorEastAsia" w:hAnsiTheme="majorEastAsia" w:eastAsiaTheme="majorEastAsia" w:cstheme="majorEastAsia"/>
                <w:b w:val="0"/>
                <w:bCs w:val="0"/>
                <w:i w:val="0"/>
                <w:iCs w:val="0"/>
                <w:caps w:val="0"/>
                <w:color w:val="auto"/>
                <w:spacing w:val="0"/>
                <w:sz w:val="18"/>
                <w:szCs w:val="18"/>
                <w:shd w:val="clear" w:fill="FFFFFF"/>
              </w:rPr>
              <w:t>出具虚假检测报告，篡改、伪造检</w:t>
            </w:r>
          </w:p>
          <w:p w14:paraId="793B279C">
            <w:pPr>
              <w:keepNext w:val="0"/>
              <w:keepLines w:val="0"/>
              <w:pageBreakBefore w:val="0"/>
              <w:widowControl/>
              <w:kinsoku/>
              <w:wordWrap/>
              <w:overflowPunct/>
              <w:topLinePunct w:val="0"/>
              <w:autoSpaceDE/>
              <w:autoSpaceDN/>
              <w:bidi w:val="0"/>
              <w:adjustRightInd/>
              <w:snapToGrid/>
              <w:spacing w:line="240" w:lineRule="exact"/>
              <w:ind w:left="0" w:right="0"/>
              <w:jc w:val="both"/>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测报告</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等行为</w:t>
            </w:r>
            <w:r>
              <w:rPr>
                <w:rFonts w:hint="eastAsia" w:asciiTheme="majorEastAsia" w:hAnsiTheme="majorEastAsia" w:eastAsiaTheme="majorEastAsia" w:cstheme="majorEastAsia"/>
                <w:b w:val="0"/>
                <w:bCs w:val="0"/>
                <w:i w:val="0"/>
                <w:iCs w:val="0"/>
                <w:caps w:val="0"/>
                <w:color w:val="auto"/>
                <w:spacing w:val="0"/>
                <w:sz w:val="18"/>
                <w:szCs w:val="18"/>
                <w:shd w:val="clear" w:fill="FFFFFF"/>
              </w:rPr>
              <w:t>的</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行政处罚</w:t>
            </w:r>
          </w:p>
        </w:tc>
        <w:tc>
          <w:tcPr>
            <w:tcW w:w="1104" w:type="dxa"/>
            <w:shd w:val="clear" w:color="auto" w:fill="auto"/>
            <w:tcMar>
              <w:top w:w="0" w:type="dxa"/>
              <w:left w:w="0" w:type="dxa"/>
              <w:bottom w:w="0" w:type="dxa"/>
              <w:right w:w="0" w:type="dxa"/>
            </w:tcMar>
            <w:vAlign w:val="center"/>
          </w:tcPr>
          <w:p w14:paraId="0D92039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eastAsia="zh-CN"/>
              </w:rPr>
            </w:pPr>
            <w:r>
              <w:rPr>
                <w:rFonts w:hint="eastAsia" w:asciiTheme="majorEastAsia" w:hAnsiTheme="majorEastAsia" w:eastAsiaTheme="majorEastAsia" w:cstheme="majorEastAsia"/>
                <w:b w:val="0"/>
                <w:bCs w:val="0"/>
                <w:color w:val="auto"/>
                <w:kern w:val="0"/>
                <w:sz w:val="18"/>
                <w:szCs w:val="18"/>
                <w:lang w:eastAsia="zh-CN"/>
              </w:rPr>
              <w:t>行政处罚</w:t>
            </w:r>
          </w:p>
        </w:tc>
        <w:tc>
          <w:tcPr>
            <w:tcW w:w="8552" w:type="dxa"/>
            <w:shd w:val="clear" w:color="auto" w:fill="auto"/>
            <w:vAlign w:val="center"/>
          </w:tcPr>
          <w:p w14:paraId="296688EE">
            <w:pPr>
              <w:pStyle w:val="7"/>
              <w:keepNext w:val="0"/>
              <w:keepLines w:val="0"/>
              <w:pageBreakBefore w:val="0"/>
              <w:widowControl/>
              <w:suppressLineNumbers w:val="0"/>
              <w:kinsoku/>
              <w:wordWrap/>
              <w:overflowPunct/>
              <w:topLinePunct w:val="0"/>
              <w:bidi w:val="0"/>
              <w:adjustRightInd/>
              <w:snapToGrid/>
              <w:spacing w:before="0" w:beforeAutospacing="0" w:after="0" w:afterAutospacing="0"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《公路水运工程质量检测管理办法》（交通运输部令2023年第9号）</w:t>
            </w:r>
          </w:p>
          <w:p w14:paraId="305801ED">
            <w:pPr>
              <w:pStyle w:val="7"/>
              <w:keepNext w:val="0"/>
              <w:keepLines w:val="0"/>
              <w:pageBreakBefore w:val="0"/>
              <w:widowControl/>
              <w:suppressLineNumbers w:val="0"/>
              <w:kinsoku/>
              <w:wordWrap/>
              <w:overflowPunct/>
              <w:topLinePunct w:val="0"/>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auto"/>
              </w:rPr>
              <w:t>第三十三条 检测机构出具的质量检测报告应当符合规范要求，包括检测项目、参数数量（批次）、检测依据、检测场所地址、检测数据、检测结果等相关信息。</w:t>
            </w:r>
          </w:p>
          <w:p w14:paraId="671AC963">
            <w:pPr>
              <w:pStyle w:val="7"/>
              <w:keepNext w:val="0"/>
              <w:keepLines w:val="0"/>
              <w:pageBreakBefore w:val="0"/>
              <w:widowControl/>
              <w:wordWrap/>
              <w:overflowPunct/>
              <w:topLinePunct w:val="0"/>
              <w:bidi w:val="0"/>
              <w:spacing w:before="0" w:beforeAutospacing="0" w:afterAutospacing="0" w:line="240" w:lineRule="exact"/>
              <w:ind w:left="0" w:right="0" w:firstLine="360" w:firstLineChars="200"/>
              <w:jc w:val="left"/>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检测机构不得出具虚假检测报告，不得篡改或者伪造检测报告。</w:t>
            </w:r>
          </w:p>
          <w:p w14:paraId="616CF67C">
            <w:pPr>
              <w:pStyle w:val="7"/>
              <w:keepNext w:val="0"/>
              <w:keepLines w:val="0"/>
              <w:pageBreakBefore w:val="0"/>
              <w:widowControl/>
              <w:wordWrap/>
              <w:overflowPunct/>
              <w:topLinePunct w:val="0"/>
              <w:bidi w:val="0"/>
              <w:spacing w:before="0" w:beforeAutospacing="0" w:afterAutospacing="0" w:line="240" w:lineRule="exact"/>
              <w:ind w:left="0" w:right="0" w:firstLine="360" w:firstLineChars="200"/>
              <w:jc w:val="left"/>
              <w:rPr>
                <w:rFonts w:hint="eastAsia" w:asciiTheme="majorEastAsia" w:hAnsiTheme="majorEastAsia" w:eastAsiaTheme="majorEastAsia" w:cstheme="majorEastAsia"/>
                <w:b w:val="0"/>
                <w:bCs w:val="0"/>
                <w:i w:val="0"/>
                <w:iCs w:val="0"/>
                <w:caps w:val="0"/>
                <w:color w:val="auto"/>
                <w:spacing w:val="0"/>
                <w:sz w:val="18"/>
                <w:szCs w:val="18"/>
                <w:shd w:val="clear" w:fill="FFFFFF"/>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第三十五条</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FFFFFF"/>
              </w:rPr>
              <w:t>检测机构依据合同承担公路水运工程质量检测业务，不得转包、违规分包。</w:t>
            </w:r>
          </w:p>
          <w:p w14:paraId="622C98E9">
            <w:pPr>
              <w:pStyle w:val="7"/>
              <w:keepNext w:val="0"/>
              <w:keepLines w:val="0"/>
              <w:pageBreakBefore w:val="0"/>
              <w:widowControl/>
              <w:suppressLineNumbers w:val="0"/>
              <w:kinsoku/>
              <w:wordWrap/>
              <w:overflowPunct/>
              <w:topLinePunct w:val="0"/>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auto"/>
              </w:rPr>
              <w:t>第五十二条</w:t>
            </w:r>
            <w:r>
              <w:rPr>
                <w:rFonts w:hint="eastAsia" w:asciiTheme="majorEastAsia" w:hAnsiTheme="majorEastAsia" w:eastAsiaTheme="majorEastAsia" w:cstheme="majorEastAsia"/>
                <w:b w:val="0"/>
                <w:bCs w:val="0"/>
                <w:i w:val="0"/>
                <w:iCs w:val="0"/>
                <w:caps w:val="0"/>
                <w:color w:val="auto"/>
                <w:spacing w:val="0"/>
                <w:sz w:val="18"/>
                <w:szCs w:val="18"/>
                <w:shd w:val="clear" w:fill="auto"/>
                <w:lang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auto"/>
                <w:lang w:val="en-US" w:eastAsia="zh-CN"/>
              </w:rPr>
              <w:t xml:space="preserve"> </w:t>
            </w:r>
            <w:r>
              <w:rPr>
                <w:rFonts w:hint="eastAsia" w:asciiTheme="majorEastAsia" w:hAnsiTheme="majorEastAsia" w:eastAsiaTheme="majorEastAsia" w:cstheme="majorEastAsia"/>
                <w:b w:val="0"/>
                <w:bCs w:val="0"/>
                <w:i w:val="0"/>
                <w:iCs w:val="0"/>
                <w:caps w:val="0"/>
                <w:color w:val="auto"/>
                <w:spacing w:val="0"/>
                <w:sz w:val="18"/>
                <w:szCs w:val="18"/>
                <w:shd w:val="clear" w:fill="auto"/>
              </w:rPr>
              <w:t>检测机构违反本办法规定，有下列行为之一的，由交通运输主管部门责令改正，处1万元以上3万元以下罚款；造成危害后果的，处3万元以上10万元以下罚款；构成犯罪的，依法追究刑事责任：</w:t>
            </w:r>
          </w:p>
          <w:p w14:paraId="020F255F">
            <w:pPr>
              <w:pStyle w:val="7"/>
              <w:keepNext w:val="0"/>
              <w:keepLines w:val="0"/>
              <w:pageBreakBefore w:val="0"/>
              <w:widowControl/>
              <w:suppressLineNumbers w:val="0"/>
              <w:kinsoku/>
              <w:wordWrap/>
              <w:overflowPunct/>
              <w:topLinePunct w:val="0"/>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auto"/>
              </w:rPr>
              <w:t>（一）出具虚假检测报告，篡改、伪造检测报告的；</w:t>
            </w:r>
          </w:p>
          <w:p w14:paraId="6548E36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sz w:val="18"/>
                <w:szCs w:val="18"/>
                <w:shd w:val="clear" w:fill="FFFFFF"/>
              </w:rPr>
              <w:t>（二）将检测业务转包、违规分包的。</w:t>
            </w:r>
          </w:p>
        </w:tc>
        <w:tc>
          <w:tcPr>
            <w:tcW w:w="1549" w:type="dxa"/>
            <w:shd w:val="clear" w:color="auto" w:fill="auto"/>
            <w:vAlign w:val="center"/>
          </w:tcPr>
          <w:p w14:paraId="484450E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5992CBD">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A48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2FA1305">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94</w:t>
            </w:r>
          </w:p>
        </w:tc>
        <w:tc>
          <w:tcPr>
            <w:tcW w:w="1104" w:type="dxa"/>
            <w:shd w:val="clear" w:color="auto" w:fill="auto"/>
            <w:tcMar>
              <w:left w:w="57" w:type="dxa"/>
              <w:right w:w="57" w:type="dxa"/>
            </w:tcMar>
            <w:vAlign w:val="center"/>
          </w:tcPr>
          <w:p w14:paraId="2F7AED75">
            <w:pPr>
              <w:keepNext w:val="0"/>
              <w:keepLines w:val="0"/>
              <w:pageBreakBefore w:val="0"/>
              <w:widowControl/>
              <w:kinsoku/>
              <w:wordWrap/>
              <w:overflowPunct/>
              <w:topLinePunct w:val="0"/>
              <w:autoSpaceDE/>
              <w:autoSpaceDN/>
              <w:bidi w:val="0"/>
              <w:adjustRightInd/>
              <w:snapToGrid/>
              <w:spacing w:line="240" w:lineRule="exact"/>
              <w:ind w:left="0" w:right="0"/>
              <w:jc w:val="both"/>
              <w:textAlignment w:val="cente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color w:val="auto"/>
                <w:kern w:val="0"/>
                <w:sz w:val="18"/>
                <w:szCs w:val="18"/>
                <w:lang w:val="en-US" w:eastAsia="zh-CN" w:bidi="ar"/>
              </w:rPr>
              <w:t>对</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交通运输建设工程领域</w:t>
            </w:r>
            <w:r>
              <w:rPr>
                <w:rFonts w:hint="eastAsia" w:asciiTheme="majorEastAsia" w:hAnsiTheme="majorEastAsia" w:eastAsiaTheme="majorEastAsia" w:cstheme="majorEastAsia"/>
                <w:b w:val="0"/>
                <w:bCs w:val="0"/>
                <w:color w:val="auto"/>
                <w:kern w:val="0"/>
                <w:sz w:val="18"/>
                <w:szCs w:val="18"/>
                <w:lang w:bidi="ar"/>
              </w:rPr>
              <w:t>检测机构</w:t>
            </w:r>
            <w:r>
              <w:rPr>
                <w:rFonts w:hint="eastAsia" w:asciiTheme="majorEastAsia" w:hAnsiTheme="majorEastAsia" w:eastAsiaTheme="majorEastAsia" w:cstheme="majorEastAsia"/>
                <w:b w:val="0"/>
                <w:bCs w:val="0"/>
                <w:i w:val="0"/>
                <w:iCs w:val="0"/>
                <w:caps w:val="0"/>
                <w:color w:val="auto"/>
                <w:spacing w:val="0"/>
                <w:sz w:val="18"/>
                <w:szCs w:val="18"/>
                <w:shd w:val="clear" w:fill="FFFFFF"/>
              </w:rPr>
              <w:t>质量保证体</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系未有效运行的</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eastAsia="zh-CN" w:bidi="ar"/>
              </w:rPr>
              <w:t>，</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或</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未</w:t>
            </w:r>
          </w:p>
          <w:p w14:paraId="4B879A58">
            <w:pPr>
              <w:keepNext w:val="0"/>
              <w:keepLines w:val="0"/>
              <w:pageBreakBefore w:val="0"/>
              <w:widowControl/>
              <w:kinsoku/>
              <w:wordWrap/>
              <w:overflowPunct/>
              <w:topLinePunct w:val="0"/>
              <w:autoSpaceDE/>
              <w:autoSpaceDN/>
              <w:bidi w:val="0"/>
              <w:adjustRightInd/>
              <w:snapToGrid/>
              <w:spacing w:line="240" w:lineRule="exact"/>
              <w:ind w:left="0" w:right="0"/>
              <w:jc w:val="both"/>
              <w:textAlignment w:val="cente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按照有关规定对仪器设备进行正常维护</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等行为</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的</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行政处罚</w:t>
            </w:r>
          </w:p>
          <w:p w14:paraId="6028993D">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p>
        </w:tc>
        <w:tc>
          <w:tcPr>
            <w:tcW w:w="1104" w:type="dxa"/>
            <w:shd w:val="clear" w:color="auto" w:fill="auto"/>
            <w:tcMar>
              <w:top w:w="0" w:type="dxa"/>
              <w:left w:w="0" w:type="dxa"/>
              <w:bottom w:w="0" w:type="dxa"/>
              <w:right w:w="0" w:type="dxa"/>
            </w:tcMar>
            <w:vAlign w:val="center"/>
          </w:tcPr>
          <w:p w14:paraId="7BBF5163">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lang w:eastAsia="zh-CN"/>
              </w:rPr>
            </w:pPr>
            <w:r>
              <w:rPr>
                <w:rFonts w:hint="eastAsia" w:asciiTheme="majorEastAsia" w:hAnsiTheme="majorEastAsia" w:eastAsiaTheme="majorEastAsia" w:cstheme="majorEastAsia"/>
                <w:b w:val="0"/>
                <w:bCs w:val="0"/>
                <w:color w:val="auto"/>
                <w:kern w:val="0"/>
                <w:sz w:val="18"/>
                <w:szCs w:val="18"/>
                <w:lang w:eastAsia="zh-CN"/>
              </w:rPr>
              <w:t>行政处罚</w:t>
            </w:r>
          </w:p>
        </w:tc>
        <w:tc>
          <w:tcPr>
            <w:tcW w:w="8552" w:type="dxa"/>
            <w:shd w:val="clear" w:color="auto" w:fill="auto"/>
            <w:vAlign w:val="center"/>
          </w:tcPr>
          <w:p w14:paraId="2E57B6E3">
            <w:pPr>
              <w:keepNext w:val="0"/>
              <w:keepLines w:val="0"/>
              <w:pageBreakBefore w:val="0"/>
              <w:widowControl/>
              <w:kinsoku/>
              <w:wordWrap/>
              <w:overflowPunct/>
              <w:topLinePunct w:val="0"/>
              <w:autoSpaceDE/>
              <w:autoSpaceDN/>
              <w:bidi w:val="0"/>
              <w:adjustRightInd/>
              <w:snapToGrid/>
              <w:spacing w:line="23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shd w:val="clear" w:fill="FFFFFF"/>
                <w:lang w:eastAsia="zh-CN" w:bidi="ar"/>
              </w:rPr>
            </w:pPr>
            <w:r>
              <w:rPr>
                <w:rFonts w:hint="eastAsia" w:asciiTheme="majorEastAsia" w:hAnsiTheme="majorEastAsia" w:eastAsiaTheme="majorEastAsia" w:cstheme="majorEastAsia"/>
                <w:b/>
                <w:bCs/>
                <w:color w:val="auto"/>
                <w:kern w:val="0"/>
                <w:sz w:val="18"/>
                <w:szCs w:val="18"/>
                <w:shd w:val="clear" w:fill="FFFFFF"/>
                <w:lang w:eastAsia="zh-CN" w:bidi="ar"/>
              </w:rPr>
              <w:t>《公路水运工程质量检测管理办法》（交通运输部令2023年第9号）</w:t>
            </w:r>
          </w:p>
          <w:p w14:paraId="70EF1217">
            <w:pPr>
              <w:keepNext w:val="0"/>
              <w:keepLines w:val="0"/>
              <w:pageBreakBefore w:val="0"/>
              <w:widowControl/>
              <w:suppressLineNumbers w:val="0"/>
              <w:pBdr>
                <w:top w:val="none" w:color="auto" w:sz="0" w:space="0"/>
                <w:left w:val="none" w:color="auto" w:sz="0" w:space="0"/>
                <w:right w:val="none" w:color="auto" w:sz="0" w:space="0"/>
              </w:pBdr>
              <w:shd w:val="clear" w:fill="FFFFFF"/>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第二十九条</w:t>
            </w:r>
            <w:bookmarkStart w:id="5" w:name="No94_Z3T29K1"/>
            <w:bookmarkEnd w:id="5"/>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检测机构应当保证质量保证体系有效运行。</w:t>
            </w:r>
          </w:p>
          <w:p w14:paraId="4A41CABA">
            <w:pPr>
              <w:keepNext w:val="0"/>
              <w:keepLines w:val="0"/>
              <w:pageBreakBefore w:val="0"/>
              <w:widowControl/>
              <w:suppressLineNumbers w:val="0"/>
              <w:pBdr>
                <w:top w:val="none" w:color="auto" w:sz="0" w:space="0"/>
                <w:left w:val="none" w:color="auto" w:sz="0" w:space="0"/>
                <w:right w:val="none" w:color="auto" w:sz="0" w:space="0"/>
              </w:pBdr>
              <w:shd w:val="clear" w:fill="FFFFFF"/>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bookmarkStart w:id="6" w:name="No95_Z3T29K2"/>
            <w:bookmarkEnd w:id="6"/>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检测机构应当按照有关规定对仪器设备进行正常维护，定期检定与校准。</w:t>
            </w:r>
          </w:p>
          <w:p w14:paraId="68BDB69F">
            <w:pPr>
              <w:keepNext w:val="0"/>
              <w:keepLines w:val="0"/>
              <w:pageBreakBefore w:val="0"/>
              <w:widowControl/>
              <w:suppressLineNumbers w:val="0"/>
              <w:kinsoku/>
              <w:wordWrap/>
              <w:overflowPunct/>
              <w:topLinePunct w:val="0"/>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第三十一条</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检测机构应当建立健全档案制度，原始记录和质量检测报告内容必须清晰、完整、规范，保证档案齐备和检测数据可追溯。</w:t>
            </w:r>
          </w:p>
          <w:p w14:paraId="50477AE0">
            <w:pPr>
              <w:keepNext w:val="0"/>
              <w:keepLines w:val="0"/>
              <w:pageBreakBefore w:val="0"/>
              <w:widowControl/>
              <w:suppressLineNumbers w:val="0"/>
              <w:kinsoku/>
              <w:wordWrap/>
              <w:overflowPunct/>
              <w:topLinePunct w:val="0"/>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第三十四条</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检测机构在同一公路水运工程项目标段中不得同时接受建设、监理、施工等多方的质量检测委托。</w:t>
            </w:r>
          </w:p>
          <w:p w14:paraId="0D1C0D53">
            <w:pPr>
              <w:keepNext w:val="0"/>
              <w:keepLines w:val="0"/>
              <w:pageBreakBefore w:val="0"/>
              <w:widowControl/>
              <w:suppressLineNumbers w:val="0"/>
              <w:kinsoku/>
              <w:wordWrap/>
              <w:overflowPunct/>
              <w:topLinePunct w:val="0"/>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第三十六条</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在检测过程中发现检测项目不合格且涉及工程主体结构安全的，检测机构应当及时向负有工程建设项目质量监督管理责任的交通运输主管部门报告。</w:t>
            </w:r>
          </w:p>
          <w:p w14:paraId="721F3E6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第四十三条</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交通运输主管部门实施监督检查时，有权采取以下措施：</w:t>
            </w:r>
          </w:p>
          <w:p w14:paraId="158B489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（一）要求被检查的检测机构或者有关单位提供相关文件和资料；</w:t>
            </w:r>
          </w:p>
          <w:p w14:paraId="668EF28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（二）查阅、记录、录音、录像、照相和复制与检查相关的事项和资料；</w:t>
            </w:r>
          </w:p>
          <w:p w14:paraId="1FE48B7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（三）进入检测机构的检测工作场地进行抽查；</w:t>
            </w:r>
          </w:p>
          <w:p w14:paraId="2F67CB4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（四）发现有不符合有关标准、规范、规程和本办法的质量检测行为，责令立即改正或者限期整改。</w:t>
            </w:r>
          </w:p>
          <w:p w14:paraId="34D899C9">
            <w:pPr>
              <w:keepNext w:val="0"/>
              <w:keepLines w:val="0"/>
              <w:pageBreakBefore w:val="0"/>
              <w:widowControl/>
              <w:suppressLineNumbers w:val="0"/>
              <w:kinsoku/>
              <w:wordWrap/>
              <w:overflowPunct/>
              <w:topLinePunct w:val="0"/>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检测机构应当予以配合，如实说明情况和提供相关资料。</w:t>
            </w:r>
          </w:p>
          <w:p w14:paraId="0CBB6601">
            <w:pPr>
              <w:keepNext w:val="0"/>
              <w:keepLines w:val="0"/>
              <w:pageBreakBefore w:val="0"/>
              <w:widowControl/>
              <w:suppressLineNumbers w:val="0"/>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第五十三条</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检测机构违反本办法规定，有下列行为之一的，由交通运输主管部门责令改正，处5000元以上1万元以下罚款：</w:t>
            </w:r>
          </w:p>
          <w:p w14:paraId="14AB0141">
            <w:pPr>
              <w:keepNext w:val="0"/>
              <w:keepLines w:val="0"/>
              <w:pageBreakBefore w:val="0"/>
              <w:widowControl/>
              <w:suppressLineNumbers w:val="0"/>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（一）质量保证体系未有效运行的，或者未按照有关规定对仪器设备进行正常维护的；</w:t>
            </w:r>
          </w:p>
          <w:p w14:paraId="5BFE120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（二）未按规定进行档案管理，造成检测数据无法追溯的；</w:t>
            </w:r>
          </w:p>
        </w:tc>
        <w:tc>
          <w:tcPr>
            <w:tcW w:w="1549" w:type="dxa"/>
            <w:shd w:val="clear" w:color="auto" w:fill="auto"/>
            <w:vAlign w:val="center"/>
          </w:tcPr>
          <w:p w14:paraId="5DBF9546">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4182CDBA">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2B6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8E77FA2">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95</w:t>
            </w:r>
          </w:p>
        </w:tc>
        <w:tc>
          <w:tcPr>
            <w:tcW w:w="1104" w:type="dxa"/>
            <w:shd w:val="clear" w:color="auto" w:fill="auto"/>
            <w:tcMar>
              <w:left w:w="57" w:type="dxa"/>
              <w:right w:w="57" w:type="dxa"/>
            </w:tcMar>
            <w:vAlign w:val="center"/>
          </w:tcPr>
          <w:p w14:paraId="301C8BA3">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对</w:t>
            </w:r>
            <w:r>
              <w:rPr>
                <w:rFonts w:hint="eastAsia" w:asciiTheme="majorEastAsia" w:hAnsiTheme="majorEastAsia" w:eastAsiaTheme="majorEastAsia" w:cstheme="majorEastAsia"/>
                <w:b w:val="0"/>
                <w:bCs w:val="0"/>
                <w:i w:val="0"/>
                <w:iCs w:val="0"/>
                <w:caps w:val="0"/>
                <w:color w:val="auto"/>
                <w:spacing w:val="0"/>
                <w:sz w:val="18"/>
                <w:szCs w:val="18"/>
                <w:shd w:val="clear" w:fill="FFFFFF"/>
                <w:lang w:val="en-US" w:eastAsia="zh-CN"/>
              </w:rPr>
              <w:t>交通运输建设工程领域</w:t>
            </w:r>
            <w:r>
              <w:rPr>
                <w:rFonts w:hint="eastAsia" w:asciiTheme="majorEastAsia" w:hAnsiTheme="majorEastAsia" w:eastAsiaTheme="majorEastAsia" w:cstheme="majorEastAsia"/>
                <w:b w:val="0"/>
                <w:bCs w:val="0"/>
                <w:color w:val="auto"/>
                <w:kern w:val="0"/>
                <w:sz w:val="18"/>
                <w:szCs w:val="18"/>
                <w:lang w:bidi="ar"/>
              </w:rPr>
              <w:t>检测机构</w:t>
            </w:r>
            <w:r>
              <w:rPr>
                <w:rFonts w:hint="eastAsia" w:asciiTheme="majorEastAsia" w:hAnsiTheme="majorEastAsia" w:eastAsiaTheme="majorEastAsia" w:cstheme="majorEastAsia"/>
                <w:b w:val="0"/>
                <w:bCs w:val="0"/>
                <w:color w:val="auto"/>
                <w:kern w:val="0"/>
                <w:sz w:val="18"/>
                <w:szCs w:val="18"/>
                <w:lang w:val="en-US" w:eastAsia="zh-CN" w:bidi="ar"/>
              </w:rPr>
              <w:t>或检测人员</w:t>
            </w:r>
            <w:r>
              <w:rPr>
                <w:rFonts w:hint="eastAsia" w:asciiTheme="majorEastAsia" w:hAnsiTheme="majorEastAsia" w:eastAsiaTheme="majorEastAsia" w:cstheme="majorEastAsia"/>
                <w:b w:val="0"/>
                <w:bCs w:val="0"/>
                <w:color w:val="auto"/>
                <w:kern w:val="0"/>
                <w:sz w:val="18"/>
                <w:szCs w:val="18"/>
                <w:lang w:bidi="ar"/>
              </w:rPr>
              <w:t>未</w:t>
            </w:r>
            <w:r>
              <w:rPr>
                <w:rFonts w:hint="eastAsia" w:asciiTheme="majorEastAsia" w:hAnsiTheme="majorEastAsia" w:eastAsiaTheme="majorEastAsia" w:cstheme="majorEastAsia"/>
                <w:b w:val="0"/>
                <w:bCs w:val="0"/>
                <w:color w:val="auto"/>
                <w:kern w:val="0"/>
                <w:sz w:val="18"/>
                <w:szCs w:val="18"/>
                <w:lang w:eastAsia="zh-CN" w:bidi="ar"/>
              </w:rPr>
              <w:t>按规定进行</w:t>
            </w:r>
            <w:r>
              <w:rPr>
                <w:rFonts w:hint="eastAsia" w:asciiTheme="majorEastAsia" w:hAnsiTheme="majorEastAsia" w:eastAsiaTheme="majorEastAsia" w:cstheme="majorEastAsia"/>
                <w:b w:val="0"/>
                <w:bCs w:val="0"/>
                <w:color w:val="auto"/>
                <w:kern w:val="0"/>
                <w:sz w:val="18"/>
                <w:szCs w:val="18"/>
                <w:lang w:bidi="ar"/>
              </w:rPr>
              <w:t>样品管理</w:t>
            </w:r>
            <w:r>
              <w:rPr>
                <w:rFonts w:hint="eastAsia" w:asciiTheme="majorEastAsia" w:hAnsiTheme="majorEastAsia" w:eastAsiaTheme="majorEastAsia" w:cstheme="majorEastAsia"/>
                <w:b w:val="0"/>
                <w:bCs w:val="0"/>
                <w:color w:val="auto"/>
                <w:kern w:val="0"/>
                <w:sz w:val="18"/>
                <w:szCs w:val="18"/>
                <w:lang w:val="en-US" w:eastAsia="zh-CN" w:bidi="ar"/>
              </w:rPr>
              <w:t>等行为</w:t>
            </w:r>
            <w:r>
              <w:rPr>
                <w:rFonts w:hint="eastAsia" w:asciiTheme="majorEastAsia" w:hAnsiTheme="majorEastAsia" w:eastAsiaTheme="majorEastAsia" w:cstheme="majorEastAsia"/>
                <w:b w:val="0"/>
                <w:bCs w:val="0"/>
                <w:color w:val="auto"/>
                <w:kern w:val="0"/>
                <w:sz w:val="18"/>
                <w:szCs w:val="18"/>
                <w:lang w:bidi="ar"/>
              </w:rPr>
              <w:t>的</w:t>
            </w:r>
            <w:r>
              <w:rPr>
                <w:rFonts w:hint="eastAsia" w:asciiTheme="majorEastAsia" w:hAnsiTheme="majorEastAsia" w:eastAsiaTheme="majorEastAsia" w:cstheme="majorEastAsia"/>
                <w:b w:val="0"/>
                <w:bCs w:val="0"/>
                <w:color w:val="auto"/>
                <w:kern w:val="0"/>
                <w:sz w:val="18"/>
                <w:szCs w:val="18"/>
                <w:lang w:val="en-US" w:eastAsia="zh-CN" w:bidi="ar"/>
              </w:rPr>
              <w:t>行政处罚</w:t>
            </w:r>
          </w:p>
          <w:p w14:paraId="1FA22DAC">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p>
        </w:tc>
        <w:tc>
          <w:tcPr>
            <w:tcW w:w="1104" w:type="dxa"/>
            <w:shd w:val="clear" w:color="auto" w:fill="auto"/>
            <w:tcMar>
              <w:top w:w="0" w:type="dxa"/>
              <w:left w:w="0" w:type="dxa"/>
              <w:bottom w:w="0" w:type="dxa"/>
              <w:right w:w="0" w:type="dxa"/>
            </w:tcMar>
            <w:vAlign w:val="center"/>
          </w:tcPr>
          <w:p w14:paraId="45805389">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color w:val="auto"/>
                <w:kern w:val="0"/>
                <w:sz w:val="18"/>
                <w:szCs w:val="18"/>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615B3960">
            <w:pPr>
              <w:keepNext w:val="0"/>
              <w:keepLines w:val="0"/>
              <w:pageBreakBefore w:val="0"/>
              <w:widowControl/>
              <w:kinsoku/>
              <w:wordWrap/>
              <w:overflowPunct/>
              <w:topLinePunct w:val="0"/>
              <w:bidi w:val="0"/>
              <w:adjustRightInd/>
              <w:snapToGrid/>
              <w:spacing w:line="230" w:lineRule="exact"/>
              <w:ind w:left="0" w:right="0" w:firstLine="361" w:firstLineChars="200"/>
              <w:textAlignment w:val="auto"/>
              <w:rPr>
                <w:rFonts w:hint="eastAsia" w:asciiTheme="majorEastAsia" w:hAnsiTheme="majorEastAsia" w:eastAsiaTheme="majorEastAsia" w:cstheme="majorEastAsia"/>
                <w:b/>
                <w:bCs/>
                <w:color w:val="auto"/>
                <w:kern w:val="0"/>
                <w:sz w:val="18"/>
                <w:szCs w:val="18"/>
                <w:lang w:eastAsia="zh-CN" w:bidi="ar"/>
              </w:rPr>
            </w:pPr>
            <w:r>
              <w:rPr>
                <w:rFonts w:hint="eastAsia" w:asciiTheme="majorEastAsia" w:hAnsiTheme="majorEastAsia" w:eastAsiaTheme="majorEastAsia" w:cstheme="majorEastAsia"/>
                <w:b/>
                <w:bCs/>
                <w:color w:val="auto"/>
                <w:kern w:val="0"/>
                <w:sz w:val="18"/>
                <w:szCs w:val="18"/>
                <w:lang w:eastAsia="zh-CN" w:bidi="ar"/>
              </w:rPr>
              <w:t>《公路水运工程质量检测管理办法》（交通运输部令2023年第9号）</w:t>
            </w:r>
          </w:p>
          <w:p w14:paraId="3C35B0D4">
            <w:pPr>
              <w:keepNext w:val="0"/>
              <w:keepLines w:val="0"/>
              <w:pageBreakBefore w:val="0"/>
              <w:widowControl/>
              <w:kinsoku/>
              <w:wordWrap/>
              <w:overflowPunct/>
              <w:topLinePunct w:val="0"/>
              <w:bidi w:val="0"/>
              <w:adjustRightInd/>
              <w:snapToGrid/>
              <w:spacing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第三十条 检测机构应当建立样品管理制度，提倡盲样管理。</w:t>
            </w:r>
          </w:p>
          <w:p w14:paraId="6BDED2C5">
            <w:pPr>
              <w:keepNext w:val="0"/>
              <w:keepLines w:val="0"/>
              <w:pageBreakBefore w:val="0"/>
              <w:widowControl/>
              <w:wordWrap/>
              <w:overflowPunct/>
              <w:topLinePunct w:val="0"/>
              <w:bidi w:val="0"/>
              <w:spacing w:beforeAutospacing="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第三十九条</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检测人员不得同时在两家或者两家以上检测机构从事检测活动，不得借工作之便推销建设材料、构配件和设备。</w:t>
            </w:r>
          </w:p>
          <w:p w14:paraId="263AC68B">
            <w:pPr>
              <w:keepNext w:val="0"/>
              <w:keepLines w:val="0"/>
              <w:pageBreakBefore w:val="0"/>
              <w:widowControl/>
              <w:suppressLineNumbers w:val="0"/>
              <w:pBdr>
                <w:top w:val="none" w:color="auto" w:sz="0" w:space="0"/>
                <w:left w:val="none" w:color="auto" w:sz="0" w:space="0"/>
                <w:right w:val="none" w:color="auto" w:sz="0" w:space="0"/>
              </w:pBdr>
              <w:shd w:val="clear" w:fill="auto"/>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 xml:space="preserve">第四十四条  </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交通运输部、省级人民政府交通运输主管部门应当组织比对试验，验证检测机构的能力，比对试验情况录入公路水运工程质量检测管理信息系统。</w:t>
            </w:r>
          </w:p>
          <w:p w14:paraId="29856385">
            <w:pPr>
              <w:keepNext w:val="0"/>
              <w:keepLines w:val="0"/>
              <w:pageBreakBefore w:val="0"/>
              <w:widowControl/>
              <w:kinsoku/>
              <w:wordWrap/>
              <w:overflowPunct/>
              <w:topLinePunct w:val="0"/>
              <w:bidi w:val="0"/>
              <w:adjustRightInd/>
              <w:snapToGrid/>
              <w:spacing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检测机构应当按照前款规定参加比对试验并按照要求提供相关资料。</w:t>
            </w:r>
          </w:p>
          <w:p w14:paraId="3EBF685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第五十四条 检测机构或者检测人员违反本办法规定，有下列行为之一的，由交通运输主管部门责令改正，给予警告或者通报批评：</w:t>
            </w:r>
          </w:p>
          <w:p w14:paraId="666C1BB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（一）未按规定进行样品管理的；</w:t>
            </w:r>
          </w:p>
          <w:p w14:paraId="43BC20A6">
            <w:pPr>
              <w:keepNext w:val="0"/>
              <w:keepLines w:val="0"/>
              <w:pageBreakBefore w:val="0"/>
              <w:widowControl/>
              <w:kinsoku/>
              <w:wordWrap/>
              <w:overflowPunct/>
              <w:topLinePunct w:val="0"/>
              <w:bidi w:val="0"/>
              <w:adjustRightInd/>
              <w:snapToGrid/>
              <w:spacing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（二）同时在两家或者两家以上检测机构从事检测活动的；</w:t>
            </w:r>
          </w:p>
          <w:p w14:paraId="61D39557">
            <w:pPr>
              <w:keepNext w:val="0"/>
              <w:keepLines w:val="0"/>
              <w:pageBreakBefore w:val="0"/>
              <w:widowControl/>
              <w:kinsoku/>
              <w:wordWrap/>
              <w:overflowPunct/>
              <w:topLinePunct w:val="0"/>
              <w:bidi w:val="0"/>
              <w:adjustRightInd/>
              <w:snapToGrid/>
              <w:spacing w:line="230" w:lineRule="exact"/>
              <w:ind w:left="0" w:right="0" w:firstLine="360" w:firstLineChars="200"/>
              <w:jc w:val="left"/>
              <w:textAlignment w:val="auto"/>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val="en-US" w:eastAsia="zh-CN" w:bidi="ar"/>
              </w:rPr>
              <w:t>三</w:t>
            </w:r>
            <w:r>
              <w:rPr>
                <w:rFonts w:hint="eastAsia" w:asciiTheme="majorEastAsia" w:hAnsiTheme="majorEastAsia" w:eastAsiaTheme="majorEastAsia" w:cstheme="majorEastAsia"/>
                <w:b w:val="0"/>
                <w:bCs w:val="0"/>
                <w:i w:val="0"/>
                <w:iCs w:val="0"/>
                <w:caps w:val="0"/>
                <w:color w:val="auto"/>
                <w:spacing w:val="0"/>
                <w:kern w:val="0"/>
                <w:sz w:val="18"/>
                <w:szCs w:val="18"/>
                <w:shd w:val="clear" w:fill="auto"/>
                <w:lang w:bidi="ar"/>
              </w:rPr>
              <w:t>）借工作之便推销建设材料、构配件和设备的；</w:t>
            </w:r>
          </w:p>
          <w:p w14:paraId="0DFC211F">
            <w:pPr>
              <w:keepNext w:val="0"/>
              <w:keepLines w:val="0"/>
              <w:pageBreakBefore w:val="0"/>
              <w:widowControl/>
              <w:suppressLineNumbers w:val="0"/>
              <w:pBdr>
                <w:top w:val="none" w:color="auto" w:sz="0" w:space="0"/>
                <w:left w:val="none" w:color="auto" w:sz="0" w:space="0"/>
                <w:right w:val="none" w:color="auto" w:sz="0" w:space="0"/>
              </w:pBdr>
              <w:shd w:val="clear" w:fill="auto"/>
              <w:wordWrap/>
              <w:overflowPunct/>
              <w:topLinePunct w:val="0"/>
              <w:bidi w:val="0"/>
              <w:spacing w:beforeAutospacing="0" w:after="0" w:afterAutospacing="0" w:line="23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rPr>
            </w:pP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val="en-US" w:eastAsia="zh-CN" w:bidi="ar"/>
              </w:rPr>
              <w:t>四</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bidi="ar"/>
              </w:rPr>
              <w:t>）不按照要求参加比对试验的</w:t>
            </w:r>
            <w:r>
              <w:rPr>
                <w:rFonts w:hint="eastAsia" w:asciiTheme="majorEastAsia" w:hAnsiTheme="majorEastAsia" w:eastAsiaTheme="majorEastAsia" w:cstheme="majorEastAsia"/>
                <w:b w:val="0"/>
                <w:bCs w:val="0"/>
                <w:i w:val="0"/>
                <w:iCs w:val="0"/>
                <w:caps w:val="0"/>
                <w:color w:val="auto"/>
                <w:spacing w:val="0"/>
                <w:kern w:val="0"/>
                <w:sz w:val="18"/>
                <w:szCs w:val="18"/>
                <w:shd w:val="clear" w:fill="FFFFFF"/>
                <w:lang w:eastAsia="zh-CN" w:bidi="ar"/>
              </w:rPr>
              <w:t>。</w:t>
            </w:r>
          </w:p>
        </w:tc>
        <w:tc>
          <w:tcPr>
            <w:tcW w:w="1549" w:type="dxa"/>
            <w:shd w:val="clear" w:color="auto" w:fill="auto"/>
            <w:vAlign w:val="center"/>
          </w:tcPr>
          <w:p w14:paraId="1C3B0DE6">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53916DE">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491E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74E2F905">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96</w:t>
            </w:r>
          </w:p>
        </w:tc>
        <w:tc>
          <w:tcPr>
            <w:tcW w:w="1104" w:type="dxa"/>
            <w:shd w:val="clear" w:color="auto" w:fill="auto"/>
            <w:tcMar>
              <w:left w:w="57" w:type="dxa"/>
              <w:right w:w="57" w:type="dxa"/>
            </w:tcMar>
            <w:vAlign w:val="center"/>
          </w:tcPr>
          <w:p w14:paraId="050EC8C7">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asciiTheme="majorEastAsia" w:hAnsiTheme="majorEastAsia" w:eastAsiaTheme="majorEastAsia" w:cstheme="majorEastAsia"/>
                <w:b w:val="0"/>
                <w:bCs w:val="0"/>
                <w:color w:val="000000"/>
                <w:kern w:val="0"/>
                <w:sz w:val="18"/>
                <w:szCs w:val="18"/>
              </w:rPr>
              <w:t>对交通建设工程检测机构转让、</w:t>
            </w:r>
            <w:r>
              <w:rPr>
                <w:rFonts w:hint="eastAsia" w:asciiTheme="majorEastAsia" w:hAnsiTheme="majorEastAsia" w:eastAsiaTheme="majorEastAsia" w:cstheme="majorEastAsia"/>
                <w:b w:val="0"/>
                <w:bCs w:val="0"/>
                <w:color w:val="000000"/>
                <w:kern w:val="0"/>
                <w:sz w:val="18"/>
                <w:szCs w:val="18"/>
                <w:lang w:val="en-US" w:eastAsia="zh-CN"/>
              </w:rPr>
              <w:t>出租资质证书</w:t>
            </w:r>
            <w:r>
              <w:rPr>
                <w:rFonts w:hint="eastAsia" w:asciiTheme="majorEastAsia" w:hAnsiTheme="majorEastAsia" w:eastAsiaTheme="majorEastAsia" w:cstheme="majorEastAsia"/>
                <w:b w:val="0"/>
                <w:bCs w:val="0"/>
                <w:color w:val="000000"/>
                <w:kern w:val="0"/>
                <w:sz w:val="18"/>
                <w:szCs w:val="18"/>
              </w:rPr>
              <w:t>等行为的行政处罚</w:t>
            </w:r>
          </w:p>
        </w:tc>
        <w:tc>
          <w:tcPr>
            <w:tcW w:w="1104" w:type="dxa"/>
            <w:shd w:val="clear" w:color="auto" w:fill="auto"/>
            <w:tcMar>
              <w:top w:w="0" w:type="dxa"/>
              <w:left w:w="0" w:type="dxa"/>
              <w:bottom w:w="0" w:type="dxa"/>
              <w:right w:w="0" w:type="dxa"/>
            </w:tcMar>
            <w:vAlign w:val="center"/>
          </w:tcPr>
          <w:p w14:paraId="65242AFF">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s="宋体"/>
                <w:b w:val="0"/>
                <w:bCs w:val="0"/>
                <w:color w:val="000000"/>
                <w:kern w:val="0"/>
                <w:sz w:val="18"/>
                <w:szCs w:val="18"/>
                <w:lang w:eastAsia="zh-CN"/>
              </w:rPr>
              <w:t>行政处罚</w:t>
            </w:r>
          </w:p>
        </w:tc>
        <w:tc>
          <w:tcPr>
            <w:tcW w:w="8552" w:type="dxa"/>
            <w:shd w:val="clear" w:color="auto" w:fill="auto"/>
            <w:vAlign w:val="center"/>
          </w:tcPr>
          <w:p w14:paraId="79FAB102">
            <w:pPr>
              <w:keepNext w:val="0"/>
              <w:keepLines w:val="0"/>
              <w:pageBreakBefore w:val="0"/>
              <w:widowControl/>
              <w:wordWrap/>
              <w:overflowPunct/>
              <w:topLinePunct w:val="0"/>
              <w:bidi w:val="0"/>
              <w:spacing w:line="240" w:lineRule="exact"/>
              <w:ind w:left="0" w:right="0" w:firstLine="361" w:firstLineChars="200"/>
              <w:jc w:val="left"/>
              <w:rPr>
                <w:rFonts w:hint="eastAsia" w:asciiTheme="majorEastAsia" w:hAnsiTheme="majorEastAsia" w:eastAsiaTheme="majorEastAsia" w:cstheme="majorEastAsia"/>
                <w:b/>
                <w:bCs/>
                <w:color w:val="000000"/>
                <w:kern w:val="0"/>
                <w:sz w:val="18"/>
                <w:szCs w:val="18"/>
                <w:lang w:val="en-US" w:eastAsia="zh-CN"/>
              </w:rPr>
            </w:pPr>
            <w:r>
              <w:rPr>
                <w:rFonts w:hint="eastAsia" w:ascii="宋体" w:hAnsi="宋体" w:eastAsia="宋体" w:cs="宋体"/>
                <w:b/>
                <w:bCs/>
                <w:color w:val="000000"/>
                <w:kern w:val="0"/>
                <w:sz w:val="18"/>
                <w:szCs w:val="18"/>
              </w:rPr>
              <w:t xml:space="preserve"> </w:t>
            </w:r>
            <w:r>
              <w:rPr>
                <w:rFonts w:hint="eastAsia" w:asciiTheme="majorEastAsia" w:hAnsiTheme="majorEastAsia" w:eastAsiaTheme="majorEastAsia" w:cstheme="majorEastAsia"/>
                <w:b/>
                <w:bCs/>
                <w:color w:val="000000"/>
                <w:kern w:val="0"/>
                <w:sz w:val="18"/>
                <w:szCs w:val="18"/>
                <w:lang w:val="en-US" w:eastAsia="zh-CN"/>
              </w:rPr>
              <w:t>《公路水运工程质量检测管理办法》（交通运输部令2023年第9号）</w:t>
            </w:r>
          </w:p>
          <w:p w14:paraId="591CFD5E">
            <w:pPr>
              <w:keepNext w:val="0"/>
              <w:keepLines w:val="0"/>
              <w:pageBreakBefore w:val="0"/>
              <w:widowControl/>
              <w:wordWrap/>
              <w:overflowPunct/>
              <w:topLinePunct w:val="0"/>
              <w:bidi w:val="0"/>
              <w:spacing w:line="240" w:lineRule="exact"/>
              <w:ind w:left="0" w:right="0" w:firstLine="360" w:firstLineChars="200"/>
              <w:jc w:val="left"/>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 xml:space="preserve"> 第四十条  </w:t>
            </w:r>
            <w:r>
              <w:rPr>
                <w:rFonts w:hint="eastAsia" w:asciiTheme="majorEastAsia" w:hAnsiTheme="majorEastAsia" w:eastAsiaTheme="majorEastAsia" w:cstheme="majorEastAsia"/>
                <w:b w:val="0"/>
                <w:bCs w:val="0"/>
                <w:i w:val="0"/>
                <w:iCs w:val="0"/>
                <w:caps w:val="0"/>
                <w:color w:val="000000"/>
                <w:spacing w:val="0"/>
                <w:kern w:val="0"/>
                <w:sz w:val="18"/>
                <w:szCs w:val="18"/>
                <w:shd w:val="clear" w:fill="auto"/>
              </w:rPr>
              <w:t>检测机构资质证书不得转让、出租。</w:t>
            </w:r>
          </w:p>
          <w:p w14:paraId="74997E6C">
            <w:pPr>
              <w:keepNext w:val="0"/>
              <w:keepLines w:val="0"/>
              <w:pageBreakBefore w:val="0"/>
              <w:widowControl/>
              <w:wordWrap/>
              <w:overflowPunct/>
              <w:topLinePunct w:val="0"/>
              <w:bidi w:val="0"/>
              <w:spacing w:line="240" w:lineRule="exact"/>
              <w:ind w:left="0" w:leftChars="0" w:right="0" w:rightChars="0" w:firstLine="360" w:firstLineChars="200"/>
              <w:jc w:val="left"/>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rPr>
              <w:t xml:space="preserve"> 第五十五条  </w:t>
            </w:r>
            <w:r>
              <w:rPr>
                <w:rFonts w:hint="eastAsia" w:asciiTheme="majorEastAsia" w:hAnsiTheme="majorEastAsia" w:eastAsiaTheme="majorEastAsia" w:cstheme="majorEastAsia"/>
                <w:b w:val="0"/>
                <w:bCs w:val="0"/>
                <w:i w:val="0"/>
                <w:iCs w:val="0"/>
                <w:caps w:val="0"/>
                <w:color w:val="000000"/>
                <w:spacing w:val="0"/>
                <w:kern w:val="0"/>
                <w:sz w:val="18"/>
                <w:szCs w:val="18"/>
                <w:shd w:val="clear" w:fill="auto"/>
              </w:rPr>
              <w:t>检测机构违反本办法规定，转让、出租检测机构资质证书的，由交通运输主管部门责令停止违法行为，收缴有关证件，处5000元以下罚款。</w:t>
            </w:r>
          </w:p>
        </w:tc>
        <w:tc>
          <w:tcPr>
            <w:tcW w:w="1549" w:type="dxa"/>
            <w:shd w:val="clear" w:color="auto" w:fill="auto"/>
            <w:vAlign w:val="center"/>
          </w:tcPr>
          <w:p w14:paraId="6D090199">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FF99275">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EDE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620" w:type="dxa"/>
            <w:vAlign w:val="center"/>
          </w:tcPr>
          <w:p w14:paraId="256CD667">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97</w:t>
            </w:r>
          </w:p>
        </w:tc>
        <w:tc>
          <w:tcPr>
            <w:tcW w:w="1104" w:type="dxa"/>
            <w:shd w:val="clear" w:color="auto" w:fill="auto"/>
            <w:tcMar>
              <w:left w:w="57" w:type="dxa"/>
              <w:right w:w="57" w:type="dxa"/>
            </w:tcMar>
            <w:vAlign w:val="center"/>
          </w:tcPr>
          <w:p w14:paraId="1FA292EA">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对危及国防交通工程设施安全或者侵占国防交通控制用地的行政处罚</w:t>
            </w:r>
          </w:p>
        </w:tc>
        <w:tc>
          <w:tcPr>
            <w:tcW w:w="1104" w:type="dxa"/>
            <w:shd w:val="clear" w:color="auto" w:fill="auto"/>
            <w:tcMar>
              <w:top w:w="0" w:type="dxa"/>
              <w:left w:w="0" w:type="dxa"/>
              <w:bottom w:w="0" w:type="dxa"/>
              <w:right w:w="0" w:type="dxa"/>
            </w:tcMar>
            <w:vAlign w:val="center"/>
          </w:tcPr>
          <w:p w14:paraId="63725795">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行政处罚</w:t>
            </w:r>
          </w:p>
        </w:tc>
        <w:tc>
          <w:tcPr>
            <w:tcW w:w="8552" w:type="dxa"/>
            <w:shd w:val="clear" w:color="auto" w:fill="auto"/>
            <w:vAlign w:val="center"/>
          </w:tcPr>
          <w:p w14:paraId="46C08910">
            <w:pPr>
              <w:keepNext w:val="0"/>
              <w:keepLines w:val="0"/>
              <w:pageBreakBefore w:val="0"/>
              <w:widowControl/>
              <w:kinsoku/>
              <w:wordWrap/>
              <w:overflowPunct/>
              <w:topLinePunct w:val="0"/>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bCs/>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《国防交通条例》</w:t>
            </w:r>
          </w:p>
          <w:p w14:paraId="4017EEBC">
            <w:pPr>
              <w:keepNext w:val="0"/>
              <w:keepLines w:val="0"/>
              <w:pageBreakBefore w:val="0"/>
              <w:widowControl/>
              <w:kinsoku/>
              <w:wordWrap/>
              <w:overflowPunct/>
              <w:topLinePunct w:val="0"/>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第二十四条　</w:t>
            </w:r>
            <w:bookmarkStart w:id="7" w:name="No90_Z4T24K1"/>
            <w:bookmarkEnd w:id="7"/>
            <w:r>
              <w:rPr>
                <w:rFonts w:hint="eastAsia" w:asciiTheme="majorEastAsia" w:hAnsiTheme="majorEastAsia" w:eastAsiaTheme="majorEastAsia" w:cstheme="majorEastAsia"/>
                <w:b w:val="0"/>
                <w:bCs w:val="0"/>
                <w:color w:val="auto"/>
                <w:kern w:val="0"/>
                <w:sz w:val="18"/>
                <w:szCs w:val="18"/>
                <w:lang w:val="en-US" w:eastAsia="zh-CN" w:bidi="ar"/>
              </w:rPr>
              <w:t>任何单位或者个人进行生产和其他活动，不得影响国防交通工程设施的正常使用，不得危及国防交通工程设施的安全。</w:t>
            </w:r>
          </w:p>
          <w:p w14:paraId="5C40C0E1">
            <w:pPr>
              <w:keepNext w:val="0"/>
              <w:keepLines w:val="0"/>
              <w:pageBreakBefore w:val="0"/>
              <w:widowControl/>
              <w:kinsoku/>
              <w:wordWrap/>
              <w:overflowPunct/>
              <w:topLinePunct w:val="0"/>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第四十九条  危及国防交通工程设施安全或者侵占国防交通控制用地的，由国防交通主管机构责令停止违法行为，给予警告，可以并处5万元以下的罚款；造成经济损失的，应当依法赔偿。</w:t>
            </w:r>
          </w:p>
        </w:tc>
        <w:tc>
          <w:tcPr>
            <w:tcW w:w="1549" w:type="dxa"/>
            <w:shd w:val="clear" w:color="auto" w:fill="auto"/>
            <w:vAlign w:val="center"/>
          </w:tcPr>
          <w:p w14:paraId="4176C7BF">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3654D38">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784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620" w:type="dxa"/>
            <w:vAlign w:val="center"/>
          </w:tcPr>
          <w:p w14:paraId="28795EE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98</w:t>
            </w:r>
          </w:p>
        </w:tc>
        <w:tc>
          <w:tcPr>
            <w:tcW w:w="1104" w:type="dxa"/>
            <w:shd w:val="clear" w:color="auto" w:fill="auto"/>
            <w:tcMar>
              <w:left w:w="57" w:type="dxa"/>
              <w:right w:w="57" w:type="dxa"/>
            </w:tcMar>
            <w:vAlign w:val="center"/>
          </w:tcPr>
          <w:p w14:paraId="6280553E">
            <w:pPr>
              <w:keepNext w:val="0"/>
              <w:keepLines w:val="0"/>
              <w:pageBreakBefore w:val="0"/>
              <w:widowControl/>
              <w:wordWrap/>
              <w:overflowPunct/>
              <w:topLinePunct w:val="0"/>
              <w:bidi w:val="0"/>
              <w:spacing w:line="240" w:lineRule="exact"/>
              <w:ind w:left="0" w:leftChars="0" w:right="0" w:rightChars="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000000"/>
                <w:kern w:val="0"/>
                <w:sz w:val="18"/>
                <w:szCs w:val="18"/>
                <w:lang w:val="en-US" w:eastAsia="zh-CN"/>
              </w:rPr>
              <w:t>对</w:t>
            </w:r>
            <w:r>
              <w:rPr>
                <w:rFonts w:hint="eastAsia" w:asciiTheme="majorEastAsia" w:hAnsiTheme="majorEastAsia" w:eastAsiaTheme="majorEastAsia" w:cstheme="majorEastAsia"/>
                <w:b w:val="0"/>
                <w:bCs w:val="0"/>
                <w:snapToGrid w:val="0"/>
                <w:color w:val="000000"/>
                <w:kern w:val="0"/>
                <w:sz w:val="18"/>
                <w:szCs w:val="18"/>
                <w:lang w:val="en-US" w:eastAsia="zh-CN" w:bidi="ar-SA"/>
              </w:rPr>
              <w:t>逃避或者抗拒运力动员或者运力征用行为的行政处罚</w:t>
            </w:r>
          </w:p>
        </w:tc>
        <w:tc>
          <w:tcPr>
            <w:tcW w:w="1104" w:type="dxa"/>
            <w:shd w:val="clear" w:color="auto" w:fill="auto"/>
            <w:tcMar>
              <w:top w:w="0" w:type="dxa"/>
              <w:left w:w="0" w:type="dxa"/>
              <w:bottom w:w="0" w:type="dxa"/>
              <w:right w:w="0" w:type="dxa"/>
            </w:tcMar>
            <w:vAlign w:val="center"/>
          </w:tcPr>
          <w:p w14:paraId="2AF57E63">
            <w:pPr>
              <w:keepNext w:val="0"/>
              <w:keepLines w:val="0"/>
              <w:pageBreakBefore w:val="0"/>
              <w:widowControl/>
              <w:wordWrap/>
              <w:overflowPunct/>
              <w:topLinePunct w:val="0"/>
              <w:bidi w:val="0"/>
              <w:spacing w:line="240" w:lineRule="exact"/>
              <w:ind w:left="0" w:leftChars="0" w:right="0" w:rightChars="0"/>
              <w:jc w:val="both"/>
              <w:textAlignment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392C461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《国防交通条例》</w:t>
            </w:r>
          </w:p>
          <w:p w14:paraId="057B7CB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第三十五条　被动员或者被征用运力的单位和个人</w:t>
            </w:r>
            <w:r>
              <w:rPr>
                <w:rFonts w:hint="eastAsia" w:asciiTheme="majorEastAsia" w:hAnsiTheme="majorEastAsia" w:eastAsiaTheme="majorEastAsia" w:cstheme="majorEastAsia"/>
                <w:b w:val="0"/>
                <w:bCs w:val="0"/>
                <w:color w:val="auto"/>
                <w:kern w:val="0"/>
                <w:sz w:val="18"/>
                <w:szCs w:val="18"/>
                <w:lang w:val="en-US" w:eastAsia="zh-CN" w:bidi="ar"/>
              </w:rPr>
              <w:t>必须依法履行义务，保证被动员或者被征用的运载工具和设备的技术状况良好，并保证随同的操作人员具有相应的技能。</w:t>
            </w:r>
          </w:p>
          <w:p w14:paraId="2BDD74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leftChars="0" w:right="0" w:rightChars="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第五十条　逃避或者抗拒运力动员或者运力征用的，由国防交通主管机构给予警</w:t>
            </w:r>
            <w:r>
              <w:rPr>
                <w:rFonts w:hint="eastAsia" w:asciiTheme="majorEastAsia" w:hAnsiTheme="majorEastAsia" w:eastAsiaTheme="majorEastAsia" w:cstheme="majorEastAsia"/>
                <w:b w:val="0"/>
                <w:bCs w:val="0"/>
                <w:snapToGrid w:val="0"/>
                <w:color w:val="000000"/>
                <w:kern w:val="0"/>
                <w:sz w:val="18"/>
                <w:szCs w:val="18"/>
                <w:lang w:val="en-US" w:eastAsia="zh-CN" w:bidi="ar-SA"/>
              </w:rPr>
              <w:t>告，可以并处相当于被动员或者被征用的运载工具、设备价值2倍以下的罚款。</w:t>
            </w:r>
          </w:p>
        </w:tc>
        <w:tc>
          <w:tcPr>
            <w:tcW w:w="1549" w:type="dxa"/>
            <w:shd w:val="clear" w:color="auto" w:fill="auto"/>
            <w:vAlign w:val="center"/>
          </w:tcPr>
          <w:p w14:paraId="6AD0057E">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23AD9E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1E6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trPr>
        <w:tc>
          <w:tcPr>
            <w:tcW w:w="620" w:type="dxa"/>
            <w:vAlign w:val="center"/>
          </w:tcPr>
          <w:p w14:paraId="63D2D0B6">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99</w:t>
            </w:r>
          </w:p>
        </w:tc>
        <w:tc>
          <w:tcPr>
            <w:tcW w:w="1104" w:type="dxa"/>
            <w:shd w:val="clear" w:color="auto" w:fill="auto"/>
            <w:tcMar>
              <w:left w:w="57" w:type="dxa"/>
              <w:right w:w="57" w:type="dxa"/>
            </w:tcMar>
            <w:vAlign w:val="center"/>
          </w:tcPr>
          <w:p w14:paraId="2D8D3EFE">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000000"/>
                <w:kern w:val="0"/>
                <w:sz w:val="18"/>
                <w:szCs w:val="18"/>
              </w:rPr>
              <w:t>对</w:t>
            </w:r>
            <w:r>
              <w:rPr>
                <w:rFonts w:hint="eastAsia" w:asciiTheme="majorEastAsia" w:hAnsiTheme="majorEastAsia" w:eastAsiaTheme="majorEastAsia" w:cstheme="majorEastAsia"/>
                <w:b w:val="0"/>
                <w:bCs w:val="0"/>
                <w:i w:val="0"/>
                <w:iCs w:val="0"/>
                <w:caps w:val="0"/>
                <w:color w:val="232323"/>
                <w:spacing w:val="0"/>
                <w:sz w:val="18"/>
                <w:szCs w:val="18"/>
                <w:shd w:val="clear" w:fill="FFFFFF"/>
              </w:rPr>
              <w:t>预征民用运力的单位或者个人逃避或者拒不履行民用运力国防动员义务</w:t>
            </w:r>
            <w:r>
              <w:rPr>
                <w:rFonts w:hint="eastAsia" w:asciiTheme="majorEastAsia" w:hAnsiTheme="majorEastAsia" w:eastAsiaTheme="majorEastAsia" w:cstheme="majorEastAsia"/>
                <w:b w:val="0"/>
                <w:bCs w:val="0"/>
                <w:color w:val="000000"/>
                <w:kern w:val="0"/>
                <w:sz w:val="18"/>
                <w:szCs w:val="18"/>
              </w:rPr>
              <w:t>的行政处罚</w:t>
            </w:r>
          </w:p>
        </w:tc>
        <w:tc>
          <w:tcPr>
            <w:tcW w:w="1104" w:type="dxa"/>
            <w:shd w:val="clear" w:color="auto" w:fill="auto"/>
            <w:tcMar>
              <w:top w:w="0" w:type="dxa"/>
              <w:left w:w="0" w:type="dxa"/>
              <w:bottom w:w="0" w:type="dxa"/>
              <w:right w:w="0" w:type="dxa"/>
            </w:tcMar>
            <w:vAlign w:val="center"/>
          </w:tcPr>
          <w:p w14:paraId="7316BCE0">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000000"/>
                <w:kern w:val="0"/>
                <w:sz w:val="18"/>
                <w:szCs w:val="18"/>
                <w:lang w:eastAsia="zh-CN"/>
              </w:rPr>
            </w:pPr>
            <w:r>
              <w:rPr>
                <w:rFonts w:hint="eastAsia" w:asciiTheme="majorEastAsia" w:hAnsiTheme="majorEastAsia" w:eastAsiaTheme="majorEastAsia" w:cstheme="majorEastAsia"/>
                <w:b w:val="0"/>
                <w:bCs w:val="0"/>
                <w:color w:val="000000"/>
                <w:kern w:val="0"/>
                <w:sz w:val="18"/>
                <w:szCs w:val="18"/>
                <w:lang w:eastAsia="zh-CN"/>
              </w:rPr>
              <w:t>行政处罚</w:t>
            </w:r>
          </w:p>
        </w:tc>
        <w:tc>
          <w:tcPr>
            <w:tcW w:w="8552" w:type="dxa"/>
            <w:shd w:val="clear" w:color="auto" w:fill="auto"/>
            <w:vAlign w:val="center"/>
          </w:tcPr>
          <w:p w14:paraId="0C5199B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w:t>
            </w:r>
            <w:r>
              <w:rPr>
                <w:rFonts w:hint="eastAsia" w:asciiTheme="majorEastAsia" w:hAnsiTheme="majorEastAsia" w:eastAsiaTheme="majorEastAsia" w:cstheme="majorEastAsia"/>
                <w:b/>
                <w:bCs/>
                <w:color w:val="auto"/>
                <w:kern w:val="0"/>
                <w:sz w:val="18"/>
                <w:szCs w:val="18"/>
                <w:lang w:val="en-US" w:eastAsia="en-US" w:bidi="ar"/>
              </w:rPr>
              <w:t>民用运力国防动员条例</w:t>
            </w:r>
            <w:r>
              <w:rPr>
                <w:rFonts w:hint="eastAsia" w:asciiTheme="majorEastAsia" w:hAnsiTheme="majorEastAsia" w:eastAsiaTheme="majorEastAsia" w:cstheme="majorEastAsia"/>
                <w:b/>
                <w:bCs/>
                <w:color w:val="auto"/>
                <w:kern w:val="0"/>
                <w:sz w:val="18"/>
                <w:szCs w:val="18"/>
                <w:lang w:val="en-US" w:eastAsia="zh-CN" w:bidi="ar"/>
              </w:rPr>
              <w:t>》</w:t>
            </w:r>
          </w:p>
          <w:p w14:paraId="799EFDF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en-US" w:bidi="ar"/>
              </w:rPr>
            </w:pPr>
            <w:r>
              <w:rPr>
                <w:rFonts w:hint="eastAsia" w:asciiTheme="majorEastAsia" w:hAnsiTheme="majorEastAsia" w:eastAsiaTheme="majorEastAsia" w:cstheme="majorEastAsia"/>
                <w:b w:val="0"/>
                <w:bCs w:val="0"/>
                <w:color w:val="auto"/>
                <w:kern w:val="0"/>
                <w:sz w:val="18"/>
                <w:szCs w:val="18"/>
                <w:lang w:val="en-US" w:eastAsia="en-US" w:bidi="ar"/>
              </w:rPr>
              <w:t>第二十一条　</w:t>
            </w:r>
            <w:bookmarkStart w:id="8" w:name="No66_Z2T21K1"/>
            <w:bookmarkEnd w:id="8"/>
            <w:r>
              <w:rPr>
                <w:rFonts w:hint="eastAsia" w:asciiTheme="majorEastAsia" w:hAnsiTheme="majorEastAsia" w:eastAsiaTheme="majorEastAsia" w:cstheme="majorEastAsia"/>
                <w:b w:val="0"/>
                <w:bCs w:val="0"/>
                <w:color w:val="auto"/>
                <w:kern w:val="0"/>
                <w:sz w:val="18"/>
                <w:szCs w:val="18"/>
                <w:lang w:val="en-US" w:eastAsia="en-US" w:bidi="ar"/>
              </w:rPr>
              <w:t>国防交通主管机构应当会同人民武装动员机构，根据民用运力国防动员预案，组织和指导有关部门确定预征民用运力，并将预征民用运载工具及相关设备的类型、数量、技术标准和对操作、保障人员的要求通知有关单位和个人。</w:t>
            </w:r>
          </w:p>
          <w:p w14:paraId="44DF0EE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en-US" w:bidi="ar"/>
              </w:rPr>
            </w:pPr>
            <w:bookmarkStart w:id="9" w:name="No67_Z2T21K2"/>
            <w:bookmarkEnd w:id="9"/>
            <w:r>
              <w:rPr>
                <w:rFonts w:hint="eastAsia" w:asciiTheme="majorEastAsia" w:hAnsiTheme="majorEastAsia" w:eastAsiaTheme="majorEastAsia" w:cstheme="majorEastAsia"/>
                <w:b w:val="0"/>
                <w:bCs w:val="0"/>
                <w:color w:val="auto"/>
                <w:kern w:val="0"/>
                <w:sz w:val="18"/>
                <w:szCs w:val="18"/>
                <w:lang w:val="en-US" w:eastAsia="en-US" w:bidi="ar"/>
              </w:rPr>
              <w:t>接到通知的单位和个人，应当按照要求做好预征民用运力的组织、技术保障等准备工作。</w:t>
            </w:r>
          </w:p>
          <w:p w14:paraId="16A4A94C">
            <w:pPr>
              <w:keepNext w:val="0"/>
              <w:keepLines w:val="0"/>
              <w:pageBreakBefore w:val="0"/>
              <w:widowControl/>
              <w:kinsoku/>
              <w:wordWrap/>
              <w:overflowPunct/>
              <w:topLinePunct w:val="0"/>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en-US" w:bidi="ar"/>
              </w:rPr>
              <w:t>第四十六条　</w:t>
            </w:r>
            <w:bookmarkStart w:id="10" w:name="No137_Z6T46K1"/>
            <w:bookmarkEnd w:id="10"/>
            <w:r>
              <w:rPr>
                <w:rFonts w:hint="eastAsia" w:asciiTheme="majorEastAsia" w:hAnsiTheme="majorEastAsia" w:eastAsiaTheme="majorEastAsia" w:cstheme="majorEastAsia"/>
                <w:b w:val="0"/>
                <w:bCs w:val="0"/>
                <w:color w:val="auto"/>
                <w:kern w:val="0"/>
                <w:sz w:val="18"/>
                <w:szCs w:val="18"/>
                <w:lang w:val="en-US" w:eastAsia="en-US" w:bidi="ar"/>
              </w:rPr>
              <w:t>违反本条例的规定，预征民用运力的单位或者个人逃避或者拒不履行民用运力国防动员义务的，由设区的市级人民政府国防交通主管机构责令改正；拒不改正的，强制其履行义务，可以对单位处2万元以上10万元以下的罚款，对个人处2000元以上1万元以下的罚款；构成犯罪的，依法追究刑事责任。</w:t>
            </w:r>
          </w:p>
        </w:tc>
        <w:tc>
          <w:tcPr>
            <w:tcW w:w="1549" w:type="dxa"/>
            <w:shd w:val="clear" w:color="auto" w:fill="auto"/>
            <w:vAlign w:val="center"/>
          </w:tcPr>
          <w:p w14:paraId="3469277D">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en-US" w:bidi="ar-SA"/>
              </w:rPr>
            </w:pPr>
            <w:r>
              <w:rPr>
                <w:rFonts w:hint="eastAsia"/>
                <w:color w:val="auto"/>
                <w:spacing w:val="-4"/>
                <w:lang w:eastAsia="zh-CN"/>
              </w:rPr>
              <w:t>衡阳市交通运输局</w:t>
            </w:r>
          </w:p>
        </w:tc>
        <w:tc>
          <w:tcPr>
            <w:tcW w:w="1739" w:type="dxa"/>
            <w:shd w:val="clear" w:color="auto" w:fill="auto"/>
            <w:vAlign w:val="center"/>
          </w:tcPr>
          <w:p w14:paraId="36EE3226">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en-US" w:bidi="ar-SA"/>
              </w:rPr>
            </w:pPr>
            <w:r>
              <w:rPr>
                <w:rFonts w:hint="eastAsia"/>
                <w:color w:val="auto"/>
                <w:spacing w:val="-4"/>
                <w:lang w:eastAsia="zh-CN"/>
              </w:rPr>
              <w:t>衡阳市交通运输综合行政执法支队</w:t>
            </w:r>
          </w:p>
        </w:tc>
      </w:tr>
      <w:tr w14:paraId="31FF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0" w:hRule="atLeast"/>
        </w:trPr>
        <w:tc>
          <w:tcPr>
            <w:tcW w:w="620" w:type="dxa"/>
            <w:vAlign w:val="center"/>
          </w:tcPr>
          <w:p w14:paraId="6DF7ACA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100</w:t>
            </w:r>
          </w:p>
        </w:tc>
        <w:tc>
          <w:tcPr>
            <w:tcW w:w="1104" w:type="dxa"/>
            <w:shd w:val="clear" w:color="auto" w:fill="auto"/>
            <w:tcMar>
              <w:left w:w="57" w:type="dxa"/>
              <w:right w:w="57" w:type="dxa"/>
            </w:tcMar>
            <w:vAlign w:val="center"/>
          </w:tcPr>
          <w:p w14:paraId="4E767CA3">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lang w:val="en-US" w:eastAsia="zh-CN"/>
              </w:rPr>
              <w:t>对</w:t>
            </w:r>
            <w:r>
              <w:rPr>
                <w:rFonts w:hint="eastAsia" w:asciiTheme="majorEastAsia" w:hAnsiTheme="majorEastAsia" w:eastAsiaTheme="majorEastAsia" w:cstheme="majorEastAsia"/>
                <w:b w:val="0"/>
                <w:bCs w:val="0"/>
                <w:snapToGrid w:val="0"/>
                <w:color w:val="000000"/>
                <w:kern w:val="0"/>
                <w:sz w:val="18"/>
                <w:szCs w:val="18"/>
                <w:lang w:val="en-US" w:eastAsia="zh-CN" w:bidi="ar-SA"/>
              </w:rPr>
              <w:t>承担设计、建造或者加装改造任务的单位、个人，未按照</w:t>
            </w:r>
          </w:p>
          <w:p w14:paraId="7F91D436">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国防要求对民用运载工具及相关设备进行设计、建造、加装</w:t>
            </w:r>
          </w:p>
          <w:p w14:paraId="65CD7658">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snapToGrid w:val="0"/>
                <w:color w:val="000000"/>
                <w:kern w:val="0"/>
                <w:sz w:val="18"/>
                <w:szCs w:val="18"/>
                <w:lang w:val="en-US" w:eastAsia="zh-CN" w:bidi="ar-SA"/>
              </w:rPr>
              <w:t>改造等行为的行政处罚</w:t>
            </w:r>
          </w:p>
        </w:tc>
        <w:tc>
          <w:tcPr>
            <w:tcW w:w="1104" w:type="dxa"/>
            <w:shd w:val="clear" w:color="auto" w:fill="auto"/>
            <w:tcMar>
              <w:top w:w="0" w:type="dxa"/>
              <w:left w:w="0" w:type="dxa"/>
              <w:bottom w:w="0" w:type="dxa"/>
              <w:right w:w="0" w:type="dxa"/>
            </w:tcMar>
            <w:vAlign w:val="center"/>
          </w:tcPr>
          <w:p w14:paraId="147929CD">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行政处罚</w:t>
            </w:r>
          </w:p>
        </w:tc>
        <w:tc>
          <w:tcPr>
            <w:tcW w:w="8552" w:type="dxa"/>
            <w:shd w:val="clear" w:color="auto" w:fill="auto"/>
            <w:vAlign w:val="center"/>
          </w:tcPr>
          <w:p w14:paraId="2814D1D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w:t>
            </w:r>
            <w:r>
              <w:rPr>
                <w:rFonts w:hint="eastAsia" w:asciiTheme="majorEastAsia" w:hAnsiTheme="majorEastAsia" w:eastAsiaTheme="majorEastAsia" w:cstheme="majorEastAsia"/>
                <w:b/>
                <w:bCs/>
                <w:color w:val="auto"/>
                <w:kern w:val="0"/>
                <w:sz w:val="18"/>
                <w:szCs w:val="18"/>
                <w:lang w:val="en-US" w:eastAsia="en-US" w:bidi="ar"/>
              </w:rPr>
              <w:t>民用运力国防动员条例</w:t>
            </w:r>
            <w:r>
              <w:rPr>
                <w:rFonts w:hint="eastAsia" w:asciiTheme="majorEastAsia" w:hAnsiTheme="majorEastAsia" w:eastAsiaTheme="majorEastAsia" w:cstheme="majorEastAsia"/>
                <w:b/>
                <w:bCs/>
                <w:color w:val="auto"/>
                <w:kern w:val="0"/>
                <w:sz w:val="18"/>
                <w:szCs w:val="18"/>
                <w:lang w:val="en-US" w:eastAsia="zh-CN" w:bidi="ar"/>
              </w:rPr>
              <w:t>》</w:t>
            </w:r>
          </w:p>
          <w:p w14:paraId="1000D83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第十二条第一款　</w:t>
            </w:r>
            <w:bookmarkStart w:id="11" w:name="No41_Z2T12K1"/>
            <w:bookmarkEnd w:id="11"/>
            <w:r>
              <w:rPr>
                <w:rFonts w:hint="eastAsia" w:asciiTheme="majorEastAsia" w:hAnsiTheme="majorEastAsia" w:eastAsiaTheme="majorEastAsia" w:cstheme="majorEastAsia"/>
                <w:b w:val="0"/>
                <w:bCs w:val="0"/>
                <w:color w:val="auto"/>
                <w:kern w:val="0"/>
                <w:sz w:val="18"/>
                <w:szCs w:val="18"/>
                <w:lang w:val="en-US" w:eastAsia="zh-CN" w:bidi="ar"/>
              </w:rPr>
              <w:t>设计、建造列入贯彻国防要求具体实施计划的民用运载工具及相关设备的单位和个人，必须严格按照贯彻国防要求的设计标准和技术规范进行设计、建造。</w:t>
            </w:r>
          </w:p>
          <w:p w14:paraId="27212BB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12" w:name="No42_Z2T12K2"/>
            <w:bookmarkEnd w:id="12"/>
            <w:r>
              <w:rPr>
                <w:rFonts w:hint="eastAsia" w:asciiTheme="majorEastAsia" w:hAnsiTheme="majorEastAsia" w:eastAsiaTheme="majorEastAsia" w:cstheme="majorEastAsia"/>
                <w:b w:val="0"/>
                <w:bCs w:val="0"/>
                <w:color w:val="auto"/>
                <w:kern w:val="0"/>
                <w:sz w:val="18"/>
                <w:szCs w:val="18"/>
                <w:lang w:val="en-US" w:eastAsia="zh-CN" w:bidi="ar"/>
              </w:rPr>
              <w:t>第十二条第二款  出资建造民用运载工具及相关设备的单位和个人，不得阻碍设计、建造单位和个人为贯彻国防要求所进行的设计、建造活动。</w:t>
            </w:r>
          </w:p>
          <w:p w14:paraId="5D93436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第三十二条　</w:t>
            </w:r>
            <w:bookmarkStart w:id="13" w:name="No99_Z3T32K1"/>
            <w:bookmarkEnd w:id="13"/>
            <w:r>
              <w:rPr>
                <w:rFonts w:hint="eastAsia" w:asciiTheme="majorEastAsia" w:hAnsiTheme="majorEastAsia" w:eastAsiaTheme="majorEastAsia" w:cstheme="majorEastAsia"/>
                <w:b w:val="0"/>
                <w:bCs w:val="0"/>
                <w:color w:val="auto"/>
                <w:kern w:val="0"/>
                <w:sz w:val="18"/>
                <w:szCs w:val="18"/>
                <w:lang w:val="en-US" w:eastAsia="zh-CN" w:bidi="ar"/>
              </w:rPr>
              <w:t>被征民用运载工具及相关设备需要加装改造的，由国民经济动员机构会同国防交通主管机构和使用单位，按照民用运力国防动员预案确定的加装改造方案组织实施。</w:t>
            </w:r>
          </w:p>
          <w:p w14:paraId="2814C36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14" w:name="No100_Z3T32K2"/>
            <w:bookmarkEnd w:id="14"/>
            <w:r>
              <w:rPr>
                <w:rFonts w:hint="eastAsia" w:asciiTheme="majorEastAsia" w:hAnsiTheme="majorEastAsia" w:eastAsiaTheme="majorEastAsia" w:cstheme="majorEastAsia"/>
                <w:b w:val="0"/>
                <w:bCs w:val="0"/>
                <w:color w:val="auto"/>
                <w:kern w:val="0"/>
                <w:sz w:val="18"/>
                <w:szCs w:val="18"/>
                <w:lang w:val="en-US" w:eastAsia="zh-CN" w:bidi="ar"/>
              </w:rPr>
              <w:t>承担民用运载工具及相关设备加装改造任务的单位和个人，应当严格按照国家安全技术标准和国防要求进行加装改造，保证按期交付使用。</w:t>
            </w:r>
          </w:p>
          <w:p w14:paraId="33E23CFD">
            <w:pPr>
              <w:keepNext w:val="0"/>
              <w:keepLines w:val="0"/>
              <w:pageBreakBefore w:val="0"/>
              <w:widowControl/>
              <w:kinsoku/>
              <w:wordWrap/>
              <w:overflowPunct/>
              <w:topLinePunct w:val="0"/>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第四十八条　</w:t>
            </w:r>
            <w:bookmarkStart w:id="15" w:name="No141_Z6T48K1"/>
            <w:bookmarkEnd w:id="15"/>
            <w:r>
              <w:rPr>
                <w:rFonts w:hint="eastAsia" w:asciiTheme="majorEastAsia" w:hAnsiTheme="majorEastAsia" w:eastAsiaTheme="majorEastAsia" w:cstheme="majorEastAsia"/>
                <w:b w:val="0"/>
                <w:bCs w:val="0"/>
                <w:color w:val="auto"/>
                <w:kern w:val="0"/>
                <w:sz w:val="18"/>
                <w:szCs w:val="18"/>
                <w:lang w:val="en-US" w:eastAsia="zh-CN" w:bidi="ar"/>
              </w:rPr>
              <w:t>违反本条例的规定，承担设计、建造或者加装改造任务的单位、个人，未按照国防要求对民用运载工具及相关设备进行设计、建造、加装改造，或者出资建造民用运载工具及相关设备的单位、个人阻碍有关设计、建造或者加装改造的，由设区的市级人民政府国防交通主管机构责令改正；拒不改正的，强制其履行义务，可以对单位处5万元以上20万元以下的罚款，对个人处5000元以上5万元以下的罚款；构成犯罪的，依法追究刑事责任。</w:t>
            </w:r>
          </w:p>
        </w:tc>
        <w:tc>
          <w:tcPr>
            <w:tcW w:w="1549" w:type="dxa"/>
            <w:shd w:val="clear" w:color="auto" w:fill="auto"/>
            <w:vAlign w:val="center"/>
          </w:tcPr>
          <w:p w14:paraId="2EED45F2">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583661C">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1980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24B204D">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101</w:t>
            </w:r>
          </w:p>
        </w:tc>
        <w:tc>
          <w:tcPr>
            <w:tcW w:w="1104" w:type="dxa"/>
            <w:shd w:val="clear" w:color="auto" w:fill="auto"/>
            <w:tcMar>
              <w:left w:w="57" w:type="dxa"/>
              <w:right w:w="57" w:type="dxa"/>
            </w:tcMar>
            <w:vAlign w:val="center"/>
          </w:tcPr>
          <w:p w14:paraId="61E2CB21">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000000"/>
                <w:kern w:val="0"/>
                <w:sz w:val="18"/>
                <w:szCs w:val="18"/>
                <w:lang w:val="en-US" w:eastAsia="zh-CN"/>
              </w:rPr>
              <w:t>对</w:t>
            </w:r>
            <w:r>
              <w:rPr>
                <w:rFonts w:hint="eastAsia" w:asciiTheme="majorEastAsia" w:hAnsiTheme="majorEastAsia" w:eastAsiaTheme="majorEastAsia" w:cstheme="majorEastAsia"/>
                <w:b w:val="0"/>
                <w:bCs w:val="0"/>
                <w:snapToGrid w:val="0"/>
                <w:color w:val="000000"/>
                <w:kern w:val="0"/>
                <w:sz w:val="18"/>
                <w:szCs w:val="18"/>
                <w:lang w:val="en-US" w:eastAsia="zh-CN" w:bidi="ar-SA"/>
              </w:rPr>
              <w:t>擅自改变国防交通工程设施用途或者作报废处理等行为的行政处罚</w:t>
            </w:r>
          </w:p>
        </w:tc>
        <w:tc>
          <w:tcPr>
            <w:tcW w:w="1104" w:type="dxa"/>
            <w:shd w:val="clear" w:color="auto" w:fill="auto"/>
            <w:tcMar>
              <w:top w:w="0" w:type="dxa"/>
              <w:left w:w="0" w:type="dxa"/>
              <w:bottom w:w="0" w:type="dxa"/>
              <w:right w:w="0" w:type="dxa"/>
            </w:tcMar>
            <w:vAlign w:val="center"/>
          </w:tcPr>
          <w:p w14:paraId="7D57B733">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15BCE18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1" w:firstLineChars="200"/>
              <w:jc w:val="both"/>
              <w:rPr>
                <w:rFonts w:hint="eastAsia" w:asciiTheme="majorEastAsia" w:hAnsiTheme="majorEastAsia" w:eastAsiaTheme="majorEastAsia" w:cstheme="majorEastAsia"/>
                <w:b/>
                <w:bCs/>
                <w:color w:val="auto"/>
                <w:kern w:val="0"/>
                <w:sz w:val="18"/>
                <w:szCs w:val="18"/>
                <w:lang w:val="en-US" w:eastAsia="zh-CN" w:bidi="ar"/>
              </w:rPr>
            </w:pPr>
            <w:r>
              <w:rPr>
                <w:rFonts w:hint="eastAsia" w:asciiTheme="majorEastAsia" w:hAnsiTheme="majorEastAsia" w:eastAsiaTheme="majorEastAsia" w:cstheme="majorEastAsia"/>
                <w:b/>
                <w:bCs/>
                <w:color w:val="auto"/>
                <w:kern w:val="0"/>
                <w:sz w:val="18"/>
                <w:szCs w:val="18"/>
                <w:lang w:val="en-US" w:eastAsia="zh-CN" w:bidi="ar"/>
              </w:rPr>
              <w:t>《中华人民共和国国防交通法》</w:t>
            </w:r>
          </w:p>
          <w:p w14:paraId="231C406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 xml:space="preserve">第二十三条  </w:t>
            </w:r>
            <w:bookmarkStart w:id="16" w:name="No80_Z3T23K1"/>
            <w:bookmarkEnd w:id="16"/>
            <w:r>
              <w:rPr>
                <w:rFonts w:hint="eastAsia" w:asciiTheme="majorEastAsia" w:hAnsiTheme="majorEastAsia" w:eastAsiaTheme="majorEastAsia" w:cstheme="majorEastAsia"/>
                <w:b w:val="0"/>
                <w:bCs w:val="0"/>
                <w:color w:val="auto"/>
                <w:kern w:val="0"/>
                <w:sz w:val="18"/>
                <w:szCs w:val="18"/>
                <w:lang w:val="en-US" w:eastAsia="zh-CN" w:bidi="ar"/>
              </w:rPr>
              <w:t>国防交通工程设施管理单位负责国防交通工程设施的维护和管理，保持其国防功能。</w:t>
            </w:r>
          </w:p>
          <w:p w14:paraId="725B98B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17" w:name="No81_Z3T23K2"/>
            <w:bookmarkEnd w:id="17"/>
            <w:r>
              <w:rPr>
                <w:rFonts w:hint="eastAsia" w:asciiTheme="majorEastAsia" w:hAnsiTheme="majorEastAsia" w:eastAsiaTheme="majorEastAsia" w:cstheme="majorEastAsia"/>
                <w:b w:val="0"/>
                <w:bCs w:val="0"/>
                <w:color w:val="auto"/>
                <w:kern w:val="0"/>
                <w:sz w:val="18"/>
                <w:szCs w:val="18"/>
                <w:lang w:val="en-US" w:eastAsia="zh-CN" w:bidi="ar"/>
              </w:rPr>
              <w:t>国防交通工程设施需要改变用途或者作报废处理的，由国防交通工程设施管理单位逐级上报国家国防交通主管机构或者其授权的国防交通主管机构批准。</w:t>
            </w:r>
          </w:p>
          <w:p w14:paraId="1D8215C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18" w:name="No82_Z3T23K3"/>
            <w:bookmarkEnd w:id="18"/>
            <w:r>
              <w:rPr>
                <w:rFonts w:hint="eastAsia" w:asciiTheme="majorEastAsia" w:hAnsiTheme="majorEastAsia" w:eastAsiaTheme="majorEastAsia" w:cstheme="majorEastAsia"/>
                <w:b w:val="0"/>
                <w:bCs w:val="0"/>
                <w:color w:val="auto"/>
                <w:kern w:val="0"/>
                <w:sz w:val="18"/>
                <w:szCs w:val="18"/>
                <w:lang w:val="en-US" w:eastAsia="zh-CN" w:bidi="ar"/>
              </w:rPr>
              <w:t>县级以上人民政府应当加强对国防交通工程设施维护管理工作的监督检查。</w:t>
            </w:r>
          </w:p>
          <w:p w14:paraId="5DD3D4B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 xml:space="preserve">第三十五条  </w:t>
            </w:r>
            <w:bookmarkStart w:id="19" w:name="No111_Z5T35K1"/>
            <w:bookmarkEnd w:id="19"/>
            <w:r>
              <w:rPr>
                <w:rFonts w:hint="eastAsia" w:asciiTheme="majorEastAsia" w:hAnsiTheme="majorEastAsia" w:eastAsiaTheme="majorEastAsia" w:cstheme="majorEastAsia"/>
                <w:b w:val="0"/>
                <w:bCs w:val="0"/>
                <w:color w:val="auto"/>
                <w:kern w:val="0"/>
                <w:sz w:val="18"/>
                <w:szCs w:val="18"/>
                <w:lang w:val="en-US" w:eastAsia="zh-CN" w:bidi="ar"/>
              </w:rPr>
              <w:t>县级以上人民政府交通主管部门会同军队有关交通运输部门按照统一计划、集中指挥、迅速准确、安全保密的原则，组织国防运输。</w:t>
            </w:r>
          </w:p>
          <w:p w14:paraId="5DB3C45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0" w:name="No112_Z5T35K2"/>
            <w:bookmarkEnd w:id="20"/>
            <w:r>
              <w:rPr>
                <w:rFonts w:hint="eastAsia" w:asciiTheme="majorEastAsia" w:hAnsiTheme="majorEastAsia" w:eastAsiaTheme="majorEastAsia" w:cstheme="majorEastAsia"/>
                <w:b w:val="0"/>
                <w:bCs w:val="0"/>
                <w:color w:val="auto"/>
                <w:kern w:val="0"/>
                <w:sz w:val="18"/>
                <w:szCs w:val="18"/>
                <w:lang w:val="en-US" w:eastAsia="zh-CN" w:bidi="ar"/>
              </w:rPr>
              <w:t>承担国防运输任务的公民和组织应当优先安排国防运输任务。</w:t>
            </w:r>
          </w:p>
          <w:p w14:paraId="6FAFE9A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第四十四条　</w:t>
            </w:r>
            <w:bookmarkStart w:id="21" w:name="No136_Z6T44K1"/>
            <w:bookmarkEnd w:id="21"/>
            <w:r>
              <w:rPr>
                <w:rFonts w:hint="eastAsia" w:asciiTheme="majorEastAsia" w:hAnsiTheme="majorEastAsia" w:eastAsiaTheme="majorEastAsia" w:cstheme="majorEastAsia"/>
                <w:b w:val="0"/>
                <w:bCs w:val="0"/>
                <w:color w:val="auto"/>
                <w:kern w:val="0"/>
                <w:sz w:val="18"/>
                <w:szCs w:val="18"/>
                <w:lang w:val="en-US" w:eastAsia="zh-CN" w:bidi="ar"/>
              </w:rPr>
              <w:t>重点交通目标的管理单位和预定承担保障任务的单位，在重点交通目标受到破坏威胁时，应当立即启动保障预案，做好相应准备；在重点交通目标遭受破坏时，应当按照任务分工，迅速组织实施工程加固和抢修、抢建，尽快恢复交通。</w:t>
            </w:r>
          </w:p>
          <w:p w14:paraId="36B651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2" w:name="No137_Z6T44K2"/>
            <w:bookmarkEnd w:id="22"/>
            <w:r>
              <w:rPr>
                <w:rFonts w:hint="eastAsia" w:asciiTheme="majorEastAsia" w:hAnsiTheme="majorEastAsia" w:eastAsiaTheme="majorEastAsia" w:cstheme="majorEastAsia"/>
                <w:b w:val="0"/>
                <w:bCs w:val="0"/>
                <w:color w:val="auto"/>
                <w:kern w:val="0"/>
                <w:sz w:val="18"/>
                <w:szCs w:val="18"/>
                <w:lang w:val="en-US" w:eastAsia="zh-CN" w:bidi="ar"/>
              </w:rPr>
              <w:t>与国防运输有关的其他交通工程设施遭到破坏的，其管理单位应当及时按照管理关系向上级报告，同时组织修复。</w:t>
            </w:r>
          </w:p>
          <w:p w14:paraId="42F94B6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第五十二条第二款  国防交通储备物资储存管理单位应当建立健全管理制度，按照国家有关规定和标准对储备物资进行保管、维护和更新，保证储备物资的使用效能和安全，不得挪用、损坏和丢失储备物资。</w:t>
            </w:r>
          </w:p>
          <w:p w14:paraId="678FD6E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第五十三条　</w:t>
            </w:r>
            <w:bookmarkStart w:id="23" w:name="No166_Z7T53K1"/>
            <w:bookmarkEnd w:id="23"/>
            <w:r>
              <w:rPr>
                <w:rFonts w:hint="eastAsia" w:asciiTheme="majorEastAsia" w:hAnsiTheme="majorEastAsia" w:eastAsiaTheme="majorEastAsia" w:cstheme="majorEastAsia"/>
                <w:b w:val="0"/>
                <w:bCs w:val="0"/>
                <w:color w:val="auto"/>
                <w:kern w:val="0"/>
                <w:sz w:val="18"/>
                <w:szCs w:val="18"/>
                <w:lang w:val="en-US" w:eastAsia="zh-CN" w:bidi="ar"/>
              </w:rPr>
              <w:t>战时和平时特殊情况下执行交通防护和抢修、抢建任务，或者组织重大军事演习，抢险救灾以及国防交通专业保障队伍训练、演练等需要的，可以调用国防交通储备物资。</w:t>
            </w:r>
          </w:p>
          <w:p w14:paraId="215E926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4" w:name="No167_Z7T53K2"/>
            <w:bookmarkEnd w:id="24"/>
            <w:r>
              <w:rPr>
                <w:rFonts w:hint="eastAsia" w:asciiTheme="majorEastAsia" w:hAnsiTheme="majorEastAsia" w:eastAsiaTheme="majorEastAsia" w:cstheme="majorEastAsia"/>
                <w:b w:val="0"/>
                <w:bCs w:val="0"/>
                <w:color w:val="auto"/>
                <w:kern w:val="0"/>
                <w:sz w:val="18"/>
                <w:szCs w:val="18"/>
                <w:lang w:val="en-US" w:eastAsia="zh-CN" w:bidi="ar"/>
              </w:rPr>
              <w:t>调用中央储备的国防交通物资，由国家国防交通主管机构批准；调用地方储备的国防交通物资，由省、自治区、直辖市人民政府国防交通主管机构批准。</w:t>
            </w:r>
          </w:p>
          <w:p w14:paraId="5B4B6FB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5" w:name="No168_Z7T53K3"/>
            <w:bookmarkEnd w:id="25"/>
            <w:r>
              <w:rPr>
                <w:rFonts w:hint="eastAsia" w:asciiTheme="majorEastAsia" w:hAnsiTheme="majorEastAsia" w:eastAsiaTheme="majorEastAsia" w:cstheme="majorEastAsia"/>
                <w:b w:val="0"/>
                <w:bCs w:val="0"/>
                <w:color w:val="auto"/>
                <w:kern w:val="0"/>
                <w:sz w:val="18"/>
                <w:szCs w:val="18"/>
                <w:lang w:val="en-US" w:eastAsia="zh-CN" w:bidi="ar"/>
              </w:rPr>
              <w:t>国防交通储备物资储存管理单位，应当严格执行储备物资调用指令，不得拒绝或者拖延。</w:t>
            </w:r>
          </w:p>
          <w:p w14:paraId="221B580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6" w:name="No169_Z7T53K4"/>
            <w:bookmarkEnd w:id="26"/>
            <w:r>
              <w:rPr>
                <w:rFonts w:hint="eastAsia" w:asciiTheme="majorEastAsia" w:hAnsiTheme="majorEastAsia" w:eastAsiaTheme="majorEastAsia" w:cstheme="majorEastAsia"/>
                <w:b w:val="0"/>
                <w:bCs w:val="0"/>
                <w:color w:val="auto"/>
                <w:kern w:val="0"/>
                <w:sz w:val="18"/>
                <w:szCs w:val="18"/>
                <w:lang w:val="en-US" w:eastAsia="zh-CN" w:bidi="ar"/>
              </w:rPr>
              <w:t>未经批准，任何组织和个人不得动用国防交通储备物资。</w:t>
            </w:r>
          </w:p>
          <w:p w14:paraId="2A27465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第五十四条　</w:t>
            </w:r>
            <w:bookmarkStart w:id="27" w:name="No171_Z7T54K1"/>
            <w:bookmarkEnd w:id="27"/>
            <w:r>
              <w:rPr>
                <w:rFonts w:hint="eastAsia" w:asciiTheme="majorEastAsia" w:hAnsiTheme="majorEastAsia" w:eastAsiaTheme="majorEastAsia" w:cstheme="majorEastAsia"/>
                <w:b w:val="0"/>
                <w:bCs w:val="0"/>
                <w:color w:val="auto"/>
                <w:kern w:val="0"/>
                <w:sz w:val="18"/>
                <w:szCs w:val="18"/>
                <w:lang w:val="en-US" w:eastAsia="zh-CN" w:bidi="ar"/>
              </w:rPr>
              <w:t>国防交通储备物资因产品技术升级、更新换代或者主要技术性能低于使用维护要求，丧失储备价值的，可以改变用途或者作报废处理。</w:t>
            </w:r>
          </w:p>
          <w:p w14:paraId="0E2E12D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8" w:name="No172_Z7T54K2"/>
            <w:bookmarkEnd w:id="28"/>
            <w:r>
              <w:rPr>
                <w:rFonts w:hint="eastAsia" w:asciiTheme="majorEastAsia" w:hAnsiTheme="majorEastAsia" w:eastAsiaTheme="majorEastAsia" w:cstheme="majorEastAsia"/>
                <w:b w:val="0"/>
                <w:bCs w:val="0"/>
                <w:color w:val="auto"/>
                <w:kern w:val="0"/>
                <w:sz w:val="18"/>
                <w:szCs w:val="18"/>
                <w:lang w:val="en-US" w:eastAsia="zh-CN" w:bidi="ar"/>
              </w:rPr>
              <w:t>中央储备的国防交通物资需要改变用途或者作报废处理的，由国家国防交通主管机构组织技术鉴定并审核后，报国务院财政部门审批。</w:t>
            </w:r>
          </w:p>
          <w:p w14:paraId="0020766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29" w:name="No173_Z7T54K3"/>
            <w:bookmarkEnd w:id="29"/>
            <w:r>
              <w:rPr>
                <w:rFonts w:hint="eastAsia" w:asciiTheme="majorEastAsia" w:hAnsiTheme="majorEastAsia" w:eastAsiaTheme="majorEastAsia" w:cstheme="majorEastAsia"/>
                <w:b w:val="0"/>
                <w:bCs w:val="0"/>
                <w:color w:val="auto"/>
                <w:kern w:val="0"/>
                <w:sz w:val="18"/>
                <w:szCs w:val="18"/>
                <w:lang w:val="en-US" w:eastAsia="zh-CN" w:bidi="ar"/>
              </w:rPr>
              <w:t>地方储备的国防交通物资需要改变用途或者作报废处理的，由省、自治区、直辖市人民政府国防交通主管机构组织技术鉴定并审核后，报本级人民政府财政部门审批。</w:t>
            </w:r>
          </w:p>
          <w:p w14:paraId="4D03622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0" w:name="No174_Z7T54K4"/>
            <w:bookmarkEnd w:id="30"/>
            <w:r>
              <w:rPr>
                <w:rFonts w:hint="eastAsia" w:asciiTheme="majorEastAsia" w:hAnsiTheme="majorEastAsia" w:eastAsiaTheme="majorEastAsia" w:cstheme="majorEastAsia"/>
                <w:b w:val="0"/>
                <w:bCs w:val="0"/>
                <w:color w:val="auto"/>
                <w:kern w:val="0"/>
                <w:sz w:val="18"/>
                <w:szCs w:val="18"/>
                <w:lang w:val="en-US" w:eastAsia="zh-CN" w:bidi="ar"/>
              </w:rPr>
              <w:t>中央和地方储备的国防交通物资改变用途或者报废获得的收益，应当上缴本级国库，纳入财政预算管理。</w:t>
            </w:r>
          </w:p>
          <w:p w14:paraId="79C2BC6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r>
              <w:rPr>
                <w:rFonts w:hint="eastAsia" w:asciiTheme="majorEastAsia" w:hAnsiTheme="majorEastAsia" w:eastAsiaTheme="majorEastAsia" w:cstheme="majorEastAsia"/>
                <w:b w:val="0"/>
                <w:bCs w:val="0"/>
                <w:color w:val="auto"/>
                <w:kern w:val="0"/>
                <w:sz w:val="18"/>
                <w:szCs w:val="18"/>
                <w:lang w:val="en-US" w:eastAsia="zh-CN" w:bidi="ar"/>
              </w:rPr>
              <w:t>第五十五条　</w:t>
            </w:r>
            <w:bookmarkStart w:id="31" w:name="No177_Z8T55K1"/>
            <w:bookmarkEnd w:id="31"/>
            <w:r>
              <w:rPr>
                <w:rFonts w:hint="eastAsia" w:asciiTheme="majorEastAsia" w:hAnsiTheme="majorEastAsia" w:eastAsiaTheme="majorEastAsia" w:cstheme="majorEastAsia"/>
                <w:b w:val="0"/>
                <w:bCs w:val="0"/>
                <w:color w:val="auto"/>
                <w:kern w:val="0"/>
                <w:sz w:val="18"/>
                <w:szCs w:val="18"/>
                <w:lang w:val="en-US" w:eastAsia="zh-CN" w:bidi="ar"/>
              </w:rPr>
              <w:t>违反本法规定，有下列行为之一的，由县级以上人民政府交通主管部门或者国防交通主管机构责令限期改正，对负有直接责任的主管人员和其他直接责任人员依法给予处分；有违法所得的，予以没收，并处违法所得一倍以上五倍以下罚款：</w:t>
            </w:r>
          </w:p>
          <w:p w14:paraId="7E5A322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2" w:name="No178_Z8T55K1X1"/>
            <w:bookmarkEnd w:id="32"/>
            <w:r>
              <w:rPr>
                <w:rFonts w:hint="eastAsia" w:asciiTheme="majorEastAsia" w:hAnsiTheme="majorEastAsia" w:eastAsiaTheme="majorEastAsia" w:cstheme="majorEastAsia"/>
                <w:b w:val="0"/>
                <w:bCs w:val="0"/>
                <w:color w:val="auto"/>
                <w:kern w:val="0"/>
                <w:sz w:val="18"/>
                <w:szCs w:val="18"/>
                <w:lang w:val="en-US" w:eastAsia="zh-CN" w:bidi="ar"/>
              </w:rPr>
              <w:t>（一）擅自改变国防交通工程设施用途或者作报废处理的；</w:t>
            </w:r>
          </w:p>
          <w:p w14:paraId="3FF0A77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3" w:name="No179_Z8T55K1X2"/>
            <w:bookmarkEnd w:id="33"/>
            <w:r>
              <w:rPr>
                <w:rFonts w:hint="eastAsia" w:asciiTheme="majorEastAsia" w:hAnsiTheme="majorEastAsia" w:eastAsiaTheme="majorEastAsia" w:cstheme="majorEastAsia"/>
                <w:b w:val="0"/>
                <w:bCs w:val="0"/>
                <w:color w:val="auto"/>
                <w:kern w:val="0"/>
                <w:sz w:val="18"/>
                <w:szCs w:val="18"/>
                <w:lang w:val="en-US" w:eastAsia="zh-CN" w:bidi="ar"/>
              </w:rPr>
              <w:t>（二）拒绝或者故意拖延执行国防运输任务的；</w:t>
            </w:r>
          </w:p>
          <w:p w14:paraId="7CFFAD8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4" w:name="No180_Z8T55K1X3"/>
            <w:bookmarkEnd w:id="34"/>
            <w:r>
              <w:rPr>
                <w:rFonts w:hint="eastAsia" w:asciiTheme="majorEastAsia" w:hAnsiTheme="majorEastAsia" w:eastAsiaTheme="majorEastAsia" w:cstheme="majorEastAsia"/>
                <w:b w:val="0"/>
                <w:bCs w:val="0"/>
                <w:color w:val="auto"/>
                <w:kern w:val="0"/>
                <w:sz w:val="18"/>
                <w:szCs w:val="18"/>
                <w:lang w:val="en-US" w:eastAsia="zh-CN" w:bidi="ar"/>
              </w:rPr>
              <w:t>（三）拒绝或者故意拖延执行重点交通目标抢修、抢建任务的；</w:t>
            </w:r>
          </w:p>
          <w:p w14:paraId="21FB580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5" w:name="No181_Z8T55K1X4"/>
            <w:bookmarkEnd w:id="35"/>
            <w:r>
              <w:rPr>
                <w:rFonts w:hint="eastAsia" w:asciiTheme="majorEastAsia" w:hAnsiTheme="majorEastAsia" w:eastAsiaTheme="majorEastAsia" w:cstheme="majorEastAsia"/>
                <w:b w:val="0"/>
                <w:bCs w:val="0"/>
                <w:color w:val="auto"/>
                <w:kern w:val="0"/>
                <w:sz w:val="18"/>
                <w:szCs w:val="18"/>
                <w:lang w:val="en-US" w:eastAsia="zh-CN" w:bidi="ar"/>
              </w:rPr>
              <w:t>（四）拒绝或者故意拖延执行国防交通储备物资调用命令的；</w:t>
            </w:r>
          </w:p>
          <w:p w14:paraId="62D5BC0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6" w:name="No182_Z8T55K1X5"/>
            <w:bookmarkEnd w:id="36"/>
            <w:r>
              <w:rPr>
                <w:rFonts w:hint="eastAsia" w:asciiTheme="majorEastAsia" w:hAnsiTheme="majorEastAsia" w:eastAsiaTheme="majorEastAsia" w:cstheme="majorEastAsia"/>
                <w:b w:val="0"/>
                <w:bCs w:val="0"/>
                <w:color w:val="auto"/>
                <w:kern w:val="0"/>
                <w:sz w:val="18"/>
                <w:szCs w:val="18"/>
                <w:lang w:val="en-US" w:eastAsia="zh-CN" w:bidi="ar"/>
              </w:rPr>
              <w:t>（五）擅自改变国防交通储备物资用途或者作报废处理的；</w:t>
            </w:r>
          </w:p>
          <w:p w14:paraId="56A5D89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7" w:name="No183_Z8T55K1X6"/>
            <w:bookmarkEnd w:id="37"/>
            <w:r>
              <w:rPr>
                <w:rFonts w:hint="eastAsia" w:asciiTheme="majorEastAsia" w:hAnsiTheme="majorEastAsia" w:eastAsiaTheme="majorEastAsia" w:cstheme="majorEastAsia"/>
                <w:b w:val="0"/>
                <w:bCs w:val="0"/>
                <w:color w:val="auto"/>
                <w:kern w:val="0"/>
                <w:sz w:val="18"/>
                <w:szCs w:val="18"/>
                <w:lang w:val="en-US" w:eastAsia="zh-CN" w:bidi="ar"/>
              </w:rPr>
              <w:t>（六）擅自动用国防交通储备物资的；</w:t>
            </w:r>
          </w:p>
          <w:p w14:paraId="1623B51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20" w:lineRule="exact"/>
              <w:ind w:left="0" w:right="0" w:firstLine="360" w:firstLineChars="200"/>
              <w:jc w:val="both"/>
              <w:rPr>
                <w:rFonts w:hint="eastAsia" w:asciiTheme="majorEastAsia" w:hAnsiTheme="majorEastAsia" w:eastAsiaTheme="majorEastAsia" w:cstheme="majorEastAsia"/>
                <w:b w:val="0"/>
                <w:bCs w:val="0"/>
                <w:color w:val="auto"/>
                <w:kern w:val="0"/>
                <w:sz w:val="18"/>
                <w:szCs w:val="18"/>
                <w:lang w:val="en-US" w:eastAsia="zh-CN" w:bidi="ar"/>
              </w:rPr>
            </w:pPr>
            <w:bookmarkStart w:id="38" w:name="No184_Z8T55K1X7"/>
            <w:bookmarkEnd w:id="38"/>
            <w:r>
              <w:rPr>
                <w:rFonts w:hint="eastAsia" w:asciiTheme="majorEastAsia" w:hAnsiTheme="majorEastAsia" w:eastAsiaTheme="majorEastAsia" w:cstheme="majorEastAsia"/>
                <w:b w:val="0"/>
                <w:bCs w:val="0"/>
                <w:color w:val="auto"/>
                <w:kern w:val="0"/>
                <w:sz w:val="18"/>
                <w:szCs w:val="18"/>
                <w:lang w:val="en-US" w:eastAsia="zh-CN" w:bidi="ar"/>
              </w:rPr>
              <w:t>（七）未按照规定保管、维护国防交通储备物资，造成损坏、丢失的。</w:t>
            </w:r>
          </w:p>
        </w:tc>
        <w:tc>
          <w:tcPr>
            <w:tcW w:w="1549" w:type="dxa"/>
            <w:shd w:val="clear" w:color="auto" w:fill="auto"/>
            <w:vAlign w:val="center"/>
          </w:tcPr>
          <w:p w14:paraId="36F5AC0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0AAA26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5F4A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5DB65DA8">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102</w:t>
            </w:r>
          </w:p>
        </w:tc>
        <w:tc>
          <w:tcPr>
            <w:tcW w:w="1104" w:type="dxa"/>
            <w:shd w:val="clear" w:color="auto" w:fill="auto"/>
            <w:tcMar>
              <w:left w:w="57" w:type="dxa"/>
              <w:right w:w="57" w:type="dxa"/>
            </w:tcMar>
            <w:vAlign w:val="center"/>
          </w:tcPr>
          <w:p w14:paraId="2FE270E4">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对</w:t>
            </w:r>
            <w:r>
              <w:rPr>
                <w:rFonts w:hint="eastAsia" w:asciiTheme="majorEastAsia" w:hAnsiTheme="majorEastAsia" w:eastAsiaTheme="majorEastAsia" w:cstheme="majorEastAsia"/>
                <w:b w:val="0"/>
                <w:bCs w:val="0"/>
                <w:snapToGrid w:val="0"/>
                <w:color w:val="000000"/>
                <w:kern w:val="0"/>
                <w:sz w:val="18"/>
                <w:szCs w:val="18"/>
                <w:lang w:val="en-US" w:eastAsia="zh-CN" w:bidi="ar-SA"/>
              </w:rPr>
              <w:t>交通运输工程造价工程师超出职业范围等行为的行政处罚</w:t>
            </w:r>
          </w:p>
        </w:tc>
        <w:tc>
          <w:tcPr>
            <w:tcW w:w="1104" w:type="dxa"/>
            <w:shd w:val="clear" w:color="auto" w:fill="auto"/>
            <w:tcMar>
              <w:top w:w="0" w:type="dxa"/>
              <w:left w:w="0" w:type="dxa"/>
              <w:bottom w:w="0" w:type="dxa"/>
              <w:right w:w="0" w:type="dxa"/>
            </w:tcMar>
            <w:vAlign w:val="center"/>
          </w:tcPr>
          <w:p w14:paraId="5E500547">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05147DA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1.《中华人民共和国建筑法》</w:t>
            </w:r>
          </w:p>
          <w:p w14:paraId="6981AB0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 xml:space="preserve">第十四条  </w:t>
            </w:r>
            <w:bookmarkStart w:id="39" w:name="No49_Z2J2T14K1"/>
            <w:bookmarkEnd w:id="39"/>
            <w:r>
              <w:rPr>
                <w:rFonts w:hint="eastAsia" w:asciiTheme="majorEastAsia" w:hAnsiTheme="majorEastAsia" w:eastAsiaTheme="majorEastAsia" w:cstheme="majorEastAsia"/>
                <w:b w:val="0"/>
                <w:bCs w:val="0"/>
                <w:snapToGrid w:val="0"/>
                <w:color w:val="000000"/>
                <w:kern w:val="0"/>
                <w:sz w:val="18"/>
                <w:szCs w:val="18"/>
                <w:lang w:val="en-US" w:eastAsia="zh-CN" w:bidi="ar-SA"/>
              </w:rPr>
              <w:t>从事建筑活动的专业技术人员，应当依法取得相应的执业资格证书，并在执业资格证书许可的范围内从事建筑活动。</w:t>
            </w:r>
          </w:p>
          <w:p w14:paraId="4616A31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《造价工程师职业资格制度规定》</w:t>
            </w:r>
          </w:p>
          <w:p w14:paraId="0729576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bookmarkStart w:id="40" w:name="No51_Z2T14K1"/>
            <w:bookmarkEnd w:id="40"/>
            <w:r>
              <w:rPr>
                <w:rFonts w:hint="eastAsia" w:asciiTheme="majorEastAsia" w:hAnsiTheme="majorEastAsia" w:eastAsiaTheme="majorEastAsia" w:cstheme="majorEastAsia"/>
                <w:b w:val="0"/>
                <w:bCs w:val="0"/>
                <w:snapToGrid w:val="0"/>
                <w:color w:val="000000"/>
                <w:kern w:val="0"/>
                <w:sz w:val="18"/>
                <w:szCs w:val="18"/>
                <w:lang w:val="en-US" w:eastAsia="zh-CN" w:bidi="ar-SA"/>
              </w:rPr>
              <w:t>第十四条　一级造价工程师职业资格考试合格者，由各省、自治区、直辖市人力资源社会保障行政主管部门颁发中华人民共和国一级造价工程师职业资格证书。该证书由人力资源社会保障部统一印制，住房城乡建设部、交通运输部、水利部按专业类别分别与人力资源社会保障部用印，在全国范围内有效。</w:t>
            </w:r>
          </w:p>
          <w:p w14:paraId="5311988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第十五条　</w:t>
            </w:r>
            <w:bookmarkStart w:id="41" w:name="No53_Z2T15K1"/>
            <w:bookmarkEnd w:id="41"/>
            <w:r>
              <w:rPr>
                <w:rFonts w:hint="eastAsia" w:asciiTheme="majorEastAsia" w:hAnsiTheme="majorEastAsia" w:eastAsiaTheme="majorEastAsia" w:cstheme="majorEastAsia"/>
                <w:b w:val="0"/>
                <w:bCs w:val="0"/>
                <w:snapToGrid w:val="0"/>
                <w:color w:val="000000"/>
                <w:kern w:val="0"/>
                <w:sz w:val="18"/>
                <w:szCs w:val="18"/>
                <w:lang w:val="en-US" w:eastAsia="zh-CN" w:bidi="ar-SA"/>
              </w:rPr>
              <w:t>二级造价工程师职业资格考试合格者，由各省、自治区、直辖市人力资源社会保障行政主管部门颁发中华人民共和国二级造价工程师职业资格证书。该证书由各省、自治区、直辖市住房城乡建设、交通运输、水利行政主管部门按专业类别分别与人力资源社会保障行政主管部门用印，原则上在所在行政区域内有效。各地可根据实际情况制定跨区域认可办法。</w:t>
            </w:r>
          </w:p>
          <w:p w14:paraId="7C7A0A5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第二十五条　</w:t>
            </w:r>
            <w:bookmarkStart w:id="42" w:name="No76_Z4T25K1"/>
            <w:bookmarkEnd w:id="42"/>
            <w:r>
              <w:rPr>
                <w:rFonts w:hint="eastAsia" w:asciiTheme="majorEastAsia" w:hAnsiTheme="majorEastAsia" w:eastAsiaTheme="majorEastAsia" w:cstheme="majorEastAsia"/>
                <w:b w:val="0"/>
                <w:bCs w:val="0"/>
                <w:snapToGrid w:val="0"/>
                <w:color w:val="000000"/>
                <w:kern w:val="0"/>
                <w:sz w:val="18"/>
                <w:szCs w:val="18"/>
                <w:lang w:val="en-US" w:eastAsia="zh-CN" w:bidi="ar-SA"/>
              </w:rPr>
              <w:t>造价工程师不得同时受聘于两个或两个以上单位执业，不得允许他人以本人名义执业，严禁“证书挂靠”。出租出借注册证书的，依据相关法律法规进行处罚；构成犯罪的，依法追究刑事责任。</w:t>
            </w:r>
          </w:p>
          <w:p w14:paraId="48E11C2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第二十八条第一款　</w:t>
            </w:r>
            <w:bookmarkStart w:id="43" w:name="No92_Z4T28K1"/>
            <w:bookmarkEnd w:id="43"/>
            <w:r>
              <w:rPr>
                <w:rFonts w:hint="eastAsia" w:asciiTheme="majorEastAsia" w:hAnsiTheme="majorEastAsia" w:eastAsiaTheme="majorEastAsia" w:cstheme="majorEastAsia"/>
                <w:b w:val="0"/>
                <w:bCs w:val="0"/>
                <w:snapToGrid w:val="0"/>
                <w:color w:val="000000"/>
                <w:kern w:val="0"/>
                <w:sz w:val="18"/>
                <w:szCs w:val="18"/>
                <w:lang w:val="en-US" w:eastAsia="zh-CN" w:bidi="ar-SA"/>
              </w:rPr>
              <w:t>造价工程师应在本人工程造价咨询成果文件上签章，并承担相应责任。工程造价咨询成果文件应由一级造价工程师审核并加盖执业印章。</w:t>
            </w:r>
          </w:p>
          <w:p w14:paraId="377BBED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2.《交通运输工程造价工程师注册管理办法》（交通运输部令2023年第2号）</w:t>
            </w:r>
          </w:p>
          <w:p w14:paraId="5578022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第十五条  交通运输工程造价工程师应当在注册证书明确的等级及执业范围内进行执业。</w:t>
            </w:r>
          </w:p>
          <w:p w14:paraId="2E86A52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第十六条第一款  交通运输工程造价工程师应当在本人形成的工程造价成果文件上签字并加盖执业印章。</w:t>
            </w:r>
          </w:p>
          <w:p w14:paraId="37A984E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第十七条  交通运输工程造价工程师不得同时受聘于两个或者两个以上单位执业，不得允许他人以本人名义执业。</w:t>
            </w:r>
          </w:p>
          <w:p w14:paraId="28DAC0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第十八条第一款  交通运输工程造价工程师在执业期间，应当按照国家有关规定接受继续教育，更新专业知识，提高专业水平。</w:t>
            </w:r>
          </w:p>
          <w:p w14:paraId="28D71B12">
            <w:pPr>
              <w:keepNext w:val="0"/>
              <w:keepLines w:val="0"/>
              <w:pageBreakBefore w:val="0"/>
              <w:widowControl/>
              <w:kinsoku/>
              <w:wordWrap/>
              <w:overflowPunct/>
              <w:topLinePunct w:val="0"/>
              <w:bidi w:val="0"/>
              <w:adjustRightInd/>
              <w:snapToGrid/>
              <w:spacing w:line="240" w:lineRule="exact"/>
              <w:ind w:left="0" w:right="0" w:firstLine="360" w:firstLineChars="200"/>
              <w:jc w:val="left"/>
              <w:textAlignment w:val="auto"/>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第二十条  交通运输工程造价工程师违反本办法有关规定的，县级以上人民政府交通运输主管部门应当责令改正，并给予警告或者通报批评。</w:t>
            </w:r>
          </w:p>
        </w:tc>
        <w:tc>
          <w:tcPr>
            <w:tcW w:w="1549" w:type="dxa"/>
            <w:shd w:val="clear" w:color="auto" w:fill="auto"/>
            <w:vAlign w:val="center"/>
          </w:tcPr>
          <w:p w14:paraId="1F425C7D">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51A399F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A88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02FE8E7A">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103</w:t>
            </w:r>
          </w:p>
        </w:tc>
        <w:tc>
          <w:tcPr>
            <w:tcW w:w="1104" w:type="dxa"/>
            <w:shd w:val="clear" w:color="auto" w:fill="auto"/>
            <w:tcMar>
              <w:left w:w="57" w:type="dxa"/>
              <w:right w:w="57" w:type="dxa"/>
            </w:tcMar>
            <w:vAlign w:val="center"/>
          </w:tcPr>
          <w:p w14:paraId="752B5284">
            <w:pPr>
              <w:keepNext w:val="0"/>
              <w:keepLines w:val="0"/>
              <w:pageBreakBefore w:val="0"/>
              <w:widowControl/>
              <w:wordWrap/>
              <w:overflowPunct/>
              <w:topLinePunct w:val="0"/>
              <w:bidi w:val="0"/>
              <w:spacing w:line="240" w:lineRule="exact"/>
              <w:ind w:left="0" w:right="0"/>
              <w:jc w:val="both"/>
              <w:textAlignment w:val="center"/>
              <w:rPr>
                <w:rFonts w:hint="default"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交通工程建设领域施工总承包单位未按规定开设或者使用农民工工资专用账户等行为的行政处罚</w:t>
            </w:r>
          </w:p>
        </w:tc>
        <w:tc>
          <w:tcPr>
            <w:tcW w:w="1104" w:type="dxa"/>
            <w:shd w:val="clear" w:color="auto" w:fill="auto"/>
            <w:tcMar>
              <w:top w:w="0" w:type="dxa"/>
              <w:left w:w="0" w:type="dxa"/>
              <w:bottom w:w="0" w:type="dxa"/>
              <w:right w:w="0" w:type="dxa"/>
            </w:tcMar>
            <w:vAlign w:val="center"/>
          </w:tcPr>
          <w:p w14:paraId="64D8DB87">
            <w:pPr>
              <w:keepNext w:val="0"/>
              <w:keepLines w:val="0"/>
              <w:pageBreakBefore w:val="0"/>
              <w:widowControl/>
              <w:wordWrap/>
              <w:overflowPunct/>
              <w:topLinePunct w:val="0"/>
              <w:bidi w:val="0"/>
              <w:spacing w:line="240" w:lineRule="exact"/>
              <w:ind w:left="0" w:right="0"/>
              <w:jc w:val="both"/>
              <w:textAlignment w:val="center"/>
              <w:rPr>
                <w:rFonts w:hint="default"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3B7D3D4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《保障农民工工资支付条例》</w:t>
            </w:r>
          </w:p>
          <w:p w14:paraId="4EBC3A2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 xml:space="preserve">第六条  用人单位实行农民工劳动用工实名制管理，与招用的农民工书面约定或者通过依法制定的规章制度规定工资支付标准、支付时间、支付方式等内容。    </w:t>
            </w:r>
          </w:p>
          <w:p w14:paraId="4E3D619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第二十六条  施工总承包单位应当按照有关规定开设农民工工资专用账户，专项用于支付该工程建设项目农民工工资。</w:t>
            </w:r>
          </w:p>
          <w:p w14:paraId="73CCA5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开设、使用农民工工资专用账户有关资料应当由施工总承包单位妥善保存备查。</w:t>
            </w:r>
          </w:p>
          <w:p w14:paraId="1051924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第三十二条  施工总承包单位应当按照有关规定存储工资保证金，专项用于支付为所承包工程提供劳动的农民工被拖欠的工资。</w:t>
            </w:r>
          </w:p>
          <w:p w14:paraId="4F928E4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工资保证金实行差异化存储办法，对一定时期内未发生工资拖欠的单位实行减免措施，对发生工资拖欠的单位适当提高存储比例。工资保证金可以用金融机构保函替代。</w:t>
            </w:r>
          </w:p>
          <w:p w14:paraId="40D420A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工资保证金的存储比例、存储形式、减免措施等具体办法，由国务院人力资源社会保障行政部门会同有关部门制定。</w:t>
            </w:r>
          </w:p>
          <w:p w14:paraId="2A95D1B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b w:val="0"/>
                <w:bCs w:val="0"/>
                <w:lang w:val="en-US" w:eastAsia="zh-CN"/>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第五十五条  有下列情形之一的，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一）施工总承包单位未按规定开设或者使用农民工工资专用账户。（二）施工总承包单位未按规定存储工资保证金或者未提供金融机构保函。（三）施工总承包单位、分包单位未实行劳动用工实名制管理。</w:t>
            </w:r>
          </w:p>
        </w:tc>
        <w:tc>
          <w:tcPr>
            <w:tcW w:w="1549" w:type="dxa"/>
            <w:shd w:val="clear" w:color="auto" w:fill="auto"/>
            <w:vAlign w:val="center"/>
          </w:tcPr>
          <w:p w14:paraId="6AE36EC7">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1CEFF545">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7E87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24A6AAB4">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104</w:t>
            </w:r>
          </w:p>
        </w:tc>
        <w:tc>
          <w:tcPr>
            <w:tcW w:w="1104" w:type="dxa"/>
            <w:shd w:val="clear" w:color="auto" w:fill="auto"/>
            <w:tcMar>
              <w:left w:w="57" w:type="dxa"/>
              <w:right w:w="57" w:type="dxa"/>
            </w:tcMar>
            <w:vAlign w:val="center"/>
          </w:tcPr>
          <w:p w14:paraId="46EB5FE1">
            <w:pPr>
              <w:keepNext w:val="0"/>
              <w:keepLines w:val="0"/>
              <w:pageBreakBefore w:val="0"/>
              <w:widowControl/>
              <w:wordWrap/>
              <w:overflowPunct/>
              <w:topLinePunct w:val="0"/>
              <w:bidi w:val="0"/>
              <w:spacing w:line="240" w:lineRule="exact"/>
              <w:ind w:left="0" w:right="0"/>
              <w:jc w:val="both"/>
              <w:textAlignment w:val="center"/>
              <w:rPr>
                <w:rFonts w:hint="default"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交通工程建设领域分包单位未按月考核农民工工作量、编制工资支付表并经农民工本人签字确认等行为的行政处罚</w:t>
            </w:r>
          </w:p>
        </w:tc>
        <w:tc>
          <w:tcPr>
            <w:tcW w:w="1104" w:type="dxa"/>
            <w:shd w:val="clear" w:color="auto" w:fill="auto"/>
            <w:tcMar>
              <w:top w:w="0" w:type="dxa"/>
              <w:left w:w="0" w:type="dxa"/>
              <w:bottom w:w="0" w:type="dxa"/>
              <w:right w:w="0" w:type="dxa"/>
            </w:tcMar>
            <w:vAlign w:val="center"/>
          </w:tcPr>
          <w:p w14:paraId="3A724CEE">
            <w:pPr>
              <w:keepNext w:val="0"/>
              <w:keepLines w:val="0"/>
              <w:pageBreakBefore w:val="0"/>
              <w:widowControl/>
              <w:wordWrap/>
              <w:overflowPunct/>
              <w:topLinePunct w:val="0"/>
              <w:bidi w:val="0"/>
              <w:spacing w:line="240" w:lineRule="exact"/>
              <w:ind w:left="0" w:right="0"/>
              <w:jc w:val="both"/>
              <w:textAlignment w:val="center"/>
              <w:rPr>
                <w:rFonts w:hint="eastAsia"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4FE31B0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《保障农民工工资支付条例》</w:t>
            </w:r>
          </w:p>
          <w:p w14:paraId="483DA49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第二十八条  施工总承包单位或者分包单位应当依法与所招用的农民工订立劳动合同并进行用工实名登记，具备条件的行业应当通过相应的管理服务信息平台进行用工实名登记、管理。未与施工总承包单位或者分包单位订立劳动合同并进行用工实名登记的人员，不得进入项目现场施工。</w:t>
            </w:r>
          </w:p>
          <w:p w14:paraId="3A061D5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施工总承包单位应当在工程项目部配备劳资专管员，对分包单位劳动用工实施监督管理，掌握施工现场用工、考勤、工资支付等情况，审核分包单位编制的农民工工资支付表，分包单位应当予以配合。</w:t>
            </w:r>
          </w:p>
          <w:p w14:paraId="70EE216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 xml:space="preserve">施工总承包单位、分包单位应当建立用工管理台账，并保存至工程完工且工资全部结清后至少3年。  </w:t>
            </w:r>
          </w:p>
          <w:p w14:paraId="24BF9E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 xml:space="preserve">第三十九条  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  </w:t>
            </w:r>
          </w:p>
          <w:p w14:paraId="3B67BC0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第三十一条  工程建设领域推行分包单位农民工工资委托施工总承包单位代发制度。</w:t>
            </w:r>
          </w:p>
          <w:p w14:paraId="112323B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分包单位应当按月考核农民工工作量并编制工资支付表，经农民工本人签字确认后，与当月工程进度等情况一并交施工总承包单位。</w:t>
            </w:r>
          </w:p>
          <w:p w14:paraId="69458AF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施工总承包单位根据分包单位编制的工资支付表，通过农民工工资专用账户直接将工资支付到农民工本人的银行账户，并向分包单位提供代发工资凭证。</w:t>
            </w:r>
          </w:p>
          <w:p w14:paraId="709E9FA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用于支付农民工工资的银行账户所绑定的农民工本人社会保障卡或者银行卡，用人单位或者其他人员不得以任何理由扣押或者变相扣押。</w:t>
            </w:r>
          </w:p>
          <w:p w14:paraId="6035623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第五十六条  有下列情形之一的，由人力资源社会保障行政部门、相关行业工程建设主管部门按照职责责令限期改正；逾期不改正的，处5万元以上10万元以下的罚款：（一）分包单位未按月考核农民工工作量、编制工资支付表并经农民工本人签字确认。（二）施工总承包单位未对分包单位劳动用工实施监督管理。（三）分包单位未配合施工总承包单位对其劳动用工进行监督管理的。（四）施工总承包单位未实行施工现场维权信息公示制度。</w:t>
            </w:r>
          </w:p>
        </w:tc>
        <w:tc>
          <w:tcPr>
            <w:tcW w:w="1549" w:type="dxa"/>
            <w:shd w:val="clear" w:color="auto" w:fill="auto"/>
            <w:vAlign w:val="center"/>
          </w:tcPr>
          <w:p w14:paraId="7AA60144">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678D1AE1">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000A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vAlign w:val="center"/>
          </w:tcPr>
          <w:p w14:paraId="316EF550">
            <w:pPr>
              <w:pStyle w:val="11"/>
              <w:numPr>
                <w:ilvl w:val="0"/>
                <w:numId w:val="0"/>
              </w:numPr>
              <w:spacing w:before="0" w:line="240" w:lineRule="exact"/>
              <w:ind w:left="0" w:leftChars="0" w:right="0" w:firstLine="0" w:firstLineChars="0"/>
              <w:jc w:val="center"/>
              <w:rPr>
                <w:b w:val="0"/>
                <w:bCs w:val="0"/>
                <w:spacing w:val="-4"/>
                <w:lang w:eastAsia="zh-CN"/>
              </w:rPr>
            </w:pPr>
            <w:r>
              <w:rPr>
                <w:rFonts w:ascii="宋体" w:hAnsi="宋体" w:eastAsia="宋体" w:cs="宋体"/>
                <w:b w:val="0"/>
                <w:bCs w:val="0"/>
                <w:snapToGrid w:val="0"/>
                <w:color w:val="000000"/>
                <w:spacing w:val="-4"/>
                <w:kern w:val="0"/>
                <w:sz w:val="18"/>
                <w:szCs w:val="18"/>
                <w:lang w:val="en-US" w:eastAsia="zh-CN" w:bidi="ar-SA"/>
              </w:rPr>
              <w:t>105</w:t>
            </w:r>
          </w:p>
        </w:tc>
        <w:tc>
          <w:tcPr>
            <w:tcW w:w="1104" w:type="dxa"/>
            <w:shd w:val="clear" w:color="auto" w:fill="auto"/>
            <w:tcMar>
              <w:left w:w="57" w:type="dxa"/>
              <w:right w:w="57" w:type="dxa"/>
            </w:tcMar>
            <w:vAlign w:val="center"/>
          </w:tcPr>
          <w:p w14:paraId="1783E0B2">
            <w:pPr>
              <w:keepNext w:val="0"/>
              <w:keepLines w:val="0"/>
              <w:pageBreakBefore w:val="0"/>
              <w:widowControl/>
              <w:wordWrap/>
              <w:overflowPunct/>
              <w:topLinePunct w:val="0"/>
              <w:bidi w:val="0"/>
              <w:spacing w:line="240" w:lineRule="exact"/>
              <w:ind w:left="0" w:right="0"/>
              <w:jc w:val="both"/>
              <w:textAlignment w:val="center"/>
              <w:rPr>
                <w:rFonts w:hint="default" w:eastAsia="仿宋_GB2312" w:asciiTheme="majorEastAsia" w:hAnsi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交通工程建设领域建设单位未依法提供工程款支付担保等行为的行政处罚</w:t>
            </w:r>
          </w:p>
        </w:tc>
        <w:tc>
          <w:tcPr>
            <w:tcW w:w="1104" w:type="dxa"/>
            <w:shd w:val="clear" w:color="auto" w:fill="auto"/>
            <w:tcMar>
              <w:top w:w="0" w:type="dxa"/>
              <w:left w:w="0" w:type="dxa"/>
              <w:bottom w:w="0" w:type="dxa"/>
              <w:right w:w="0" w:type="dxa"/>
            </w:tcMar>
            <w:vAlign w:val="center"/>
          </w:tcPr>
          <w:p w14:paraId="246DF41C">
            <w:pPr>
              <w:keepNext w:val="0"/>
              <w:keepLines w:val="0"/>
              <w:pageBreakBefore w:val="0"/>
              <w:widowControl/>
              <w:wordWrap/>
              <w:overflowPunct/>
              <w:topLinePunct w:val="0"/>
              <w:bidi w:val="0"/>
              <w:spacing w:line="240" w:lineRule="exact"/>
              <w:ind w:left="0" w:right="0"/>
              <w:jc w:val="both"/>
              <w:textAlignment w:val="center"/>
              <w:rPr>
                <w:rFonts w:hint="default" w:asciiTheme="majorEastAsia" w:hAnsiTheme="majorEastAsia" w:eastAsiaTheme="majorEastAsia" w:cstheme="majorEastAsia"/>
                <w:b w:val="0"/>
                <w:bCs w:val="0"/>
                <w:color w:val="000000"/>
                <w:kern w:val="0"/>
                <w:sz w:val="18"/>
                <w:szCs w:val="18"/>
                <w:lang w:val="en-US" w:eastAsia="zh-CN"/>
              </w:rPr>
            </w:pPr>
            <w:r>
              <w:rPr>
                <w:rFonts w:hint="eastAsia" w:asciiTheme="majorEastAsia" w:hAnsiTheme="majorEastAsia" w:eastAsiaTheme="majorEastAsia" w:cstheme="majorEastAsia"/>
                <w:b w:val="0"/>
                <w:bCs w:val="0"/>
                <w:color w:val="000000"/>
                <w:kern w:val="0"/>
                <w:sz w:val="18"/>
                <w:szCs w:val="18"/>
                <w:lang w:val="en-US" w:eastAsia="zh-CN"/>
              </w:rPr>
              <w:t>行政处罚</w:t>
            </w:r>
          </w:p>
        </w:tc>
        <w:tc>
          <w:tcPr>
            <w:tcW w:w="8552" w:type="dxa"/>
            <w:shd w:val="clear" w:color="auto" w:fill="auto"/>
            <w:vAlign w:val="center"/>
          </w:tcPr>
          <w:p w14:paraId="6FE82DC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1" w:firstLineChars="200"/>
              <w:jc w:val="both"/>
              <w:rPr>
                <w:rFonts w:hint="eastAsia" w:asciiTheme="majorEastAsia" w:hAnsiTheme="majorEastAsia" w:eastAsiaTheme="majorEastAsia" w:cstheme="majorEastAsia"/>
                <w:b/>
                <w:bCs/>
                <w:snapToGrid w:val="0"/>
                <w:color w:val="000000"/>
                <w:kern w:val="0"/>
                <w:sz w:val="18"/>
                <w:szCs w:val="18"/>
                <w:lang w:val="en-US" w:eastAsia="zh-CN" w:bidi="ar-SA"/>
              </w:rPr>
            </w:pPr>
            <w:r>
              <w:rPr>
                <w:rFonts w:hint="eastAsia" w:asciiTheme="majorEastAsia" w:hAnsiTheme="majorEastAsia" w:eastAsiaTheme="majorEastAsia" w:cstheme="majorEastAsia"/>
                <w:b/>
                <w:bCs/>
                <w:snapToGrid w:val="0"/>
                <w:color w:val="000000"/>
                <w:kern w:val="0"/>
                <w:sz w:val="18"/>
                <w:szCs w:val="18"/>
                <w:lang w:val="en-US" w:eastAsia="zh-CN" w:bidi="ar-SA"/>
              </w:rPr>
              <w:t>《保障农民工工资支付条例》</w:t>
            </w:r>
          </w:p>
          <w:p w14:paraId="5969A85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第二十四条  建设单位应当向施工单位提供工程款支付担保。</w:t>
            </w:r>
          </w:p>
          <w:p w14:paraId="40F3D23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建设单位与施工总承包单位依法订立书面工程施工合同，应当约定工程款计量周期、工程款进度结算办法以及人工费用拨付周期，并按照保障农民工工资按时足额支付的要求约定人工费用。人工费用拨付周期不得超过1个月。</w:t>
            </w:r>
          </w:p>
          <w:p w14:paraId="3450F9F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建设单位与施工总承包单位应当将工程施工合同保存备查。</w:t>
            </w:r>
          </w:p>
          <w:p w14:paraId="7085B4B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第二十六条  施工总承包单位应当按照有关规定开设农民工工资专用账户，专项用于支付该工程建设项目农民工工资。</w:t>
            </w:r>
          </w:p>
          <w:p w14:paraId="555142E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开设、使用农民工工资专用账户有关资料应当由施工总承包单位妥善保存备查。</w:t>
            </w:r>
          </w:p>
          <w:p w14:paraId="7718FA1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第二十九条  建设单位应当按照合同约定及时拨付工程款，并将人工费用及时足额拨付至农民工工资专用账户，加强对施工总承包单位按时足额支付农民工工资的监督。</w:t>
            </w:r>
          </w:p>
          <w:p w14:paraId="2101902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因建设单位未按照合同约定及时拨付工程款导致农民工工资拖欠的，建设单位应当以未结清的工程款为限先行垫付被拖欠的农民工工资。</w:t>
            </w:r>
          </w:p>
          <w:p w14:paraId="66E87CF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建设单位应当以项目为单位建立保障农民工工资支付协调机制和工资拖欠预防机制，督促施工总承包单位加强劳动用工管理，妥善处理与农民工工资支付相关的矛盾纠纷。发生农民工集体讨薪事件的，建设单位应当会同施工总承包单位及时处理，并向项目所在地人力资源社会保障行政部门和相关行业工程建设主管部门报告有关情况。</w:t>
            </w:r>
          </w:p>
          <w:p w14:paraId="278E85D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wordWrap/>
              <w:overflowPunct/>
              <w:topLinePunct w:val="0"/>
              <w:bidi w:val="0"/>
              <w:spacing w:before="0" w:beforeAutospacing="0" w:after="0" w:afterAutospacing="0" w:line="240" w:lineRule="exact"/>
              <w:ind w:left="0" w:right="0" w:firstLine="360" w:firstLineChars="20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snapToGrid w:val="0"/>
                <w:color w:val="000000"/>
                <w:kern w:val="0"/>
                <w:sz w:val="18"/>
                <w:szCs w:val="18"/>
                <w:lang w:val="en-US" w:eastAsia="zh-CN" w:bidi="ar-SA"/>
              </w:rPr>
              <w:t>第五十七条  有下列情形之一的，由人力资源社会保障行政部门、相关行业工程建设主管部门按照职责责令限期改正；逾期不改正的，责令项目停工，并处5万元以上10万元以下的罚款：（一）建设单位未依法提供工程款支付担保。（二）建设单位未按约定及时足额向农民工工资专用账户拨付工程款中的人工费用的。（三）建设单位或者施工总承包单位拒不提供或者无法提供工程施工合同、农民工工资专用账户有关资料。</w:t>
            </w:r>
          </w:p>
        </w:tc>
        <w:tc>
          <w:tcPr>
            <w:tcW w:w="1549" w:type="dxa"/>
            <w:shd w:val="clear" w:color="auto" w:fill="auto"/>
            <w:vAlign w:val="center"/>
          </w:tcPr>
          <w:p w14:paraId="3175FA77">
            <w:pPr>
              <w:pStyle w:val="11"/>
              <w:kinsoku/>
              <w:spacing w:line="240" w:lineRule="exact"/>
              <w:jc w:val="center"/>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35742675">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tr w14:paraId="63EB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20" w:type="dxa"/>
            <w:shd w:val="clear" w:color="auto" w:fill="auto"/>
            <w:vAlign w:val="center"/>
          </w:tcPr>
          <w:p w14:paraId="1134AE05">
            <w:pPr>
              <w:pStyle w:val="11"/>
              <w:numPr>
                <w:ilvl w:val="-1"/>
                <w:numId w:val="0"/>
              </w:numPr>
              <w:spacing w:before="0" w:line="240" w:lineRule="exact"/>
              <w:ind w:left="0" w:leftChars="0" w:right="0" w:rightChars="0" w:firstLine="0" w:firstLineChars="0"/>
              <w:jc w:val="center"/>
              <w:rPr>
                <w:rFonts w:hint="default" w:ascii="宋体" w:hAnsi="宋体" w:eastAsia="宋体" w:cs="宋体"/>
                <w:b w:val="0"/>
                <w:bCs w:val="0"/>
                <w:snapToGrid w:val="0"/>
                <w:color w:val="000000"/>
                <w:spacing w:val="-4"/>
                <w:kern w:val="0"/>
                <w:sz w:val="18"/>
                <w:szCs w:val="18"/>
                <w:lang w:val="en-US" w:eastAsia="zh-CN" w:bidi="ar-SA"/>
              </w:rPr>
            </w:pPr>
            <w:r>
              <w:rPr>
                <w:rFonts w:hint="eastAsia" w:cs="宋体"/>
                <w:b w:val="0"/>
                <w:bCs w:val="0"/>
                <w:snapToGrid w:val="0"/>
                <w:color w:val="000000"/>
                <w:spacing w:val="-4"/>
                <w:kern w:val="0"/>
                <w:sz w:val="18"/>
                <w:szCs w:val="18"/>
                <w:lang w:val="en-US" w:eastAsia="zh-CN" w:bidi="ar-SA"/>
              </w:rPr>
              <w:t>106</w:t>
            </w:r>
          </w:p>
        </w:tc>
        <w:tc>
          <w:tcPr>
            <w:tcW w:w="1104" w:type="dxa"/>
            <w:shd w:val="clear" w:color="auto" w:fill="auto"/>
            <w:tcMar>
              <w:left w:w="57" w:type="dxa"/>
              <w:right w:w="57" w:type="dxa"/>
            </w:tcMar>
            <w:vAlign w:val="center"/>
          </w:tcPr>
          <w:p w14:paraId="37F23185">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rPr>
              <w:t>对交通运输领域检查中发现安全事故隐患的行政强制</w:t>
            </w:r>
          </w:p>
        </w:tc>
        <w:tc>
          <w:tcPr>
            <w:tcW w:w="1104" w:type="dxa"/>
            <w:shd w:val="clear" w:color="auto" w:fill="auto"/>
            <w:tcMar>
              <w:top w:w="0" w:type="dxa"/>
              <w:left w:w="0" w:type="dxa"/>
              <w:bottom w:w="0" w:type="dxa"/>
              <w:right w:w="0" w:type="dxa"/>
            </w:tcMar>
            <w:vAlign w:val="center"/>
          </w:tcPr>
          <w:p w14:paraId="5D4EC5B8">
            <w:pPr>
              <w:pStyle w:val="11"/>
              <w:keepNext w:val="0"/>
              <w:keepLines w:val="0"/>
              <w:pageBreakBefore w:val="0"/>
              <w:widowControl/>
              <w:kinsoku/>
              <w:wordWrap/>
              <w:overflowPunct/>
              <w:topLinePunct w:val="0"/>
              <w:bidi w:val="0"/>
              <w:adjustRightInd/>
              <w:snapToGrid/>
              <w:spacing w:line="240" w:lineRule="exact"/>
              <w:ind w:left="0" w:leftChars="0" w:right="0" w:rightChars="0"/>
              <w:jc w:val="both"/>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s="宋体"/>
                <w:b w:val="0"/>
                <w:bCs w:val="0"/>
                <w:color w:val="000000"/>
                <w:kern w:val="0"/>
                <w:sz w:val="18"/>
                <w:szCs w:val="18"/>
                <w:lang w:eastAsia="zh-CN"/>
              </w:rPr>
              <w:t>行政强制</w:t>
            </w:r>
          </w:p>
        </w:tc>
        <w:tc>
          <w:tcPr>
            <w:tcW w:w="8552" w:type="dxa"/>
            <w:shd w:val="clear" w:color="auto" w:fill="auto"/>
            <w:vAlign w:val="center"/>
          </w:tcPr>
          <w:p w14:paraId="02DBFE4A">
            <w:pPr>
              <w:keepNext w:val="0"/>
              <w:keepLines w:val="0"/>
              <w:pageBreakBefore w:val="0"/>
              <w:widowControl/>
              <w:kinsoku/>
              <w:wordWrap/>
              <w:overflowPunct/>
              <w:topLinePunct w:val="0"/>
              <w:bidi w:val="0"/>
              <w:adjustRightInd/>
              <w:snapToGrid/>
              <w:spacing w:line="240" w:lineRule="exact"/>
              <w:ind w:left="0" w:right="0" w:firstLine="361" w:firstLineChars="200"/>
              <w:jc w:val="left"/>
              <w:textAlignment w:val="auto"/>
              <w:rPr>
                <w:rFonts w:hint="eastAsia" w:asciiTheme="majorEastAsia" w:hAnsiTheme="majorEastAsia" w:eastAsiaTheme="majorEastAsia" w:cstheme="majorEastAsia"/>
                <w:b w:val="0"/>
                <w:bCs w:val="0"/>
                <w:color w:val="000000"/>
                <w:kern w:val="0"/>
                <w:sz w:val="18"/>
                <w:szCs w:val="18"/>
              </w:rPr>
            </w:pPr>
            <w:r>
              <w:rPr>
                <w:rFonts w:hint="eastAsia" w:asciiTheme="majorEastAsia" w:hAnsiTheme="majorEastAsia" w:eastAsiaTheme="majorEastAsia" w:cstheme="majorEastAsia"/>
                <w:b/>
                <w:bCs/>
                <w:color w:val="000000"/>
                <w:kern w:val="0"/>
                <w:sz w:val="18"/>
                <w:szCs w:val="18"/>
              </w:rPr>
              <w:t>《中华人民共和国安全生产法》</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第十一条第二款</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生产经营单位必须执行依法制定的保障安全生产的国家标准或者行业标准。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第三十六条第一款</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安全设备的设计、制造、安装、使用、检测、维修、改造和报废，应当符合国家标准或者行业标准。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第三十九条</w:t>
            </w:r>
            <w:r>
              <w:rPr>
                <w:rFonts w:hint="eastAsia" w:asciiTheme="majorEastAsia" w:hAnsiTheme="majorEastAsia" w:eastAsiaTheme="majorEastAsia" w:cstheme="majorEastAsia"/>
                <w:b w:val="0"/>
                <w:bCs w:val="0"/>
                <w:color w:val="000000"/>
                <w:kern w:val="0"/>
                <w:sz w:val="18"/>
                <w:szCs w:val="18"/>
                <w:lang w:val="en-US" w:eastAsia="zh-CN"/>
              </w:rPr>
              <w:t xml:space="preserve">  </w:t>
            </w:r>
            <w:r>
              <w:rPr>
                <w:rFonts w:hint="eastAsia" w:asciiTheme="majorEastAsia" w:hAnsiTheme="majorEastAsia" w:eastAsiaTheme="majorEastAsia" w:cstheme="majorEastAsia"/>
                <w:b w:val="0"/>
                <w:bCs w:val="0"/>
                <w:color w:val="000000"/>
                <w:kern w:val="0"/>
                <w:sz w:val="18"/>
                <w:szCs w:val="18"/>
              </w:rPr>
              <w:t>生产、经营、运输、储存、使用危险物品或者处置废弃危险物品的，由有关主管部门依照有关法律、法规的规定和国家标准或者行业标准审批并实施监督管理。</w:t>
            </w:r>
          </w:p>
          <w:p w14:paraId="35DA6824">
            <w:pPr>
              <w:keepNext w:val="0"/>
              <w:keepLines w:val="0"/>
              <w:pageBreakBefore w:val="0"/>
              <w:widowControl/>
              <w:kinsoku/>
              <w:wordWrap/>
              <w:overflowPunct/>
              <w:topLinePunct w:val="0"/>
              <w:bidi w:val="0"/>
              <w:adjustRightInd/>
              <w:snapToGrid/>
              <w:spacing w:line="240" w:lineRule="exact"/>
              <w:ind w:left="0" w:leftChars="0" w:right="0" w:rightChars="0" w:firstLine="360" w:firstLineChars="200"/>
              <w:jc w:val="left"/>
              <w:textAlignment w:val="auto"/>
              <w:rPr>
                <w:rFonts w:hint="eastAsia" w:asciiTheme="majorEastAsia" w:hAnsiTheme="majorEastAsia" w:eastAsiaTheme="majorEastAsia" w:cstheme="majorEastAsia"/>
                <w:b w:val="0"/>
                <w:bCs w:val="0"/>
                <w:color w:val="000000"/>
                <w:kern w:val="0"/>
                <w:sz w:val="18"/>
                <w:szCs w:val="18"/>
                <w:lang w:val="en-US" w:eastAsia="zh-CN" w:bidi="ar-SA"/>
              </w:rPr>
            </w:pPr>
            <w:r>
              <w:rPr>
                <w:rFonts w:hint="eastAsia" w:asciiTheme="majorEastAsia" w:hAnsiTheme="majorEastAsia" w:eastAsiaTheme="majorEastAsia" w:cstheme="majorEastAsia"/>
                <w:b w:val="0"/>
                <w:bCs w:val="0"/>
                <w:color w:val="000000"/>
                <w:kern w:val="0"/>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r>
              <w:rPr>
                <w:rFonts w:hint="eastAsia" w:asciiTheme="majorEastAsia" w:hAnsiTheme="majorEastAsia" w:eastAsiaTheme="majorEastAsia" w:cstheme="majorEastAsia"/>
                <w:b w:val="0"/>
                <w:bCs w:val="0"/>
                <w:color w:val="000000"/>
                <w:kern w:val="0"/>
                <w:sz w:val="18"/>
                <w:szCs w:val="18"/>
              </w:rPr>
              <w:br w:type="textWrapping"/>
            </w:r>
            <w:r>
              <w:rPr>
                <w:rFonts w:hint="eastAsia" w:asciiTheme="majorEastAsia" w:hAnsiTheme="majorEastAsia" w:eastAsiaTheme="majorEastAsia" w:cstheme="majorEastAsia"/>
                <w:b w:val="0"/>
                <w:bCs w:val="0"/>
                <w:color w:val="000000"/>
                <w:kern w:val="0"/>
                <w:sz w:val="18"/>
                <w:szCs w:val="18"/>
              </w:rPr>
              <w:t xml:space="preserve">     第六十五条第一款第（四）项  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tc>
        <w:tc>
          <w:tcPr>
            <w:tcW w:w="1549" w:type="dxa"/>
            <w:shd w:val="clear" w:color="auto" w:fill="auto"/>
            <w:vAlign w:val="center"/>
          </w:tcPr>
          <w:p w14:paraId="1FF1A840">
            <w:pPr>
              <w:pStyle w:val="11"/>
              <w:kinsoku/>
              <w:spacing w:line="240" w:lineRule="exact"/>
              <w:jc w:val="center"/>
              <w:rPr>
                <w:rFonts w:hint="eastAsia" w:asciiTheme="majorEastAsia" w:hAnsiTheme="majorEastAsia" w:eastAsiaTheme="majorEastAsia" w:cstheme="majorEastAsia"/>
                <w:b w:val="0"/>
                <w:bCs w:val="0"/>
                <w:snapToGrid w:val="0"/>
                <w:color w:val="000000"/>
                <w:kern w:val="0"/>
                <w:sz w:val="18"/>
                <w:szCs w:val="18"/>
                <w:lang w:val="en-US" w:eastAsia="zh-CN" w:bidi="ar-SA"/>
              </w:rPr>
            </w:pPr>
            <w:r>
              <w:rPr>
                <w:rFonts w:hint="eastAsia"/>
                <w:color w:val="auto"/>
                <w:spacing w:val="-4"/>
                <w:lang w:eastAsia="zh-CN"/>
              </w:rPr>
              <w:t>衡阳市交通运输局</w:t>
            </w:r>
          </w:p>
        </w:tc>
        <w:tc>
          <w:tcPr>
            <w:tcW w:w="1739" w:type="dxa"/>
            <w:shd w:val="clear" w:color="auto" w:fill="auto"/>
            <w:vAlign w:val="center"/>
          </w:tcPr>
          <w:p w14:paraId="4F88E427">
            <w:pPr>
              <w:pStyle w:val="11"/>
              <w:kinsoku/>
              <w:spacing w:line="240" w:lineRule="exact"/>
              <w:jc w:val="center"/>
              <w:rPr>
                <w:rFonts w:hint="eastAsia" w:ascii="宋体" w:hAnsi="宋体" w:eastAsia="宋体" w:cs="宋体"/>
                <w:b w:val="0"/>
                <w:bCs w:val="0"/>
                <w:snapToGrid w:val="0"/>
                <w:color w:val="000000"/>
                <w:spacing w:val="-4"/>
                <w:kern w:val="0"/>
                <w:sz w:val="18"/>
                <w:szCs w:val="18"/>
                <w:lang w:val="en-US" w:eastAsia="zh-CN" w:bidi="ar-SA"/>
              </w:rPr>
            </w:pPr>
            <w:r>
              <w:rPr>
                <w:rFonts w:hint="eastAsia"/>
                <w:color w:val="auto"/>
                <w:spacing w:val="-4"/>
                <w:lang w:eastAsia="zh-CN"/>
              </w:rPr>
              <w:t>衡阳市交通运输综合行政执法支队</w:t>
            </w:r>
          </w:p>
        </w:tc>
      </w:tr>
      <w:bookmarkEnd w:id="44"/>
    </w:tbl>
    <w:p w14:paraId="25489306">
      <w:pPr>
        <w:rPr>
          <w:b w:val="0"/>
          <w:bCs w:val="0"/>
        </w:rPr>
      </w:pPr>
    </w:p>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1" w:fontKey="{D4710113-E828-4340-83F4-D2278474B3FE}"/>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1BE3D6A2-F472-4060-B8F7-2793ED84A62E}"/>
  </w:font>
  <w:font w:name="Meiryo">
    <w:panose1 w:val="020B0604030504040204"/>
    <w:charset w:val="80"/>
    <w:family w:val="auto"/>
    <w:pitch w:val="default"/>
    <w:sig w:usb0="E10102FF" w:usb1="EAC7FFFF" w:usb2="00010012" w:usb3="00000000" w:csb0="6002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4OTdlOWY2ZmRkNmVlNjY1YTk3ZGI3MWY3ZDRiMWUifQ=="/>
  </w:docVars>
  <w:rsids>
    <w:rsidRoot w:val="68E94D96"/>
    <w:rsid w:val="09077C5D"/>
    <w:rsid w:val="0A245392"/>
    <w:rsid w:val="0D847E39"/>
    <w:rsid w:val="107143B7"/>
    <w:rsid w:val="11DB0490"/>
    <w:rsid w:val="13055010"/>
    <w:rsid w:val="19466124"/>
    <w:rsid w:val="19C60520"/>
    <w:rsid w:val="1B150BEA"/>
    <w:rsid w:val="1B501479"/>
    <w:rsid w:val="21A5649F"/>
    <w:rsid w:val="239006C7"/>
    <w:rsid w:val="23E35247"/>
    <w:rsid w:val="23FC3685"/>
    <w:rsid w:val="25DF2AB6"/>
    <w:rsid w:val="26B25371"/>
    <w:rsid w:val="28414267"/>
    <w:rsid w:val="28723AB4"/>
    <w:rsid w:val="296D79B8"/>
    <w:rsid w:val="2CB76CC5"/>
    <w:rsid w:val="2D287BC3"/>
    <w:rsid w:val="2DF85DDE"/>
    <w:rsid w:val="2EE84298"/>
    <w:rsid w:val="317811BB"/>
    <w:rsid w:val="326F644C"/>
    <w:rsid w:val="33BF2747"/>
    <w:rsid w:val="33FF0ED1"/>
    <w:rsid w:val="34FF08D3"/>
    <w:rsid w:val="35F20187"/>
    <w:rsid w:val="36FEFE10"/>
    <w:rsid w:val="38CC67EE"/>
    <w:rsid w:val="3D436353"/>
    <w:rsid w:val="3D8916A5"/>
    <w:rsid w:val="3DDF8B1E"/>
    <w:rsid w:val="3DFBAD84"/>
    <w:rsid w:val="3FBE3F2F"/>
    <w:rsid w:val="3FDF19D2"/>
    <w:rsid w:val="3FF75DF7"/>
    <w:rsid w:val="43435B36"/>
    <w:rsid w:val="437D13B3"/>
    <w:rsid w:val="44F13AC5"/>
    <w:rsid w:val="45B91382"/>
    <w:rsid w:val="479D0D22"/>
    <w:rsid w:val="4D266DC2"/>
    <w:rsid w:val="513449DD"/>
    <w:rsid w:val="53EFE3A5"/>
    <w:rsid w:val="5486329D"/>
    <w:rsid w:val="551D2366"/>
    <w:rsid w:val="5DF76C89"/>
    <w:rsid w:val="5FBEE102"/>
    <w:rsid w:val="5FF3E830"/>
    <w:rsid w:val="605B55DE"/>
    <w:rsid w:val="611B6B1B"/>
    <w:rsid w:val="627263A1"/>
    <w:rsid w:val="643C1282"/>
    <w:rsid w:val="65881E0D"/>
    <w:rsid w:val="67DF6AFE"/>
    <w:rsid w:val="68E94D96"/>
    <w:rsid w:val="6AA40D85"/>
    <w:rsid w:val="6B3B23A7"/>
    <w:rsid w:val="6C6D454A"/>
    <w:rsid w:val="6DBD796F"/>
    <w:rsid w:val="6FFF0431"/>
    <w:rsid w:val="6FFF94FE"/>
    <w:rsid w:val="71C611D0"/>
    <w:rsid w:val="736672E4"/>
    <w:rsid w:val="737DAF7A"/>
    <w:rsid w:val="7550004F"/>
    <w:rsid w:val="760246AA"/>
    <w:rsid w:val="77BFE682"/>
    <w:rsid w:val="77D7FF02"/>
    <w:rsid w:val="7A1FD031"/>
    <w:rsid w:val="7B75F54B"/>
    <w:rsid w:val="7BBA2131"/>
    <w:rsid w:val="7BEF7E35"/>
    <w:rsid w:val="7BFF1364"/>
    <w:rsid w:val="7C4A04F4"/>
    <w:rsid w:val="7DE8CF6A"/>
    <w:rsid w:val="7DFFBC58"/>
    <w:rsid w:val="7E7956C3"/>
    <w:rsid w:val="7EF6A794"/>
    <w:rsid w:val="7F2FCB85"/>
    <w:rsid w:val="7F620578"/>
    <w:rsid w:val="7F802513"/>
    <w:rsid w:val="7F9F1E5F"/>
    <w:rsid w:val="7FA4EA82"/>
    <w:rsid w:val="7FFBBF42"/>
    <w:rsid w:val="7FFE3A11"/>
    <w:rsid w:val="8FE305A3"/>
    <w:rsid w:val="9F93F964"/>
    <w:rsid w:val="9FFA2E79"/>
    <w:rsid w:val="B3FFF699"/>
    <w:rsid w:val="BF7BB77E"/>
    <w:rsid w:val="BFFB0F67"/>
    <w:rsid w:val="CB3F0E61"/>
    <w:rsid w:val="DDEAF1E9"/>
    <w:rsid w:val="DEEC4805"/>
    <w:rsid w:val="E43F281A"/>
    <w:rsid w:val="E5FF0474"/>
    <w:rsid w:val="EFABD6CC"/>
    <w:rsid w:val="EFE34295"/>
    <w:rsid w:val="F6F91C70"/>
    <w:rsid w:val="F9ED6826"/>
    <w:rsid w:val="F9EEC87B"/>
    <w:rsid w:val="FAF546C7"/>
    <w:rsid w:val="FDD1E8F9"/>
    <w:rsid w:val="FE9321E3"/>
    <w:rsid w:val="FFDBECA7"/>
    <w:rsid w:val="FFF38D16"/>
    <w:rsid w:val="FFFE6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rPr>
      <w:rFonts w:hint="eastAsia" w:ascii="仿宋" w:hAnsi="仿宋" w:eastAsia="仿宋"/>
      <w:kern w:val="0"/>
      <w:sz w:val="20"/>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next w:val="3"/>
    <w:qFormat/>
    <w:uiPriority w:val="0"/>
    <w:pPr>
      <w:ind w:firstLine="420" w:firstLineChars="200"/>
    </w:pPr>
  </w:style>
  <w:style w:type="paragraph" w:customStyle="1" w:styleId="11">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10262</Words>
  <Characters>10355</Characters>
  <Lines>0</Lines>
  <Paragraphs>0</Paragraphs>
  <TotalTime>1</TotalTime>
  <ScaleCrop>false</ScaleCrop>
  <LinksUpToDate>false</LinksUpToDate>
  <CharactersWithSpaces>11050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2024-12-18T09:15:00Z</dcterms:created>
  <dc:creator>Lr</dc:creator>
  <cp:lastModifiedBy>Ayo</cp:lastModifiedBy>
  <dcterms:modified xsi:type="dcterms:W3CDTF">2025-08-12T00:57:09Z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674251C9484F41ADB8728ABB8D033A50_13</vt:lpwstr>
  </property>
  <property fmtid="{D5CDD505-2E9C-101B-9397-08002B2CF9AE}" pid="4" name="KSOTemplateDocerSaveRecord">
    <vt:lpwstr>eyJoZGlkIjoiMmM0YTE5YTliNDM5M2I2NmI1ZGEzOTA2YTBjNTIwMTciLCJ1c2VySWQiOiIxMTAwMzA0NjYyIn0=</vt:lpwstr>
  </property>
</Properties>
</file>