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61AB">
      <w:pPr>
        <w:jc w:val="center"/>
        <w:rPr>
          <w:rFonts w:hint="eastAsia" w:ascii="方正小标宋简体" w:hAnsi="方正小标宋简体" w:eastAsia="方正小标宋简体" w:cs="方正小标宋简体"/>
          <w:sz w:val="28"/>
          <w:szCs w:val="28"/>
        </w:rPr>
      </w:pPr>
      <w:bookmarkStart w:id="0" w:name="_GoBack"/>
      <w:bookmarkEnd w:id="0"/>
      <w:r>
        <w:rPr>
          <w:rFonts w:hint="eastAsia" w:ascii="方正小标宋简体" w:hAnsi="方正小标宋简体" w:eastAsia="方正小标宋简体" w:cs="方正小标宋简体"/>
          <w:sz w:val="28"/>
          <w:szCs w:val="28"/>
        </w:rPr>
        <w:t>湖南省交通运输行政处罚裁量权基准（水路运输管理）</w:t>
      </w:r>
    </w:p>
    <w:tbl>
      <w:tblPr>
        <w:tblStyle w:val="6"/>
        <w:tblW w:w="14664" w:type="dxa"/>
        <w:tblInd w:w="-18" w:type="dxa"/>
        <w:tblLayout w:type="fixed"/>
        <w:tblCellMar>
          <w:top w:w="0" w:type="dxa"/>
          <w:left w:w="108" w:type="dxa"/>
          <w:bottom w:w="0" w:type="dxa"/>
          <w:right w:w="108" w:type="dxa"/>
        </w:tblCellMar>
      </w:tblPr>
      <w:tblGrid>
        <w:gridCol w:w="588"/>
        <w:gridCol w:w="1656"/>
        <w:gridCol w:w="3030"/>
        <w:gridCol w:w="3135"/>
        <w:gridCol w:w="780"/>
        <w:gridCol w:w="2715"/>
        <w:gridCol w:w="2760"/>
      </w:tblGrid>
      <w:tr w14:paraId="59CA14B0">
        <w:tblPrEx>
          <w:tblCellMar>
            <w:top w:w="0" w:type="dxa"/>
            <w:left w:w="108" w:type="dxa"/>
            <w:bottom w:w="0" w:type="dxa"/>
            <w:right w:w="108" w:type="dxa"/>
          </w:tblCellMar>
        </w:tblPrEx>
        <w:trPr>
          <w:trHeight w:val="635" w:hRule="atLeast"/>
          <w:tblHeader/>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D1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sz w:val="18"/>
                <w:szCs w:val="18"/>
              </w:rPr>
            </w:pPr>
            <w:r>
              <w:rPr>
                <w:rFonts w:hint="eastAsia" w:asciiTheme="majorEastAsia" w:hAnsiTheme="majorEastAsia" w:eastAsiaTheme="majorEastAsia" w:cstheme="majorEastAsia"/>
                <w:b/>
                <w:bCs/>
                <w:color w:val="000000"/>
                <w:kern w:val="0"/>
                <w:sz w:val="18"/>
                <w:szCs w:val="18"/>
                <w:lang w:bidi="ar"/>
              </w:rPr>
              <w:t>序号</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56E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rPr>
            </w:pPr>
            <w:r>
              <w:rPr>
                <w:rFonts w:hint="eastAsia" w:asciiTheme="majorEastAsia" w:hAnsiTheme="majorEastAsia" w:eastAsiaTheme="majorEastAsia" w:cstheme="majorEastAsia"/>
                <w:b/>
                <w:bCs/>
                <w:color w:val="000000"/>
                <w:kern w:val="0"/>
                <w:sz w:val="18"/>
                <w:szCs w:val="18"/>
                <w:lang w:bidi="ar"/>
              </w:rPr>
              <w:t>违法行为</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BCF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rPr>
            </w:pPr>
            <w:r>
              <w:rPr>
                <w:rFonts w:hint="eastAsia" w:asciiTheme="majorEastAsia" w:hAnsiTheme="majorEastAsia" w:eastAsiaTheme="majorEastAsia" w:cstheme="majorEastAsia"/>
                <w:b/>
                <w:bCs/>
                <w:color w:val="000000"/>
                <w:kern w:val="0"/>
                <w:sz w:val="18"/>
                <w:szCs w:val="18"/>
                <w:lang w:bidi="ar"/>
              </w:rPr>
              <w:t>行为依据</w:t>
            </w:r>
          </w:p>
        </w:tc>
        <w:tc>
          <w:tcPr>
            <w:tcW w:w="3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A6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rPr>
            </w:pPr>
            <w:r>
              <w:rPr>
                <w:rFonts w:hint="eastAsia" w:asciiTheme="majorEastAsia" w:hAnsiTheme="majorEastAsia" w:eastAsiaTheme="majorEastAsia" w:cstheme="majorEastAsia"/>
                <w:b/>
                <w:bCs/>
                <w:color w:val="000000"/>
                <w:kern w:val="0"/>
                <w:sz w:val="18"/>
                <w:szCs w:val="18"/>
                <w:lang w:bidi="ar"/>
              </w:rPr>
              <w:t>实施依据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092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kern w:val="0"/>
                <w:sz w:val="18"/>
                <w:szCs w:val="18"/>
                <w:lang w:eastAsia="zh-CN" w:bidi="ar"/>
              </w:rPr>
            </w:pPr>
            <w:r>
              <w:rPr>
                <w:rFonts w:hint="eastAsia" w:asciiTheme="majorEastAsia" w:hAnsiTheme="majorEastAsia" w:eastAsiaTheme="majorEastAsia" w:cstheme="majorEastAsia"/>
                <w:b/>
                <w:bCs/>
                <w:color w:val="000000"/>
                <w:kern w:val="0"/>
                <w:sz w:val="18"/>
                <w:szCs w:val="18"/>
                <w:lang w:eastAsia="zh-CN" w:bidi="ar"/>
              </w:rPr>
              <w:t>裁量</w:t>
            </w:r>
          </w:p>
          <w:p w14:paraId="32C3EC1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lang w:eastAsia="zh-CN"/>
              </w:rPr>
            </w:pPr>
            <w:r>
              <w:rPr>
                <w:rFonts w:hint="eastAsia" w:asciiTheme="majorEastAsia" w:hAnsiTheme="majorEastAsia" w:eastAsiaTheme="majorEastAsia" w:cstheme="majorEastAsia"/>
                <w:b/>
                <w:bCs/>
                <w:color w:val="000000"/>
                <w:kern w:val="0"/>
                <w:sz w:val="18"/>
                <w:szCs w:val="18"/>
                <w:lang w:eastAsia="zh-CN" w:bidi="ar"/>
              </w:rPr>
              <w:t>阶次</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302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lang w:eastAsia="zh-CN"/>
              </w:rPr>
            </w:pPr>
            <w:r>
              <w:rPr>
                <w:rFonts w:hint="eastAsia" w:asciiTheme="majorEastAsia" w:hAnsiTheme="majorEastAsia" w:eastAsiaTheme="majorEastAsia" w:cstheme="majorEastAsia"/>
                <w:b/>
                <w:bCs/>
                <w:color w:val="000000"/>
                <w:kern w:val="0"/>
                <w:sz w:val="18"/>
                <w:szCs w:val="18"/>
                <w:lang w:eastAsia="zh-CN" w:bidi="ar"/>
              </w:rPr>
              <w:t>适用条件</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D98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sz w:val="18"/>
                <w:szCs w:val="18"/>
                <w:lang w:eastAsia="zh-CN"/>
              </w:rPr>
            </w:pPr>
            <w:r>
              <w:rPr>
                <w:rFonts w:hint="eastAsia" w:asciiTheme="majorEastAsia" w:hAnsiTheme="majorEastAsia" w:eastAsiaTheme="majorEastAsia" w:cstheme="majorEastAsia"/>
                <w:b/>
                <w:bCs/>
                <w:color w:val="000000"/>
                <w:kern w:val="0"/>
                <w:sz w:val="18"/>
                <w:szCs w:val="18"/>
                <w:lang w:eastAsia="zh-CN" w:bidi="ar"/>
              </w:rPr>
              <w:t>具体标准</w:t>
            </w:r>
          </w:p>
        </w:tc>
      </w:tr>
      <w:tr w14:paraId="55DA7462">
        <w:tblPrEx>
          <w:tblCellMar>
            <w:top w:w="0" w:type="dxa"/>
            <w:left w:w="108" w:type="dxa"/>
            <w:bottom w:w="0" w:type="dxa"/>
            <w:right w:w="108" w:type="dxa"/>
          </w:tblCellMar>
        </w:tblPrEx>
        <w:trPr>
          <w:trHeight w:val="1034"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DDCF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A4B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水上货运业务经营者、服务提供者、物流运营单位未按相关规定对客户身份进行查验，或者对身份不明、拒绝身份查验的客户提供服务</w:t>
            </w:r>
          </w:p>
        </w:tc>
        <w:tc>
          <w:tcPr>
            <w:tcW w:w="30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AB0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《中华人民共和国反恐怖主义法》</w:t>
            </w:r>
          </w:p>
          <w:p w14:paraId="6679187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第二十条  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14:paraId="1BCC55E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前款规定的物流运营单位，应当实行运输、寄递客户身份、物品信息登记制度。</w:t>
            </w:r>
          </w:p>
          <w:p w14:paraId="72FB72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第二十一条  电信、互联网、金融、住宿、长途客运、机动车租赁等业务经营者、服务提供者，应当对客户身份进行查验。对身份不明或者拒绝身份查验的，不得提供服务。</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DF86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《中华人民共和国反恐怖主义法》</w:t>
            </w:r>
          </w:p>
          <w:p w14:paraId="6602D2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第八十五条  铁路、公路、水上、航空的货运和邮政、快递等物流运营单位有下列情形之一的，由主管部门处十万元以上五十万元以下罚款，并对其直接负责的主管人员和其他直接责任人员处十万元以下罚款：</w:t>
            </w:r>
          </w:p>
          <w:p w14:paraId="4BD54DC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（一）未实行安全查验制度，对客户身份进行查验，或者未依照规定对运输、寄递物品进行安全检查或者开封验视的。</w:t>
            </w:r>
          </w:p>
          <w:p w14:paraId="188DC3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第九十三条  单位违反本法规定，情节严重的，由主管部门责令停止从事相关业务、提供相关服务或者责令停产停业三个月；造成严重后果的，吊销有关证照或者撤销登记。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706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6E8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000000"/>
                <w:kern w:val="0"/>
                <w:sz w:val="18"/>
                <w:szCs w:val="18"/>
                <w:lang w:bidi="ar"/>
              </w:rPr>
              <w:t>未实行安全查验制度，未对客户身份进行查验，及时改正，尚未造成危害后果的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70B2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处十万元以上少于二十万元的罚款，并对其直接负责的主管人员和其他直接责任人员处少于二万元的罚款</w:t>
            </w:r>
          </w:p>
        </w:tc>
      </w:tr>
      <w:tr w14:paraId="32C6C9B4">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7403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A69D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674A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A901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0CF6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BB0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一个自然年度内在本省再次</w:t>
            </w:r>
            <w:r>
              <w:rPr>
                <w:rFonts w:hint="eastAsia" w:asciiTheme="majorEastAsia" w:hAnsiTheme="majorEastAsia" w:eastAsiaTheme="majorEastAsia" w:cstheme="majorEastAsia"/>
                <w:b w:val="0"/>
                <w:bCs w:val="0"/>
                <w:color w:val="000000"/>
                <w:kern w:val="0"/>
                <w:sz w:val="18"/>
                <w:szCs w:val="18"/>
                <w:lang w:bidi="ar"/>
              </w:rPr>
              <w:t>未实行安全查验制度，未对客户身份进行查验，尚未造成危害后果的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190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处二十万元以上少于三十万元的罚款，并对其直接负责的主管人员和其他直接责任人员处二万元以上少于五万元的罚款</w:t>
            </w:r>
          </w:p>
        </w:tc>
      </w:tr>
      <w:tr w14:paraId="4BF35B29">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7A5B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0E2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51CD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F669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92D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AC7D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3次以上</w:t>
            </w:r>
            <w:r>
              <w:rPr>
                <w:rFonts w:hint="eastAsia" w:asciiTheme="majorEastAsia" w:hAnsiTheme="majorEastAsia" w:eastAsiaTheme="majorEastAsia" w:cstheme="majorEastAsia"/>
                <w:b w:val="0"/>
                <w:bCs w:val="0"/>
                <w:color w:val="000000"/>
                <w:kern w:val="0"/>
                <w:sz w:val="18"/>
                <w:szCs w:val="18"/>
                <w:lang w:bidi="ar"/>
              </w:rPr>
              <w:t>未实行安全查验制度，未对客户身份进行查验，没有造成危害后果的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B0D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责令其停止从事相关业务、提供相关服务或者责令停产停业三个月；处三十万元以上少于四十万元的罚款，并对其直接负责的主管人员和其他直接责任人员处五万元以上少于七万元的罚款</w:t>
            </w:r>
          </w:p>
        </w:tc>
      </w:tr>
      <w:tr w14:paraId="6D5920ED">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BC78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3404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3A26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B67D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D2C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D9B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因未实行安全查验制度，未对客户身份进行查验，造成严重危害后果的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07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报相关许可机关吊销有关证照或者撤销登记；处四十万元以上五十万元以下的罚款，并对其直接负责的主管人员和其他直接责任人员处七万元以上十万元以下的罚款</w:t>
            </w:r>
          </w:p>
        </w:tc>
      </w:tr>
      <w:tr w14:paraId="508BD830">
        <w:tblPrEx>
          <w:tblCellMar>
            <w:top w:w="0" w:type="dxa"/>
            <w:left w:w="108" w:type="dxa"/>
            <w:bottom w:w="0" w:type="dxa"/>
            <w:right w:w="108" w:type="dxa"/>
          </w:tblCellMar>
        </w:tblPrEx>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8E4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w:t>
            </w:r>
          </w:p>
        </w:tc>
        <w:tc>
          <w:tcPr>
            <w:tcW w:w="1656" w:type="dxa"/>
            <w:vMerge w:val="restart"/>
            <w:tcBorders>
              <w:top w:val="single" w:color="000000" w:sz="4" w:space="0"/>
              <w:left w:val="nil"/>
              <w:bottom w:val="single" w:color="000000" w:sz="4" w:space="0"/>
              <w:right w:val="single" w:color="000000" w:sz="4" w:space="0"/>
            </w:tcBorders>
            <w:shd w:val="clear" w:color="auto" w:fill="auto"/>
            <w:vAlign w:val="center"/>
          </w:tcPr>
          <w:p w14:paraId="0508B00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货运和物流运营单位对禁止运输、寄递，存在重大安全隐患，或者客户拒绝安全查验的物品予以运输、寄递的</w:t>
            </w:r>
          </w:p>
        </w:tc>
        <w:tc>
          <w:tcPr>
            <w:tcW w:w="30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EFF4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《中华人民共和国反恐怖主义法》</w:t>
            </w:r>
          </w:p>
          <w:p w14:paraId="0FF65D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第二十条第一款  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184F9">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《中华人民共和国反恐怖主义法》</w:t>
            </w:r>
          </w:p>
          <w:p w14:paraId="251DB5EC">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第八十五条  铁路、公路、水上、航空的货运和邮政、快递等物流运营单位有下列情形之一的，由主管部门处十万元以上五十万元以下罚款，并对其直接负责的主管人员和其他直接责任人员处十万元以下罚款：（二）对禁止运输、寄递，存在重大安全隐患，或者客户拒绝安全查验的物品予以运输、寄递的；</w:t>
            </w:r>
          </w:p>
          <w:p w14:paraId="0A8903D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第九十三条  单位违反本法规定，情节严重的，由主管部门责令停止从事相关业务、提供相关服务或者责令停产停业；造成严重后果的，吊销有关证照或者撤销登记。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56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12B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kern w:val="0"/>
                <w:sz w:val="18"/>
                <w:szCs w:val="18"/>
                <w:lang w:bidi="ar"/>
              </w:rPr>
              <w:t>首次运输禁止运输、寄递或客户拒绝安全查验的物品，及时改正，没有造成危害后果的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A4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处十万元以上少于二十万元的罚款，并对其直接负责的主管人员和其他直接责任人员处少于二万元的罚款</w:t>
            </w:r>
          </w:p>
        </w:tc>
      </w:tr>
      <w:tr w14:paraId="63421EE5">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F1F2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nil"/>
              <w:bottom w:val="single" w:color="000000" w:sz="4" w:space="0"/>
              <w:right w:val="single" w:color="000000" w:sz="4" w:space="0"/>
            </w:tcBorders>
            <w:shd w:val="clear" w:color="auto" w:fill="auto"/>
            <w:vAlign w:val="center"/>
          </w:tcPr>
          <w:p w14:paraId="0104F12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5223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F0B5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559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7132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kern w:val="0"/>
                <w:sz w:val="18"/>
                <w:szCs w:val="18"/>
                <w:lang w:bidi="ar"/>
              </w:rPr>
              <w:t>再次运输禁止运输、寄递或客户拒绝安全查验的物品，且尚未造成危害后果的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60F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处二十万元以上少于三十万元的罚款，并对其直接负责的主管人员和其他直接责任人员处二万元以上少于五万元的罚款</w:t>
            </w:r>
          </w:p>
        </w:tc>
      </w:tr>
      <w:tr w14:paraId="480E763B">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92D8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nil"/>
              <w:bottom w:val="single" w:color="000000" w:sz="4" w:space="0"/>
              <w:right w:val="single" w:color="000000" w:sz="4" w:space="0"/>
            </w:tcBorders>
            <w:shd w:val="clear" w:color="auto" w:fill="auto"/>
            <w:vAlign w:val="center"/>
          </w:tcPr>
          <w:p w14:paraId="535AB98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7046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8A61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EB0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2B32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kern w:val="0"/>
                <w:sz w:val="18"/>
                <w:szCs w:val="18"/>
                <w:lang w:bidi="ar"/>
              </w:rPr>
              <w:t>3次以上运输禁止运输、寄递或客户拒绝安全查验的物品，没有造成危害后果的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19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责令其停止从事相关业务、提供相关服务或者责令停产停业三个月；处三十万元以上少于四十万元的罚款，并对其直接负责的主管人员和其他直接责任人员处五万元以上少于七万元的罚款</w:t>
            </w:r>
          </w:p>
        </w:tc>
      </w:tr>
      <w:tr w14:paraId="4081D255">
        <w:tblPrEx>
          <w:tblCellMar>
            <w:top w:w="0" w:type="dxa"/>
            <w:left w:w="108" w:type="dxa"/>
            <w:bottom w:w="0" w:type="dxa"/>
            <w:right w:w="108" w:type="dxa"/>
          </w:tblCellMar>
        </w:tblPrEx>
        <w:trPr>
          <w:trHeight w:val="1524"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6FE5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nil"/>
              <w:bottom w:val="single" w:color="000000" w:sz="4" w:space="0"/>
              <w:right w:val="single" w:color="000000" w:sz="4" w:space="0"/>
            </w:tcBorders>
            <w:shd w:val="clear" w:color="auto" w:fill="auto"/>
            <w:vAlign w:val="center"/>
          </w:tcPr>
          <w:p w14:paraId="0346FDE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0F5E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1DF7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764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4E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因运输禁止运输、寄递或客户拒绝安全查验的物品，造成了危害后果的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EA5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责令其停止从事相关业务、提供相关服务或者责令停产停业六个月；处四十万元以上少于五十万元的罚款，并对其直接负责的主管人员和其他直接责任人员处七万元以上少于十万元的罚款</w:t>
            </w:r>
          </w:p>
        </w:tc>
      </w:tr>
      <w:tr w14:paraId="615B042F">
        <w:tblPrEx>
          <w:tblCellMar>
            <w:top w:w="0" w:type="dxa"/>
            <w:left w:w="108" w:type="dxa"/>
            <w:bottom w:w="0" w:type="dxa"/>
            <w:right w:w="108" w:type="dxa"/>
          </w:tblCellMar>
        </w:tblPrEx>
        <w:trPr>
          <w:trHeight w:val="1044" w:hRule="atLeast"/>
        </w:trPr>
        <w:tc>
          <w:tcPr>
            <w:tcW w:w="588"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3B80036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nil"/>
              <w:bottom w:val="single" w:color="auto" w:sz="4" w:space="0"/>
              <w:right w:val="single" w:color="000000" w:sz="4" w:space="0"/>
            </w:tcBorders>
            <w:shd w:val="clear" w:color="auto" w:fill="auto"/>
            <w:vAlign w:val="center"/>
          </w:tcPr>
          <w:p w14:paraId="571D11F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9F7FB0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88ED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7D7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64BD394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7B9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因运输禁止运输、寄递或客户拒绝安全查验的物品，造成严重危害后果的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68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处五十万元罚款，报相关许可机关吊销有关证照或者撤销登记；并对其直接负责的主管人员和其他直接责任人员处十万元的罚款</w:t>
            </w:r>
          </w:p>
        </w:tc>
      </w:tr>
      <w:tr w14:paraId="76666BEF">
        <w:tblPrEx>
          <w:tblCellMar>
            <w:top w:w="0" w:type="dxa"/>
            <w:left w:w="108" w:type="dxa"/>
            <w:bottom w:w="0" w:type="dxa"/>
            <w:right w:w="108" w:type="dxa"/>
          </w:tblCellMar>
        </w:tblPrEx>
        <w:trPr>
          <w:trHeight w:val="1434"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1F9DBF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w:t>
            </w:r>
          </w:p>
        </w:tc>
        <w:tc>
          <w:tcPr>
            <w:tcW w:w="1656" w:type="dxa"/>
            <w:vMerge w:val="restart"/>
            <w:tcBorders>
              <w:top w:val="single" w:color="auto" w:sz="4" w:space="0"/>
              <w:left w:val="nil"/>
              <w:bottom w:val="single" w:color="auto" w:sz="4" w:space="0"/>
              <w:right w:val="single" w:color="000000" w:sz="4" w:space="0"/>
            </w:tcBorders>
            <w:shd w:val="clear" w:color="auto" w:fill="auto"/>
            <w:vAlign w:val="center"/>
          </w:tcPr>
          <w:p w14:paraId="643F784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水上物流运营单位未实行运输、寄递客户身份、物品信息登记制度</w:t>
            </w:r>
          </w:p>
        </w:tc>
        <w:tc>
          <w:tcPr>
            <w:tcW w:w="3030"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BFF0D7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《中华人民共和国反恐怖主义法》</w:t>
            </w:r>
          </w:p>
          <w:p w14:paraId="1C028B7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第二十条  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tc>
        <w:tc>
          <w:tcPr>
            <w:tcW w:w="313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601A513A">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《中华人民共和国反恐怖主义法》</w:t>
            </w:r>
          </w:p>
          <w:p w14:paraId="154CBB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第八十五条  铁路、公路、水上、航空的货运和邮政、快递等物流运营单位有下列情形之一的，由主管部门处十万元以上五十万元以下罚款，并对其直接负责的主管人员和其他直接责任人员处十万元以下罚款：（三）未实行运输、寄递客户身份、物品信息登记制度的。</w:t>
            </w:r>
          </w:p>
          <w:p w14:paraId="3E25BE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第九十三条  单位违反本法规定，情节严重的，由主管部门责令停止从事相关业务、提供相关服务或者责令停产停业；造成严重后果的，吊销有关证照或者撤销登记。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74B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064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首次</w:t>
            </w:r>
            <w:r>
              <w:rPr>
                <w:rFonts w:hint="eastAsia" w:asciiTheme="majorEastAsia" w:hAnsiTheme="majorEastAsia" w:eastAsiaTheme="majorEastAsia" w:cstheme="majorEastAsia"/>
                <w:b w:val="0"/>
                <w:bCs w:val="0"/>
                <w:color w:val="000000"/>
                <w:kern w:val="0"/>
                <w:sz w:val="18"/>
                <w:szCs w:val="18"/>
                <w:lang w:bidi="ar"/>
              </w:rPr>
              <w:t>违反信息登记制度，及时改正，没有造成危害后果的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A6E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处十万元以上少于二十万元的罚款，并对其直接负责的主管人员和其他直接责任人员处少于二万元罚款</w:t>
            </w:r>
          </w:p>
        </w:tc>
      </w:tr>
      <w:tr w14:paraId="08A35D9D">
        <w:tblPrEx>
          <w:tblCellMar>
            <w:top w:w="0" w:type="dxa"/>
            <w:left w:w="108" w:type="dxa"/>
            <w:bottom w:w="0" w:type="dxa"/>
            <w:right w:w="108" w:type="dxa"/>
          </w:tblCellMar>
        </w:tblPrEx>
        <w:trPr>
          <w:trHeight w:val="1318"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FAA3C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nil"/>
              <w:bottom w:val="single" w:color="auto" w:sz="4" w:space="0"/>
              <w:right w:val="single" w:color="000000" w:sz="4" w:space="0"/>
            </w:tcBorders>
            <w:shd w:val="clear" w:color="auto" w:fill="auto"/>
            <w:vAlign w:val="center"/>
          </w:tcPr>
          <w:p w14:paraId="179D0AF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CC21D9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50EA2D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5D0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32CB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再次</w:t>
            </w:r>
            <w:r>
              <w:rPr>
                <w:rFonts w:hint="eastAsia" w:asciiTheme="majorEastAsia" w:hAnsiTheme="majorEastAsia" w:eastAsiaTheme="majorEastAsia" w:cstheme="majorEastAsia"/>
                <w:b w:val="0"/>
                <w:bCs w:val="0"/>
                <w:color w:val="000000"/>
                <w:kern w:val="0"/>
                <w:sz w:val="18"/>
                <w:szCs w:val="18"/>
                <w:lang w:bidi="ar"/>
              </w:rPr>
              <w:t>违反信息登记制度，且尚未造成危害后果的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8AD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处二十万元以上少于三十万元的罚款，并对其直接负责的主管人员和其他直接责任人员处二万元以上少于五万元罚款</w:t>
            </w:r>
          </w:p>
        </w:tc>
      </w:tr>
      <w:tr w14:paraId="2426C7A0">
        <w:tblPrEx>
          <w:tblCellMar>
            <w:top w:w="0" w:type="dxa"/>
            <w:left w:w="108" w:type="dxa"/>
            <w:bottom w:w="0" w:type="dxa"/>
            <w:right w:w="108" w:type="dxa"/>
          </w:tblCellMar>
        </w:tblPrEx>
        <w:trPr>
          <w:trHeight w:val="1716"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59F84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nil"/>
              <w:bottom w:val="single" w:color="auto" w:sz="4" w:space="0"/>
              <w:right w:val="single" w:color="000000" w:sz="4" w:space="0"/>
            </w:tcBorders>
            <w:shd w:val="clear" w:color="auto" w:fill="auto"/>
            <w:vAlign w:val="center"/>
          </w:tcPr>
          <w:p w14:paraId="5D6E859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FE040F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B97890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846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1740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3次以上违反信息登记制度，没有造成</w:t>
            </w:r>
            <w:r>
              <w:rPr>
                <w:rFonts w:hint="eastAsia" w:asciiTheme="majorEastAsia" w:hAnsiTheme="majorEastAsia" w:eastAsiaTheme="majorEastAsia" w:cstheme="majorEastAsia"/>
                <w:b w:val="0"/>
                <w:bCs w:val="0"/>
                <w:color w:val="000000"/>
                <w:kern w:val="0"/>
                <w:sz w:val="18"/>
                <w:szCs w:val="18"/>
                <w:lang w:bidi="ar"/>
              </w:rPr>
              <w:t>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B6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责令其停止从事相关业务、提供相关服务或者责令停产停业三个月；处三十万元以上少于四十万元的罚款，并对其直接负责的主管人员和其他直接责任人员处五万元以上少于七万元的罚款</w:t>
            </w:r>
          </w:p>
        </w:tc>
      </w:tr>
      <w:tr w14:paraId="40F5277B">
        <w:tblPrEx>
          <w:tblCellMar>
            <w:top w:w="0" w:type="dxa"/>
            <w:left w:w="108" w:type="dxa"/>
            <w:bottom w:w="0" w:type="dxa"/>
            <w:right w:w="108" w:type="dxa"/>
          </w:tblCellMar>
        </w:tblPrEx>
        <w:trPr>
          <w:trHeight w:val="1702"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1D2C3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nil"/>
              <w:bottom w:val="single" w:color="auto" w:sz="4" w:space="0"/>
              <w:right w:val="single" w:color="000000" w:sz="4" w:space="0"/>
            </w:tcBorders>
            <w:shd w:val="clear" w:color="auto" w:fill="auto"/>
            <w:vAlign w:val="center"/>
          </w:tcPr>
          <w:p w14:paraId="505DDC0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56DBC3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CA7EFE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CF8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B7B8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因违反信息登记制度，造成了危害后果的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0E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报相关许可机关吊销有关证照或者撤销登记；处四十万元以上五十万元以下的罚款，并对其直接负责的主管人员和其他直接责任人员处七万元以上十万元以下的罚款</w:t>
            </w:r>
          </w:p>
        </w:tc>
      </w:tr>
      <w:tr w14:paraId="24987F4D">
        <w:tblPrEx>
          <w:tblCellMar>
            <w:top w:w="0" w:type="dxa"/>
            <w:left w:w="108" w:type="dxa"/>
            <w:bottom w:w="0" w:type="dxa"/>
            <w:right w:w="108" w:type="dxa"/>
          </w:tblCellMar>
        </w:tblPrEx>
        <w:trPr>
          <w:trHeight w:val="2186"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FD7ED4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4</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1BD15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水路旅客运输经营者或者其委托的船票销售单位、港口经营人未按相关规定对客户身份进行查验，或者对身份不明、拒绝身份查验的客户提供服务</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E2237E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1.《中华人民共和国反恐怖主义法》</w:t>
            </w:r>
          </w:p>
          <w:p w14:paraId="6446751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第二十条  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14:paraId="4CBDC91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前款规定的物流运营单位，应当实行运输、寄递客户身份、物品信息登记制度。</w:t>
            </w:r>
          </w:p>
          <w:p w14:paraId="66908C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第二十一条  电信、互联网、金融、住宿、长途客运、机动车租赁等业务经营者、服务提供者，应当对客户身份进行查验。对身份不明或者拒绝身份查验的，不得提供服务。</w:t>
            </w:r>
          </w:p>
          <w:p w14:paraId="444337D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US" w:eastAsia="zh-C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2.《水路旅客运输实名制管理规定》</w:t>
            </w:r>
            <w:r>
              <w:rPr>
                <w:rFonts w:hint="eastAsia" w:asciiTheme="majorEastAsia" w:hAnsiTheme="majorEastAsia" w:eastAsiaTheme="majorEastAsia" w:cstheme="majorEastAsia"/>
                <w:b/>
                <w:bCs/>
                <w:color w:val="000000"/>
                <w:kern w:val="0"/>
                <w:sz w:val="18"/>
                <w:szCs w:val="18"/>
                <w:lang w:val="en-US" w:eastAsia="zh-CN" w:bidi="ar"/>
              </w:rPr>
              <w:t>(</w:t>
            </w:r>
            <w:r>
              <w:rPr>
                <w:rFonts w:hint="eastAsia" w:asciiTheme="majorEastAsia" w:hAnsiTheme="majorEastAsia" w:eastAsiaTheme="majorEastAsia" w:cstheme="majorEastAsia"/>
                <w:b/>
                <w:bCs/>
                <w:color w:val="000000"/>
                <w:kern w:val="0"/>
                <w:sz w:val="18"/>
                <w:szCs w:val="18"/>
                <w:lang w:bidi="ar"/>
              </w:rPr>
              <w:t>交通运输部令2016年第77号</w:t>
            </w:r>
            <w:r>
              <w:rPr>
                <w:rFonts w:hint="eastAsia" w:asciiTheme="majorEastAsia" w:hAnsiTheme="majorEastAsia" w:eastAsiaTheme="majorEastAsia" w:cstheme="majorEastAsia"/>
                <w:b/>
                <w:bCs/>
                <w:color w:val="000000"/>
                <w:kern w:val="0"/>
                <w:sz w:val="18"/>
                <w:szCs w:val="18"/>
                <w:lang w:val="en-US" w:eastAsia="zh-CN" w:bidi="ar"/>
              </w:rPr>
              <w:t>)</w:t>
            </w:r>
          </w:p>
          <w:p w14:paraId="3FC947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第五条  实施实名售票的，购票人购票时应当提供乘船人的有效身份证件原件。通过互联网、电话等方式购票的，购票人应当提供真实准确的乘船人有效身份证件信息。</w:t>
            </w:r>
          </w:p>
          <w:p w14:paraId="023DCF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取票时，取票人应当提供乘船人的有效身份证件原件。</w:t>
            </w:r>
          </w:p>
          <w:p w14:paraId="65A0FB5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乘船人遗失船票的，经核实其身份信息后，水路旅客运输经营者或者其委托的船票销售单位应当免费为其补办船票。</w:t>
            </w:r>
          </w:p>
          <w:p w14:paraId="3ACA54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按规定可以免费乘船的儿童及其他人员，应当凭有效身份证件原件，向水路旅客运输经营者或者其委托的船票销售单位申领免费实名制船票。水路旅客运输经营者或者其委托的船票销售单位应当为其开具免费实名制船票，并如实记载乘船人身份信息。</w:t>
            </w:r>
          </w:p>
          <w:p w14:paraId="42B3341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第六条第二款  港口经营人应当在乘船人登船前，对乘船人进行实名查验并记录有关信息。对拒不提供本人有效身份证件原件或者票、人、证不一致的，不得允许其登船。水路旅客运输经营者或者其委托的船票销售单位应当提前为港口经营人提供包括售票信息在内的必要协助。</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9F8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1.《中华人民共和国反恐怖主义法》</w:t>
            </w:r>
          </w:p>
          <w:p w14:paraId="74894AD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第八十五条  铁路、公路、水上、航空的货运和邮政、快递等物流运营单位有下列情形之一的，由主管部门处十万元以上五十万元以下罚款，并对其直接负责的主管人员和其他直接责任人员处十万元以下罚款：</w:t>
            </w:r>
          </w:p>
          <w:p w14:paraId="4B525D0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（一）未实行安全查验制度，对客户身份进行查验，或者未依照规定对运输、寄递物品进行安全检查或者开封验视的；</w:t>
            </w:r>
          </w:p>
          <w:p w14:paraId="3A5CC49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第九十三条  单位违反本法规定，情节严重的，由主管部门责令停止从事相关业务、提供相关服务或者责令停产停业三个月；造成严重后果的，吊销有关证照或者撤销登记。</w:t>
            </w:r>
          </w:p>
          <w:p w14:paraId="71DF9B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default" w:asciiTheme="majorEastAsia" w:hAnsiTheme="majorEastAsia" w:eastAsiaTheme="majorEastAsia" w:cstheme="majorEastAsia"/>
                <w:b/>
                <w:bCs/>
                <w:color w:val="000000"/>
                <w:kern w:val="0"/>
                <w:sz w:val="18"/>
                <w:szCs w:val="18"/>
                <w:lang w:val="en" w:bidi="ar"/>
              </w:rPr>
              <w:t>《水路旅客运输实名制管理规定》(交通运输部令2016年第77号)</w:t>
            </w: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第十三条  水路旅客运输经营者或者其委托的船票销售单位、港口经营人未按本规定第五条、第六条规定对客户身份进行查验，或者对身份不明、拒绝身份查验的客户提供服务的，由所在地县级以上地方人民政府负责水路运输管理的部门或者机构、港口行政管理部门按照职责分工责令限期改正，处十万元以上五十万元以下罚款，并对其直接负责的主管人员和其他直接责任人员处十万元以下罚款。</w:t>
            </w:r>
          </w:p>
          <w:p w14:paraId="75AA06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第十四条  水路旅客运输经营者或者其委托的船票销售单位、港口经营人经限期改正后仍不按本规定第五条、第六条规定对客户身份进行查验，或者对身份不明、拒绝身份查验的客户提供服务，情节严重的，由所在地县级以上地方人民政府负责水路运输管理的部门或者机构、港口行政管理部门按照职责分工责令其停止从事相关水路旅客运输、港口经营或者船票销售业务；造成严重后果的，由原许可机关吊销有关水路旅客运输经营许可证件或者港口经营许可证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DC4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BB0B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水路旅客运输经营者或者其委托的船票销售单位、港口经营人</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000000"/>
                <w:kern w:val="0"/>
                <w:sz w:val="18"/>
                <w:szCs w:val="18"/>
                <w:lang w:bidi="ar"/>
              </w:rPr>
              <w:t>未按本规定第五条、第六条规定对客户身份进行查验，或者对身份不明、拒绝身份查验的客户提供服务的，未造成严重危害后果的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541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处十万元以上少于十五万元的罚款，并对其直接负责的主管人员和其他直接负责人员处二万元罚款。</w:t>
            </w:r>
          </w:p>
        </w:tc>
      </w:tr>
      <w:tr w14:paraId="038C85B4">
        <w:tblPrEx>
          <w:tblCellMar>
            <w:top w:w="0" w:type="dxa"/>
            <w:left w:w="108" w:type="dxa"/>
            <w:bottom w:w="0" w:type="dxa"/>
            <w:right w:w="108" w:type="dxa"/>
          </w:tblCellMar>
        </w:tblPrEx>
        <w:trPr>
          <w:trHeight w:val="1863"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73F73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A1E8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70448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25F0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BEA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EE5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一个自然年度内在本省两次</w:t>
            </w:r>
            <w:r>
              <w:rPr>
                <w:rFonts w:hint="eastAsia" w:asciiTheme="majorEastAsia" w:hAnsiTheme="majorEastAsia" w:eastAsiaTheme="majorEastAsia" w:cstheme="majorEastAsia"/>
                <w:b w:val="0"/>
                <w:bCs w:val="0"/>
                <w:color w:val="000000"/>
                <w:kern w:val="0"/>
                <w:sz w:val="18"/>
                <w:szCs w:val="18"/>
                <w:lang w:bidi="ar"/>
              </w:rPr>
              <w:t>未按本规定对客户身份进行查验，或者对身份不明、拒绝身份查验的客户提供服务的，拒不改正，情节严重的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4E6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处十五万元以上少于二十五万元的罚款，并对其直接负责的主管人员和其他直接负责人员处四万元罚款</w:t>
            </w:r>
          </w:p>
        </w:tc>
      </w:tr>
      <w:tr w14:paraId="795689BC">
        <w:tblPrEx>
          <w:tblCellMar>
            <w:top w:w="0" w:type="dxa"/>
            <w:left w:w="108" w:type="dxa"/>
            <w:bottom w:w="0" w:type="dxa"/>
            <w:right w:w="108" w:type="dxa"/>
          </w:tblCellMar>
        </w:tblPrEx>
        <w:trPr>
          <w:trHeight w:val="2114"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5DAE4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DEA2A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17AB7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EAA3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A6D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AAD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w:t>
            </w:r>
            <w:r>
              <w:rPr>
                <w:rFonts w:hint="eastAsia" w:asciiTheme="majorEastAsia" w:hAnsiTheme="majorEastAsia" w:eastAsiaTheme="majorEastAsia" w:cstheme="majorEastAsia"/>
                <w:b w:val="0"/>
                <w:bCs w:val="0"/>
                <w:color w:val="000000"/>
                <w:kern w:val="0"/>
                <w:sz w:val="18"/>
                <w:szCs w:val="18"/>
                <w:lang w:eastAsia="zh-CN" w:bidi="ar"/>
              </w:rPr>
              <w:t>在本省</w:t>
            </w:r>
            <w:r>
              <w:rPr>
                <w:rFonts w:hint="eastAsia" w:asciiTheme="majorEastAsia" w:hAnsiTheme="majorEastAsia" w:eastAsiaTheme="majorEastAsia" w:cstheme="majorEastAsia"/>
                <w:b w:val="0"/>
                <w:bCs w:val="0"/>
                <w:color w:val="000000"/>
                <w:kern w:val="0"/>
                <w:sz w:val="18"/>
                <w:szCs w:val="18"/>
                <w:lang w:val="en-US" w:eastAsia="zh-CN" w:bidi="ar"/>
              </w:rPr>
              <w:t>3次以上</w:t>
            </w:r>
            <w:r>
              <w:rPr>
                <w:rFonts w:hint="eastAsia" w:asciiTheme="majorEastAsia" w:hAnsiTheme="majorEastAsia" w:eastAsiaTheme="majorEastAsia" w:cstheme="majorEastAsia"/>
                <w:b w:val="0"/>
                <w:bCs w:val="0"/>
                <w:color w:val="000000"/>
                <w:kern w:val="0"/>
                <w:sz w:val="18"/>
                <w:szCs w:val="18"/>
                <w:lang w:bidi="ar"/>
              </w:rPr>
              <w:t>未按本规定对客户身份进行查验，或者对身份不明、拒绝身份查验的客户提供服务的，或造成严重后果的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B2A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处二十五万元以上少于四十万元的罚款，并对其直接负责的主管人员和其他直接负责人员处八万元罚款；情节严重的，责令停产停业三个月</w:t>
            </w:r>
          </w:p>
        </w:tc>
      </w:tr>
      <w:tr w14:paraId="1898C42A">
        <w:tblPrEx>
          <w:tblCellMar>
            <w:top w:w="0" w:type="dxa"/>
            <w:left w:w="108" w:type="dxa"/>
            <w:bottom w:w="0" w:type="dxa"/>
            <w:right w:w="108" w:type="dxa"/>
          </w:tblCellMar>
        </w:tblPrEx>
        <w:trPr>
          <w:trHeight w:val="623"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91F6A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76487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B169E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44E9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EEC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6C18F0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4A3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拒不改正，且由此造成重大事故影响恶劣的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66B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处四十万元以上五十万元以下罚款，并对其直接负责的主管人员和其他直接负责人员处十万元罚款，由原许可机关吊销有关水路旅客运输经营许可证件或者港口经营许可证件</w:t>
            </w:r>
          </w:p>
        </w:tc>
      </w:tr>
      <w:tr w14:paraId="670722E3">
        <w:tblPrEx>
          <w:tblCellMar>
            <w:top w:w="0" w:type="dxa"/>
            <w:left w:w="108" w:type="dxa"/>
            <w:bottom w:w="0" w:type="dxa"/>
            <w:right w:w="108" w:type="dxa"/>
          </w:tblCellMar>
        </w:tblPrEx>
        <w:trPr>
          <w:trHeight w:val="1116"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12F03B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5</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0F70E0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擅自经营或者超越许可范围经营水路运输业务或者国内船舶管理业务</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28B3F78">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《国内水路运输管理条例》</w:t>
            </w:r>
          </w:p>
          <w:p w14:paraId="7FE3AB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第八条</w:t>
            </w:r>
            <w:r>
              <w:rPr>
                <w:rFonts w:hint="eastAsia" w:asciiTheme="majorEastAsia" w:hAnsiTheme="majorEastAsia" w:eastAsiaTheme="majorEastAsia" w:cstheme="majorEastAsia"/>
                <w:b w:val="0"/>
                <w:bCs w:val="0"/>
                <w:color w:val="auto"/>
                <w:kern w:val="0"/>
                <w:sz w:val="18"/>
                <w:szCs w:val="18"/>
                <w:lang w:bidi="ar"/>
              </w:rPr>
              <w:t>第一款</w:t>
            </w:r>
            <w:r>
              <w:rPr>
                <w:rFonts w:hint="eastAsia" w:asciiTheme="majorEastAsia" w:hAnsiTheme="majorEastAsia" w:eastAsiaTheme="majorEastAsia" w:cstheme="majorEastAsia"/>
                <w:color w:val="000000"/>
                <w:kern w:val="0"/>
                <w:sz w:val="18"/>
                <w:szCs w:val="18"/>
                <w:lang w:bidi="ar"/>
              </w:rPr>
              <w:t xml:space="preserve">  经营水路运输业务，应当按照国务院交通运输主管部门的规定，经国务院交通运输主管部门或者设区的市级以上地方人民政府负责水路运输管理的部门批准。</w:t>
            </w:r>
          </w:p>
          <w:p w14:paraId="2538F21B">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第十三条  水路运输经营者投入运营的船舶应当符合下列条件：</w:t>
            </w:r>
          </w:p>
          <w:p w14:paraId="1FDAAB75">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(一)与经营者的经营范围相适应；</w:t>
            </w:r>
          </w:p>
          <w:p w14:paraId="70A3FBD5">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第十七条  水路运输经营者应当在依法取得许可的经营范围内从事水路运输经营。</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C45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6D3D3E1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第三十三条  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B99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F02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eastAsia="zh-CN"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一个自然年度内首次实施违法行为，</w:t>
            </w:r>
            <w:r>
              <w:rPr>
                <w:rFonts w:hint="eastAsia" w:asciiTheme="majorEastAsia" w:hAnsiTheme="majorEastAsia" w:eastAsiaTheme="majorEastAsia" w:cstheme="majorEastAsia"/>
                <w:b w:val="0"/>
                <w:bCs w:val="0"/>
                <w:color w:val="auto"/>
                <w:kern w:val="0"/>
                <w:sz w:val="18"/>
                <w:szCs w:val="18"/>
                <w:lang w:bidi="ar"/>
              </w:rPr>
              <w:t>且积极配合调查取证</w:t>
            </w:r>
            <w:r>
              <w:rPr>
                <w:rFonts w:hint="eastAsia" w:asciiTheme="majorEastAsia" w:hAnsiTheme="majorEastAsia" w:eastAsiaTheme="majorEastAsia" w:cstheme="majorEastAsia"/>
                <w:b w:val="0"/>
                <w:bCs w:val="0"/>
                <w:color w:val="auto"/>
                <w:kern w:val="0"/>
                <w:sz w:val="18"/>
                <w:szCs w:val="18"/>
                <w:lang w:eastAsia="zh-CN" w:bidi="ar"/>
              </w:rPr>
              <w:t>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074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没收违法所得，并处违法所得一倍的罚款；没有违法所得或者违法所得不足三万元的，处三万元以上少于五万元的罚款</w:t>
            </w:r>
          </w:p>
        </w:tc>
      </w:tr>
      <w:tr w14:paraId="54F6AC66">
        <w:tblPrEx>
          <w:tblCellMar>
            <w:top w:w="0" w:type="dxa"/>
            <w:left w:w="108" w:type="dxa"/>
            <w:bottom w:w="0" w:type="dxa"/>
            <w:right w:w="108" w:type="dxa"/>
          </w:tblCellMar>
        </w:tblPrEx>
        <w:trPr>
          <w:trHeight w:val="126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A31F6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C0F08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90224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CB02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3AC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98E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首次</w:t>
            </w:r>
            <w:r>
              <w:rPr>
                <w:rFonts w:hint="eastAsia" w:asciiTheme="majorEastAsia" w:hAnsiTheme="majorEastAsia" w:eastAsiaTheme="majorEastAsia" w:cstheme="majorEastAsia"/>
                <w:b w:val="0"/>
                <w:bCs w:val="0"/>
                <w:color w:val="auto"/>
                <w:kern w:val="0"/>
                <w:sz w:val="18"/>
                <w:szCs w:val="18"/>
                <w:lang w:val="en-US" w:eastAsia="zh-CN" w:bidi="ar"/>
              </w:rPr>
              <w:t>实施违法行为</w:t>
            </w:r>
            <w:r>
              <w:rPr>
                <w:rFonts w:hint="eastAsia" w:asciiTheme="majorEastAsia" w:hAnsiTheme="majorEastAsia" w:eastAsiaTheme="majorEastAsia" w:cstheme="majorEastAsia"/>
                <w:b w:val="0"/>
                <w:bCs w:val="0"/>
                <w:color w:val="auto"/>
                <w:kern w:val="0"/>
                <w:sz w:val="18"/>
                <w:szCs w:val="18"/>
                <w:lang w:bidi="ar"/>
              </w:rPr>
              <w:t>被查到后，不配合、逃避、拒绝调查取证</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0A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没收违法所得，并处违法所得二倍的罚款；没有违法所得或者违法所得不足三万元的，处五万元以上少于七万元的罚款</w:t>
            </w:r>
          </w:p>
        </w:tc>
      </w:tr>
      <w:tr w14:paraId="604BAC1F">
        <w:tblPrEx>
          <w:tblCellMar>
            <w:top w:w="0" w:type="dxa"/>
            <w:left w:w="108" w:type="dxa"/>
            <w:bottom w:w="0" w:type="dxa"/>
            <w:right w:w="108" w:type="dxa"/>
          </w:tblCellMar>
        </w:tblPrEx>
        <w:trPr>
          <w:trHeight w:val="1394"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9F678B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1B0A5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5871E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802C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BAF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3CCB7C5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w:t>
            </w:r>
            <w:r>
              <w:rPr>
                <w:rFonts w:hint="eastAsia" w:asciiTheme="majorEastAsia" w:hAnsiTheme="majorEastAsia" w:eastAsiaTheme="majorEastAsia" w:cstheme="majorEastAsia"/>
                <w:b w:val="0"/>
                <w:bCs w:val="0"/>
                <w:color w:val="auto"/>
                <w:kern w:val="0"/>
                <w:sz w:val="18"/>
                <w:szCs w:val="18"/>
                <w:lang w:bidi="ar"/>
              </w:rPr>
              <w:t>次</w:t>
            </w:r>
            <w:r>
              <w:rPr>
                <w:rFonts w:hint="eastAsia" w:asciiTheme="majorEastAsia" w:hAnsiTheme="majorEastAsia" w:eastAsiaTheme="majorEastAsia" w:cstheme="majorEastAsia"/>
                <w:b w:val="0"/>
                <w:bCs w:val="0"/>
                <w:color w:val="auto"/>
                <w:kern w:val="0"/>
                <w:sz w:val="18"/>
                <w:szCs w:val="18"/>
                <w:lang w:eastAsia="zh-CN" w:bidi="ar"/>
              </w:rPr>
              <w:t>实施违法行为的</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6CCE30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没收违法所得，并处违法所得一到二倍的罚款；没有违法所得或者违法所得不足三万元的，处七万以上少于九万元的罚款</w:t>
            </w:r>
          </w:p>
        </w:tc>
      </w:tr>
      <w:tr w14:paraId="0BF7D8B5">
        <w:tblPrEx>
          <w:tblCellMar>
            <w:top w:w="0" w:type="dxa"/>
            <w:left w:w="108" w:type="dxa"/>
            <w:bottom w:w="0" w:type="dxa"/>
            <w:right w:w="108" w:type="dxa"/>
          </w:tblCellMar>
        </w:tblPrEx>
        <w:trPr>
          <w:trHeight w:val="9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8D711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F269C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74FEF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F5E7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auto" w:sz="4" w:space="0"/>
            </w:tcBorders>
            <w:shd w:val="clear" w:color="auto" w:fill="auto"/>
            <w:vAlign w:val="center"/>
          </w:tcPr>
          <w:p w14:paraId="43B7B9A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C798A7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第三次</w:t>
            </w:r>
            <w:r>
              <w:rPr>
                <w:rFonts w:hint="eastAsia" w:asciiTheme="majorEastAsia" w:hAnsiTheme="majorEastAsia" w:eastAsiaTheme="majorEastAsia" w:cstheme="majorEastAsia"/>
                <w:b w:val="0"/>
                <w:bCs w:val="0"/>
                <w:color w:val="auto"/>
                <w:kern w:val="0"/>
                <w:sz w:val="18"/>
                <w:szCs w:val="18"/>
                <w:lang w:eastAsia="zh-CN" w:bidi="ar"/>
              </w:rPr>
              <w:t>实施违法行为的</w:t>
            </w:r>
            <w:r>
              <w:rPr>
                <w:rFonts w:hint="eastAsia" w:asciiTheme="majorEastAsia" w:hAnsiTheme="majorEastAsia" w:eastAsiaTheme="majorEastAsia" w:cstheme="majorEastAsia"/>
                <w:b w:val="0"/>
                <w:bCs w:val="0"/>
                <w:color w:val="auto"/>
                <w:kern w:val="0"/>
                <w:sz w:val="18"/>
                <w:szCs w:val="18"/>
                <w:lang w:val="en-US" w:eastAsia="zh-CN" w:bidi="ar"/>
              </w:rPr>
              <w:t xml:space="preserve"> </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55891F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没收违法所得，并处违法所得一到二倍的罚款；没有违法所得或者违法所得不足三万元的，处七万以上少于九万元的罚款</w:t>
            </w:r>
          </w:p>
        </w:tc>
      </w:tr>
      <w:tr w14:paraId="1DE97CAE">
        <w:tblPrEx>
          <w:tblCellMar>
            <w:top w:w="0" w:type="dxa"/>
            <w:left w:w="108" w:type="dxa"/>
            <w:bottom w:w="0" w:type="dxa"/>
            <w:right w:w="108" w:type="dxa"/>
          </w:tblCellMar>
        </w:tblPrEx>
        <w:trPr>
          <w:trHeight w:val="1144" w:hRule="atLeast"/>
        </w:trPr>
        <w:tc>
          <w:tcPr>
            <w:tcW w:w="588" w:type="dxa"/>
            <w:vMerge w:val="continue"/>
            <w:tcBorders>
              <w:left w:val="single" w:color="000000" w:sz="4" w:space="0"/>
              <w:bottom w:val="single" w:color="auto" w:sz="4" w:space="0"/>
              <w:right w:val="single" w:color="000000" w:sz="4" w:space="0"/>
            </w:tcBorders>
            <w:shd w:val="clear" w:color="auto" w:fill="auto"/>
            <w:vAlign w:val="center"/>
          </w:tcPr>
          <w:p w14:paraId="0CC1867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sz w:val="18"/>
                <w:szCs w:val="18"/>
              </w:rPr>
            </w:pPr>
          </w:p>
        </w:tc>
        <w:tc>
          <w:tcPr>
            <w:tcW w:w="1656" w:type="dxa"/>
            <w:vMerge w:val="continue"/>
            <w:tcBorders>
              <w:left w:val="single" w:color="000000" w:sz="4" w:space="0"/>
              <w:bottom w:val="single" w:color="auto" w:sz="4" w:space="0"/>
              <w:right w:val="single" w:color="000000" w:sz="4" w:space="0"/>
            </w:tcBorders>
            <w:shd w:val="clear" w:color="auto" w:fill="auto"/>
            <w:vAlign w:val="center"/>
          </w:tcPr>
          <w:p w14:paraId="1C55E4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sz w:val="18"/>
                <w:szCs w:val="18"/>
              </w:rPr>
            </w:pPr>
          </w:p>
        </w:tc>
        <w:tc>
          <w:tcPr>
            <w:tcW w:w="3030" w:type="dxa"/>
            <w:vMerge w:val="continue"/>
            <w:tcBorders>
              <w:left w:val="single" w:color="000000" w:sz="4" w:space="0"/>
              <w:bottom w:val="single" w:color="auto" w:sz="4" w:space="0"/>
              <w:right w:val="single" w:color="000000" w:sz="4" w:space="0"/>
            </w:tcBorders>
            <w:shd w:val="clear" w:color="auto" w:fill="auto"/>
            <w:vAlign w:val="center"/>
          </w:tcPr>
          <w:p w14:paraId="2FB76EF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sz w:val="18"/>
                <w:szCs w:val="18"/>
              </w:rPr>
            </w:pPr>
          </w:p>
        </w:tc>
        <w:tc>
          <w:tcPr>
            <w:tcW w:w="3135" w:type="dxa"/>
            <w:vMerge w:val="continue"/>
            <w:tcBorders>
              <w:left w:val="single" w:color="000000" w:sz="4" w:space="0"/>
              <w:bottom w:val="single" w:color="000000" w:sz="4" w:space="0"/>
              <w:right w:val="single" w:color="000000" w:sz="4" w:space="0"/>
            </w:tcBorders>
            <w:shd w:val="clear" w:color="auto" w:fill="auto"/>
            <w:vAlign w:val="center"/>
          </w:tcPr>
          <w:p w14:paraId="24A65A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sz w:val="18"/>
                <w:szCs w:val="18"/>
              </w:rPr>
            </w:pPr>
          </w:p>
        </w:tc>
        <w:tc>
          <w:tcPr>
            <w:tcW w:w="780" w:type="dxa"/>
            <w:tcBorders>
              <w:top w:val="single" w:color="000000" w:sz="4" w:space="0"/>
              <w:left w:val="single" w:color="000000" w:sz="4" w:space="0"/>
              <w:bottom w:val="single" w:color="000000" w:sz="4" w:space="0"/>
              <w:right w:val="single" w:color="auto" w:sz="4" w:space="0"/>
            </w:tcBorders>
            <w:shd w:val="clear" w:color="auto" w:fill="auto"/>
            <w:vAlign w:val="center"/>
          </w:tcPr>
          <w:p w14:paraId="17FE649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特别</w:t>
            </w:r>
          </w:p>
          <w:p w14:paraId="12B967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FF0000"/>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16AE25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四</w:t>
            </w:r>
            <w:r>
              <w:rPr>
                <w:rFonts w:hint="eastAsia" w:asciiTheme="majorEastAsia" w:hAnsiTheme="majorEastAsia" w:eastAsiaTheme="majorEastAsia" w:cstheme="majorEastAsia"/>
                <w:b w:val="0"/>
                <w:bCs w:val="0"/>
                <w:color w:val="auto"/>
                <w:kern w:val="0"/>
                <w:sz w:val="18"/>
                <w:szCs w:val="18"/>
                <w:lang w:bidi="ar"/>
              </w:rPr>
              <w:t>次</w:t>
            </w:r>
            <w:r>
              <w:rPr>
                <w:rFonts w:hint="eastAsia" w:asciiTheme="majorEastAsia" w:hAnsiTheme="majorEastAsia" w:eastAsiaTheme="majorEastAsia" w:cstheme="majorEastAsia"/>
                <w:b w:val="0"/>
                <w:bCs w:val="0"/>
                <w:color w:val="auto"/>
                <w:kern w:val="0"/>
                <w:sz w:val="18"/>
                <w:szCs w:val="18"/>
                <w:lang w:eastAsia="zh-CN" w:bidi="ar"/>
              </w:rPr>
              <w:t>以上实施违法行为的</w:t>
            </w:r>
            <w:r>
              <w:rPr>
                <w:rFonts w:hint="eastAsia" w:asciiTheme="majorEastAsia" w:hAnsiTheme="majorEastAsia" w:eastAsiaTheme="majorEastAsia" w:cstheme="majorEastAsia"/>
                <w:b w:val="0"/>
                <w:bCs w:val="0"/>
                <w:color w:val="auto"/>
                <w:kern w:val="0"/>
                <w:sz w:val="18"/>
                <w:szCs w:val="18"/>
                <w:lang w:val="en-US" w:eastAsia="zh-CN" w:bidi="ar"/>
              </w:rPr>
              <w:t xml:space="preserve"> </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63CAFF3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sz w:val="18"/>
                <w:szCs w:val="18"/>
              </w:rPr>
              <w:t>没收违法所得，并处违法所得三到五倍的罚款；没有违法所得或者违法所得不足三万元的，处九万元以上十五万元以下的罚款</w:t>
            </w:r>
          </w:p>
        </w:tc>
      </w:tr>
      <w:tr w14:paraId="6BD76FB1">
        <w:tblPrEx>
          <w:tblCellMar>
            <w:top w:w="0" w:type="dxa"/>
            <w:left w:w="108" w:type="dxa"/>
            <w:bottom w:w="0" w:type="dxa"/>
            <w:right w:w="108" w:type="dxa"/>
          </w:tblCellMar>
        </w:tblPrEx>
        <w:trPr>
          <w:trHeight w:val="1232"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C01DE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6</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EC0EBA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水路运输经营者使用未取得船舶营运证件的船舶从事水路运输</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F37C0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1.《国内水路运输管理条例》</w:t>
            </w:r>
          </w:p>
          <w:p w14:paraId="450A711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第十四条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第一款</w:t>
            </w:r>
            <w:r>
              <w:rPr>
                <w:rFonts w:hint="eastAsia" w:asciiTheme="majorEastAsia" w:hAnsiTheme="majorEastAsia" w:eastAsiaTheme="majorEastAsia" w:cstheme="majorEastAsia"/>
                <w:color w:val="000000"/>
                <w:kern w:val="0"/>
                <w:sz w:val="18"/>
                <w:szCs w:val="18"/>
                <w:lang w:bidi="ar"/>
              </w:rPr>
              <w:t xml:space="preserve">  水路运输经营者新增船舶投入运营的，应当凭水路运输业务经营许可证件、船舶登记证书和检验证书向国务院交通运输主管部门或者设区的市级以上地方人民政府负责水路运输管理的部门领取船舶营运证件。</w:t>
            </w:r>
          </w:p>
          <w:p w14:paraId="1BF0DCDE">
            <w:pPr>
              <w:keepNext w:val="0"/>
              <w:keepLines w:val="0"/>
              <w:pageBreakBefore w:val="0"/>
              <w:widowControl/>
              <w:kinsoku/>
              <w:wordWrap/>
              <w:overflowPunct/>
              <w:topLinePunct w:val="0"/>
              <w:autoSpaceDE/>
              <w:autoSpaceDN/>
              <w:bidi w:val="0"/>
              <w:adjustRightInd/>
              <w:snapToGrid/>
              <w:spacing w:line="240" w:lineRule="exact"/>
              <w:ind w:firstLine="450" w:firstLineChars="25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第十四条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第三款</w:t>
            </w: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海事管理机构在现场监督检查时，发现从事水路运输的船舶不能提供有效的船舶营运证件的，应当通知有关主管部门依法处理。</w:t>
            </w:r>
          </w:p>
          <w:p w14:paraId="6644A3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val="en" w:eastAsia="zh-C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default" w:asciiTheme="majorEastAsia" w:hAnsiTheme="majorEastAsia" w:eastAsiaTheme="majorEastAsia" w:cstheme="majorEastAsia"/>
                <w:b/>
                <w:bCs/>
                <w:color w:val="000000"/>
                <w:kern w:val="0"/>
                <w:sz w:val="18"/>
                <w:szCs w:val="18"/>
                <w:lang w:val="en" w:bidi="ar"/>
              </w:rPr>
              <w:t>《老旧运输船舶管理规定》</w:t>
            </w:r>
            <w:r>
              <w:rPr>
                <w:rFonts w:hint="eastAsia" w:asciiTheme="majorEastAsia" w:hAnsiTheme="majorEastAsia" w:eastAsiaTheme="majorEastAsia" w:cstheme="majorEastAsia"/>
                <w:b/>
                <w:bCs/>
                <w:color w:val="000000"/>
                <w:kern w:val="0"/>
                <w:sz w:val="18"/>
                <w:szCs w:val="18"/>
                <w:lang w:val="en" w:eastAsia="zh-CN" w:bidi="ar"/>
              </w:rPr>
              <w:t>（</w:t>
            </w:r>
            <w:r>
              <w:rPr>
                <w:rFonts w:hint="default" w:asciiTheme="majorEastAsia" w:hAnsiTheme="majorEastAsia" w:eastAsiaTheme="majorEastAsia" w:cstheme="majorEastAsia"/>
                <w:b/>
                <w:bCs/>
                <w:color w:val="000000"/>
                <w:kern w:val="0"/>
                <w:sz w:val="18"/>
                <w:szCs w:val="18"/>
                <w:lang w:val="en" w:bidi="ar"/>
              </w:rPr>
              <w:t>交通运输部令2021年第13号</w:t>
            </w:r>
            <w:r>
              <w:rPr>
                <w:rFonts w:hint="eastAsia" w:asciiTheme="majorEastAsia" w:hAnsiTheme="majorEastAsia" w:eastAsiaTheme="majorEastAsia" w:cstheme="majorEastAsia"/>
                <w:b/>
                <w:bCs/>
                <w:color w:val="000000"/>
                <w:kern w:val="0"/>
                <w:sz w:val="18"/>
                <w:szCs w:val="18"/>
                <w:lang w:val="en" w:eastAsia="zh-CN" w:bidi="ar"/>
              </w:rPr>
              <w:t>）</w:t>
            </w:r>
          </w:p>
          <w:p w14:paraId="453740A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第十三条第（四）项  购置外国籍船舶或者以光船租赁条件租赁外国籍船舶取得船舶国籍证书或者光船租赁登记证明书及临时船舶国籍证书后，经营国内水路运输的，应当按有关规定申领并取得船舶营运证；经营国际运输的，于投入运营前十五日向交通运输部备案。交通运输部应当自收到备案材料之日起3日内出具备案证明书。</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B4D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p>
          <w:p w14:paraId="0B726F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3AC6767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0000FF"/>
                <w:kern w:val="0"/>
                <w:sz w:val="18"/>
                <w:szCs w:val="18"/>
                <w:lang w:bidi="ar"/>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w:t>
            </w:r>
            <w:r>
              <w:rPr>
                <w:rFonts w:hint="eastAsia" w:asciiTheme="majorEastAsia" w:hAnsiTheme="majorEastAsia" w:eastAsiaTheme="majorEastAsia" w:cstheme="majorEastAsia"/>
                <w:color w:val="000000"/>
                <w:kern w:val="0"/>
                <w:sz w:val="18"/>
                <w:szCs w:val="18"/>
                <w:lang w:bidi="ar"/>
              </w:rPr>
              <w:t xml:space="preserve"> 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CA4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auto" w:sz="4" w:space="0"/>
              <w:left w:val="single" w:color="000000" w:sz="4" w:space="0"/>
              <w:bottom w:val="single" w:color="000000" w:sz="4" w:space="0"/>
              <w:right w:val="single" w:color="000000" w:sz="4" w:space="0"/>
            </w:tcBorders>
            <w:shd w:val="clear" w:color="auto" w:fill="auto"/>
            <w:vAlign w:val="center"/>
          </w:tcPr>
          <w:p w14:paraId="26581A0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首次</w:t>
            </w:r>
            <w:r>
              <w:rPr>
                <w:rFonts w:hint="eastAsia" w:asciiTheme="majorEastAsia" w:hAnsiTheme="majorEastAsia" w:eastAsiaTheme="majorEastAsia" w:cstheme="majorEastAsia"/>
                <w:b w:val="0"/>
                <w:bCs w:val="0"/>
                <w:color w:val="auto"/>
                <w:kern w:val="0"/>
                <w:sz w:val="18"/>
                <w:szCs w:val="18"/>
                <w:lang w:val="en-US" w:eastAsia="zh-CN" w:bidi="ar"/>
              </w:rPr>
              <w:t>实施违法行为</w:t>
            </w:r>
            <w:r>
              <w:rPr>
                <w:rFonts w:hint="eastAsia" w:asciiTheme="majorEastAsia" w:hAnsiTheme="majorEastAsia" w:eastAsiaTheme="majorEastAsia" w:cstheme="majorEastAsia"/>
                <w:b w:val="0"/>
                <w:bCs w:val="0"/>
                <w:color w:val="auto"/>
                <w:kern w:val="0"/>
                <w:sz w:val="18"/>
                <w:szCs w:val="18"/>
                <w:lang w:bidi="ar"/>
              </w:rPr>
              <w:t>且积极配合调查取证</w:t>
            </w:r>
            <w:r>
              <w:rPr>
                <w:rFonts w:hint="eastAsia" w:asciiTheme="majorEastAsia" w:hAnsiTheme="majorEastAsia" w:eastAsiaTheme="majorEastAsia" w:cstheme="majorEastAsia"/>
                <w:b w:val="0"/>
                <w:bCs w:val="0"/>
                <w:color w:val="auto"/>
                <w:kern w:val="0"/>
                <w:sz w:val="18"/>
                <w:szCs w:val="18"/>
                <w:lang w:eastAsia="zh-CN" w:bidi="ar"/>
              </w:rPr>
              <w:t>的</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0A489F4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没收违法所得，并处违法所得一倍的罚款；没有违法所得或者违法所得不足二万元的，处二万元以上少于三万五千元的罚款</w:t>
            </w:r>
          </w:p>
        </w:tc>
      </w:tr>
      <w:tr w14:paraId="0AA645F3">
        <w:tblPrEx>
          <w:tblCellMar>
            <w:top w:w="0" w:type="dxa"/>
            <w:left w:w="108" w:type="dxa"/>
            <w:bottom w:w="0" w:type="dxa"/>
            <w:right w:w="108" w:type="dxa"/>
          </w:tblCellMar>
        </w:tblPrEx>
        <w:trPr>
          <w:trHeight w:val="1458"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E26EB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59FB3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B3332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346E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E53C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747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首次</w:t>
            </w:r>
            <w:r>
              <w:rPr>
                <w:rFonts w:hint="eastAsia" w:asciiTheme="majorEastAsia" w:hAnsiTheme="majorEastAsia" w:eastAsiaTheme="majorEastAsia" w:cstheme="majorEastAsia"/>
                <w:b w:val="0"/>
                <w:bCs w:val="0"/>
                <w:color w:val="auto"/>
                <w:kern w:val="0"/>
                <w:sz w:val="18"/>
                <w:szCs w:val="18"/>
                <w:lang w:val="en-US" w:eastAsia="zh-CN" w:bidi="ar"/>
              </w:rPr>
              <w:t>实施违法行为</w:t>
            </w:r>
            <w:r>
              <w:rPr>
                <w:rFonts w:hint="eastAsia" w:asciiTheme="majorEastAsia" w:hAnsiTheme="majorEastAsia" w:eastAsiaTheme="majorEastAsia" w:cstheme="majorEastAsia"/>
                <w:b w:val="0"/>
                <w:bCs w:val="0"/>
                <w:color w:val="auto"/>
                <w:kern w:val="0"/>
                <w:sz w:val="18"/>
                <w:szCs w:val="18"/>
                <w:lang w:bidi="ar"/>
              </w:rPr>
              <w:t>后，不配合、逃避、拒绝调查取证</w:t>
            </w:r>
            <w:r>
              <w:rPr>
                <w:rFonts w:hint="eastAsia" w:asciiTheme="majorEastAsia" w:hAnsiTheme="majorEastAsia" w:eastAsiaTheme="majorEastAsia" w:cstheme="majorEastAsia"/>
                <w:b w:val="0"/>
                <w:bCs w:val="0"/>
                <w:color w:val="auto"/>
                <w:kern w:val="0"/>
                <w:sz w:val="18"/>
                <w:szCs w:val="18"/>
                <w:lang w:eastAsia="zh-CN" w:bidi="ar"/>
              </w:rPr>
              <w:t>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655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没收违法所得，并处违法所得二倍的罚款；没有违法所得或者违法所得不足二万元的，处三万五千元以上少于五万元的罚款</w:t>
            </w:r>
          </w:p>
        </w:tc>
      </w:tr>
      <w:tr w14:paraId="6D65BCDF">
        <w:tblPrEx>
          <w:tblCellMar>
            <w:top w:w="0" w:type="dxa"/>
            <w:left w:w="108" w:type="dxa"/>
            <w:bottom w:w="0" w:type="dxa"/>
            <w:right w:w="108" w:type="dxa"/>
          </w:tblCellMar>
        </w:tblPrEx>
        <w:trPr>
          <w:trHeight w:val="1284"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70458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CE043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4BC20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F8AB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0B3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F23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一个自然年度内在本省再</w:t>
            </w:r>
            <w:r>
              <w:rPr>
                <w:rFonts w:hint="eastAsia" w:asciiTheme="majorEastAsia" w:hAnsiTheme="majorEastAsia" w:eastAsiaTheme="majorEastAsia" w:cstheme="majorEastAsia"/>
                <w:b w:val="0"/>
                <w:bCs w:val="0"/>
                <w:color w:val="auto"/>
                <w:kern w:val="0"/>
                <w:sz w:val="18"/>
                <w:szCs w:val="18"/>
                <w:lang w:bidi="ar"/>
              </w:rPr>
              <w:t>次</w:t>
            </w:r>
            <w:r>
              <w:rPr>
                <w:rFonts w:hint="eastAsia" w:asciiTheme="majorEastAsia" w:hAnsiTheme="majorEastAsia" w:eastAsiaTheme="majorEastAsia" w:cstheme="majorEastAsia"/>
                <w:b w:val="0"/>
                <w:bCs w:val="0"/>
                <w:color w:val="auto"/>
                <w:kern w:val="0"/>
                <w:sz w:val="18"/>
                <w:szCs w:val="18"/>
                <w:lang w:val="en-US" w:eastAsia="zh-CN" w:bidi="ar"/>
              </w:rPr>
              <w:t>实施违法行为的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09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没收违法所得，并处违法所得一到二倍的罚款；没有违法所得或者违法所得不足二万元的，处五万以上少于六万五千元的罚款</w:t>
            </w:r>
          </w:p>
        </w:tc>
      </w:tr>
      <w:tr w14:paraId="06795F8A">
        <w:tblPrEx>
          <w:tblCellMar>
            <w:top w:w="0" w:type="dxa"/>
            <w:left w:w="108" w:type="dxa"/>
            <w:bottom w:w="0" w:type="dxa"/>
            <w:right w:w="108" w:type="dxa"/>
          </w:tblCellMar>
        </w:tblPrEx>
        <w:trPr>
          <w:trHeight w:val="1489"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2B29B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32630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8EE7D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3494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92E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00F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第3次</w:t>
            </w:r>
            <w:r>
              <w:rPr>
                <w:rFonts w:hint="eastAsia" w:asciiTheme="majorEastAsia" w:hAnsiTheme="majorEastAsia" w:eastAsiaTheme="majorEastAsia" w:cstheme="majorEastAsia"/>
                <w:b w:val="0"/>
                <w:bCs w:val="0"/>
                <w:color w:val="auto"/>
                <w:kern w:val="0"/>
                <w:sz w:val="18"/>
                <w:szCs w:val="18"/>
                <w:lang w:val="en-US" w:eastAsia="zh-CN" w:bidi="ar"/>
              </w:rPr>
              <w:t>实施违法行为的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FDA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没收违法所得，并处违法所得二到三倍的罚款；没有违法所得或者违法所得不足二万元的，处六万五千以上少于八万元的罚款</w:t>
            </w:r>
          </w:p>
        </w:tc>
      </w:tr>
      <w:tr w14:paraId="7E245607">
        <w:tblPrEx>
          <w:tblCellMar>
            <w:top w:w="0" w:type="dxa"/>
            <w:left w:w="108" w:type="dxa"/>
            <w:bottom w:w="0" w:type="dxa"/>
            <w:right w:w="108" w:type="dxa"/>
          </w:tblCellMar>
        </w:tblPrEx>
        <w:trPr>
          <w:trHeight w:val="1396"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63BA7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8565D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FA0FC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44FF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8A6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7E0D1BC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54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4次以上</w:t>
            </w:r>
            <w:r>
              <w:rPr>
                <w:rFonts w:hint="eastAsia" w:asciiTheme="majorEastAsia" w:hAnsiTheme="majorEastAsia" w:eastAsiaTheme="majorEastAsia" w:cstheme="majorEastAsia"/>
                <w:b w:val="0"/>
                <w:bCs w:val="0"/>
                <w:color w:val="auto"/>
                <w:kern w:val="0"/>
                <w:sz w:val="18"/>
                <w:szCs w:val="18"/>
                <w:lang w:val="en-US" w:eastAsia="zh-CN" w:bidi="ar"/>
              </w:rPr>
              <w:t>实施违法行为的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B43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没收违法所得，并处违法所得三到五倍的罚款；没有违法所得或者违法所得不足二万元的，处八万元以上十万元</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的罚款</w:t>
            </w:r>
          </w:p>
        </w:tc>
      </w:tr>
      <w:tr w14:paraId="0882F338">
        <w:tblPrEx>
          <w:tblCellMar>
            <w:top w:w="0" w:type="dxa"/>
            <w:left w:w="108" w:type="dxa"/>
            <w:bottom w:w="0" w:type="dxa"/>
            <w:right w:w="108" w:type="dxa"/>
          </w:tblCellMar>
        </w:tblPrEx>
        <w:trPr>
          <w:trHeight w:val="1955"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A069F3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7</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87B73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从事水路运输经营的船舶超出《船舶营业运输证》核定的经营范围</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B8D3A9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《国内水路运输管理规定》(交通运输部令2020年第4号)</w:t>
            </w:r>
          </w:p>
          <w:p w14:paraId="4D37ACC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第二十三条第一款  水路运输经营者应该按照《船舶营业运输证》标定的载客定额、载货定额和经营范围从事旅客和货物运输，不得超载。</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9A19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w:t>
            </w:r>
            <w:r>
              <w:rPr>
                <w:rFonts w:hint="default" w:asciiTheme="majorEastAsia" w:hAnsiTheme="majorEastAsia" w:eastAsiaTheme="majorEastAsia" w:cstheme="majorEastAsia"/>
                <w:b/>
                <w:bCs/>
                <w:color w:val="000000"/>
                <w:kern w:val="0"/>
                <w:sz w:val="18"/>
                <w:szCs w:val="18"/>
                <w:lang w:val="en" w:bidi="ar"/>
              </w:rPr>
              <w:t>《国内水路运输管理规定》(交通运输部令2020年第4号)</w:t>
            </w:r>
          </w:p>
          <w:p w14:paraId="085246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第五十条  从事水路运输经营的船舶超出《船舶营业运输证》核定的经营范围，或者擅自改装客船、危险品船增加《船舶营业运输证》核定的载客定额、载货定额或者变更从事散装液体危险货物运输种类的，按照《国内水路运输管理条例》第三十四条</w:t>
            </w:r>
            <w:r>
              <w:rPr>
                <w:rFonts w:hint="eastAsia" w:asciiTheme="majorEastAsia" w:hAnsiTheme="majorEastAsia" w:eastAsiaTheme="majorEastAsia" w:cstheme="majorEastAsia"/>
                <w:b w:val="0"/>
                <w:bCs w:val="0"/>
                <w:color w:val="auto"/>
                <w:kern w:val="0"/>
                <w:sz w:val="18"/>
                <w:szCs w:val="18"/>
                <w:lang w:bidi="ar"/>
              </w:rPr>
              <w:t>第一款</w:t>
            </w:r>
            <w:r>
              <w:rPr>
                <w:rFonts w:hint="eastAsia" w:asciiTheme="majorEastAsia" w:hAnsiTheme="majorEastAsia" w:eastAsiaTheme="majorEastAsia" w:cstheme="majorEastAsia"/>
                <w:color w:val="000000"/>
                <w:kern w:val="0"/>
                <w:sz w:val="18"/>
                <w:szCs w:val="18"/>
                <w:lang w:bidi="ar"/>
              </w:rPr>
              <w:t>的规定予以处罚</w:t>
            </w:r>
          </w:p>
          <w:p w14:paraId="05EDF0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2.《国内水路运输管理条例》</w:t>
            </w:r>
          </w:p>
          <w:p w14:paraId="5E1932C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第三十四条</w:t>
            </w:r>
            <w:r>
              <w:rPr>
                <w:rFonts w:hint="eastAsia" w:asciiTheme="majorEastAsia" w:hAnsiTheme="majorEastAsia" w:eastAsiaTheme="majorEastAsia" w:cstheme="majorEastAsia"/>
                <w:color w:val="000000"/>
                <w:kern w:val="0"/>
                <w:sz w:val="18"/>
                <w:szCs w:val="18"/>
                <w:lang w:bidi="ar"/>
              </w:rPr>
              <w:t xml:space="preserve">  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0E3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071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违法行为</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一个自然年度内在本省首次实施</w:t>
            </w:r>
            <w:r>
              <w:rPr>
                <w:rFonts w:hint="eastAsia" w:asciiTheme="majorEastAsia" w:hAnsiTheme="majorEastAsia" w:eastAsiaTheme="majorEastAsia" w:cstheme="majorEastAsia"/>
                <w:b w:val="0"/>
                <w:bCs w:val="0"/>
                <w:color w:val="auto"/>
                <w:kern w:val="0"/>
                <w:sz w:val="18"/>
                <w:szCs w:val="18"/>
                <w:lang w:bidi="ar"/>
              </w:rPr>
              <w:t>且积极配合调查取证</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85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没收违法所得，并处违法所得一倍的罚款；没有违法所得或者违法所得不足二万元的，处二万元以上少于三万五千元的罚款</w:t>
            </w:r>
          </w:p>
        </w:tc>
      </w:tr>
      <w:tr w14:paraId="0FE4C794">
        <w:tblPrEx>
          <w:tblCellMar>
            <w:top w:w="0" w:type="dxa"/>
            <w:left w:w="108" w:type="dxa"/>
            <w:bottom w:w="0" w:type="dxa"/>
            <w:right w:w="108" w:type="dxa"/>
          </w:tblCellMar>
        </w:tblPrEx>
        <w:trPr>
          <w:trHeight w:val="91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67EC5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B9CE4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05BA16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85FA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CCB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0D4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违法行为</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首次</w:t>
            </w:r>
            <w:r>
              <w:rPr>
                <w:rFonts w:hint="eastAsia" w:asciiTheme="majorEastAsia" w:hAnsiTheme="majorEastAsia" w:eastAsiaTheme="majorEastAsia" w:cstheme="majorEastAsia"/>
                <w:b w:val="0"/>
                <w:bCs w:val="0"/>
                <w:color w:val="auto"/>
                <w:kern w:val="0"/>
                <w:sz w:val="18"/>
                <w:szCs w:val="18"/>
                <w:lang w:val="en-US" w:eastAsia="zh-CN" w:bidi="ar"/>
              </w:rPr>
              <w:t>实施</w:t>
            </w:r>
            <w:r>
              <w:rPr>
                <w:rFonts w:hint="eastAsia" w:asciiTheme="majorEastAsia" w:hAnsiTheme="majorEastAsia" w:eastAsiaTheme="majorEastAsia" w:cstheme="majorEastAsia"/>
                <w:b w:val="0"/>
                <w:bCs w:val="0"/>
                <w:color w:val="auto"/>
                <w:kern w:val="0"/>
                <w:sz w:val="18"/>
                <w:szCs w:val="18"/>
                <w:lang w:bidi="ar"/>
              </w:rPr>
              <w:t>后，不配合、逃避、拒绝调查取证</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1CF6">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没收违法所得，并处违法所得二倍的罚款；没有违法所得或者违法所得不足二万元的，处三万五千元以上少于五万元的罚款</w:t>
            </w:r>
          </w:p>
        </w:tc>
      </w:tr>
      <w:tr w14:paraId="3B02D356">
        <w:tblPrEx>
          <w:tblCellMar>
            <w:top w:w="0" w:type="dxa"/>
            <w:left w:w="108" w:type="dxa"/>
            <w:bottom w:w="0" w:type="dxa"/>
            <w:right w:w="108" w:type="dxa"/>
          </w:tblCellMar>
        </w:tblPrEx>
        <w:trPr>
          <w:trHeight w:val="87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5E3F9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2344D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F5A5C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A443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B40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4EA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违法行为</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一个自然年度内在本省再</w:t>
            </w:r>
            <w:r>
              <w:rPr>
                <w:rFonts w:hint="eastAsia" w:asciiTheme="majorEastAsia" w:hAnsiTheme="majorEastAsia" w:eastAsiaTheme="majorEastAsia" w:cstheme="majorEastAsia"/>
                <w:b w:val="0"/>
                <w:bCs w:val="0"/>
                <w:color w:val="auto"/>
                <w:kern w:val="0"/>
                <w:sz w:val="18"/>
                <w:szCs w:val="18"/>
                <w:lang w:bidi="ar"/>
              </w:rPr>
              <w:t>次</w:t>
            </w:r>
            <w:r>
              <w:rPr>
                <w:rFonts w:hint="eastAsia" w:asciiTheme="majorEastAsia" w:hAnsiTheme="majorEastAsia" w:eastAsiaTheme="majorEastAsia" w:cstheme="majorEastAsia"/>
                <w:b w:val="0"/>
                <w:bCs w:val="0"/>
                <w:color w:val="auto"/>
                <w:kern w:val="0"/>
                <w:sz w:val="18"/>
                <w:szCs w:val="18"/>
                <w:lang w:val="en-US" w:eastAsia="zh-CN" w:bidi="ar"/>
              </w:rPr>
              <w:t>实施</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C446">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没收违法所得，并处违法所得一到二倍的罚款；没有违法所得或者违法所得不足二万元的，处五万以上少于六万五千元的罚款</w:t>
            </w:r>
          </w:p>
        </w:tc>
      </w:tr>
      <w:tr w14:paraId="1A90496A">
        <w:tblPrEx>
          <w:tblCellMar>
            <w:top w:w="0" w:type="dxa"/>
            <w:left w:w="108" w:type="dxa"/>
            <w:bottom w:w="0" w:type="dxa"/>
            <w:right w:w="108" w:type="dxa"/>
          </w:tblCellMar>
        </w:tblPrEx>
        <w:trPr>
          <w:trHeight w:val="1146"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9CD17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E08B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E95C9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FB15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D05D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341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违法行为</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第3次</w:t>
            </w:r>
            <w:r>
              <w:rPr>
                <w:rFonts w:hint="eastAsia" w:asciiTheme="majorEastAsia" w:hAnsiTheme="majorEastAsia" w:eastAsiaTheme="majorEastAsia" w:cstheme="majorEastAsia"/>
                <w:b w:val="0"/>
                <w:bCs w:val="0"/>
                <w:color w:val="auto"/>
                <w:kern w:val="0"/>
                <w:sz w:val="18"/>
                <w:szCs w:val="18"/>
                <w:lang w:val="en-US" w:eastAsia="zh-CN" w:bidi="ar"/>
              </w:rPr>
              <w:t>实施</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78E3">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没收违法所得，并处违法所得二到三倍的罚款；没有违法所得或者违法所得不足二万元的，处六万五千以上少于八万元的罚款</w:t>
            </w:r>
          </w:p>
        </w:tc>
      </w:tr>
      <w:tr w14:paraId="10749141">
        <w:tblPrEx>
          <w:tblCellMar>
            <w:top w:w="0" w:type="dxa"/>
            <w:left w:w="108" w:type="dxa"/>
            <w:bottom w:w="0" w:type="dxa"/>
            <w:right w:w="108" w:type="dxa"/>
          </w:tblCellMar>
        </w:tblPrEx>
        <w:trPr>
          <w:trHeight w:val="1005"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8868A6">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8EDAA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56E6B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A632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4E37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256C75E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E64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违法行为</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4次以上</w:t>
            </w:r>
            <w:r>
              <w:rPr>
                <w:rFonts w:hint="eastAsia" w:asciiTheme="majorEastAsia" w:hAnsiTheme="majorEastAsia" w:eastAsiaTheme="majorEastAsia" w:cstheme="majorEastAsia"/>
                <w:b w:val="0"/>
                <w:bCs w:val="0"/>
                <w:color w:val="auto"/>
                <w:kern w:val="0"/>
                <w:sz w:val="18"/>
                <w:szCs w:val="18"/>
                <w:lang w:val="en-US" w:eastAsia="zh-CN" w:bidi="ar"/>
              </w:rPr>
              <w:t>实施</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2E795">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没收违法所得，并处违法所得三到五倍的罚款；没有违法所得或者违法所得不足二万元的，处八万元以上十万元</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的罚款</w:t>
            </w:r>
          </w:p>
        </w:tc>
      </w:tr>
      <w:tr w14:paraId="147412CF">
        <w:tblPrEx>
          <w:tblCellMar>
            <w:top w:w="0" w:type="dxa"/>
            <w:left w:w="108" w:type="dxa"/>
            <w:bottom w:w="0" w:type="dxa"/>
            <w:right w:w="108" w:type="dxa"/>
          </w:tblCellMar>
        </w:tblPrEx>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FF4A7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8</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ADBA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擅自改装客船、危险品船增加《船舶营业运输证》核定的载客定额、载货定额或者变更从事散装液体危险货物运输种类</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78FA9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《国内水路运输管理规定》(交通运输部令2020年第4号)</w:t>
            </w:r>
          </w:p>
          <w:p w14:paraId="3729D6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第二十五条  水路运输经营者不得擅自改装客船、危险品船增加载客定额、载货定额或者变更从事散装液体危险货物运输的种类。</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8A320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w:t>
            </w:r>
            <w:r>
              <w:rPr>
                <w:rFonts w:hint="default" w:asciiTheme="majorEastAsia" w:hAnsiTheme="majorEastAsia" w:eastAsiaTheme="majorEastAsia" w:cstheme="majorEastAsia"/>
                <w:b/>
                <w:bCs/>
                <w:color w:val="000000"/>
                <w:kern w:val="0"/>
                <w:sz w:val="18"/>
                <w:szCs w:val="18"/>
                <w:lang w:val="en" w:bidi="ar"/>
              </w:rPr>
              <w:t>《国内水路运输管理规定》(交通运输部令2020年第4号)</w:t>
            </w:r>
          </w:p>
          <w:p w14:paraId="2AD223B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第五十条  从事水路运输经营的船舶超出《船舶营业运输证》核定的经营范围，或者擅自改装客船、危险品船增加《船舶营业运输证》核定的载客定额、载货定额或者变更从事散装液体危险货物运输种类的，按照《国内水路运输管理条例》第三十四条</w:t>
            </w:r>
            <w:r>
              <w:rPr>
                <w:rFonts w:hint="eastAsia" w:asciiTheme="majorEastAsia" w:hAnsiTheme="majorEastAsia" w:eastAsiaTheme="majorEastAsia" w:cstheme="majorEastAsia"/>
                <w:color w:val="auto"/>
                <w:kern w:val="0"/>
                <w:sz w:val="18"/>
                <w:szCs w:val="18"/>
                <w:lang w:bidi="ar"/>
              </w:rPr>
              <w:t>第一款</w:t>
            </w:r>
            <w:r>
              <w:rPr>
                <w:rFonts w:hint="eastAsia" w:asciiTheme="majorEastAsia" w:hAnsiTheme="majorEastAsia" w:eastAsiaTheme="majorEastAsia" w:cstheme="majorEastAsia"/>
                <w:color w:val="000000"/>
                <w:kern w:val="0"/>
                <w:sz w:val="18"/>
                <w:szCs w:val="18"/>
                <w:lang w:bidi="ar"/>
              </w:rPr>
              <w:t>的规定予以处罚</w:t>
            </w:r>
          </w:p>
          <w:p w14:paraId="6EF8BE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2.《国内水路运输管理条例》</w:t>
            </w:r>
          </w:p>
          <w:p w14:paraId="75AC67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第三十四条</w:t>
            </w:r>
            <w:r>
              <w:rPr>
                <w:rFonts w:hint="eastAsia" w:asciiTheme="majorEastAsia" w:hAnsiTheme="majorEastAsia" w:eastAsiaTheme="majorEastAsia" w:cstheme="majorEastAsia"/>
                <w:color w:val="000000"/>
                <w:kern w:val="0"/>
                <w:sz w:val="18"/>
                <w:szCs w:val="18"/>
                <w:lang w:bidi="ar"/>
              </w:rPr>
              <w:t xml:space="preserve">  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A47B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49F1">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从事水路运输经营的船舶超出《船舶营业运输证》核定的经营范围，主动立即改正</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F073">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没收违法所得，并处违法所得一倍的罚款；没有违法所得或者违法所得不足二万元的，处二万元以上少于三万五千元的罚款</w:t>
            </w:r>
          </w:p>
        </w:tc>
      </w:tr>
      <w:tr w14:paraId="60A6ACF6">
        <w:tblPrEx>
          <w:tblCellMar>
            <w:top w:w="0" w:type="dxa"/>
            <w:left w:w="108" w:type="dxa"/>
            <w:bottom w:w="0" w:type="dxa"/>
            <w:right w:w="108" w:type="dxa"/>
          </w:tblCellMar>
        </w:tblPrEx>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8F8D7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AC288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5E7E3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F1A9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364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82E3F">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擅自改装客船、危险品船增加《船舶营业运输证》核定的载客定额、载货定额或者变更从事散装液体危险货物运输种类主动立即改正</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37D6">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没收违法所得，并处违法所得二倍的罚款；没有违法所得或者违法所得不足二万元的，处三万五千元以上少于五万元的罚款</w:t>
            </w:r>
          </w:p>
        </w:tc>
      </w:tr>
      <w:tr w14:paraId="4F271E02">
        <w:tblPrEx>
          <w:tblCellMar>
            <w:top w:w="0" w:type="dxa"/>
            <w:left w:w="108" w:type="dxa"/>
            <w:bottom w:w="0" w:type="dxa"/>
            <w:right w:w="108" w:type="dxa"/>
          </w:tblCellMar>
        </w:tblPrEx>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13F9E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874C2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E1442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9557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EE1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7B43">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从事水路运输经营的船舶超出《船舶营业运输证》核定的经营范围，造成较轻危害后果</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63E2">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没收违法所得，并处违法所得一到二倍的罚款；没有违法所得或者违法所得不足二万元的，处五万以上少于六万五千元的罚款</w:t>
            </w:r>
          </w:p>
        </w:tc>
      </w:tr>
      <w:tr w14:paraId="56E1011F">
        <w:tblPrEx>
          <w:tblCellMar>
            <w:top w:w="0" w:type="dxa"/>
            <w:left w:w="108" w:type="dxa"/>
            <w:bottom w:w="0" w:type="dxa"/>
            <w:right w:w="108" w:type="dxa"/>
          </w:tblCellMar>
        </w:tblPrEx>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5A002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45838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E1D49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6C9A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DFF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2192">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擅自改装客船增加《船舶营业运输证》核定的载客定额，造成较重危害后果</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38D8F">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没收违法所得，并处违法所得二到三倍的罚款；没有违法所得或者违法所得不足二万元的，处六万五千以上少于八万元的罚款</w:t>
            </w:r>
          </w:p>
        </w:tc>
      </w:tr>
      <w:tr w14:paraId="47373925">
        <w:tblPrEx>
          <w:tblCellMar>
            <w:top w:w="0" w:type="dxa"/>
            <w:left w:w="108" w:type="dxa"/>
            <w:bottom w:w="0" w:type="dxa"/>
            <w:right w:w="108" w:type="dxa"/>
          </w:tblCellMar>
        </w:tblPrEx>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85CA4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89EEC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B50E4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628D65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62CEB23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特别</w:t>
            </w:r>
          </w:p>
          <w:p w14:paraId="04C4453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kern w:val="0"/>
                <w:sz w:val="18"/>
                <w:szCs w:val="18"/>
                <w:lang w:bidi="ar"/>
              </w:rPr>
              <w:t>严重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88A1B5">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擅自改装危险品船增加《船舶营业运输证》核定的载货定额或者变更从事散装液体危险货物运输种类，造成严重危害后果</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40A5B2AB">
            <w:pPr>
              <w:keepNext w:val="0"/>
              <w:keepLines w:val="0"/>
              <w:pageBreakBefore w:val="0"/>
              <w:widowControl/>
              <w:kinsoku/>
              <w:wordWrap/>
              <w:overflowPunct/>
              <w:topLinePunct w:val="0"/>
              <w:autoSpaceDE/>
              <w:autoSpaceDN/>
              <w:bidi w:val="0"/>
              <w:adjustRightInd/>
              <w:snapToGrid/>
              <w:spacing w:line="19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没收违法所得，并处违法所得三到五倍的罚款；没有违法所得或者违法所得不足二万元的，处八万元以上十万元</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的罚款</w:t>
            </w:r>
          </w:p>
        </w:tc>
      </w:tr>
      <w:tr w14:paraId="09D19971">
        <w:tblPrEx>
          <w:tblCellMar>
            <w:top w:w="0" w:type="dxa"/>
            <w:left w:w="108" w:type="dxa"/>
            <w:bottom w:w="0" w:type="dxa"/>
            <w:right w:w="108" w:type="dxa"/>
          </w:tblCellMar>
        </w:tblPrEx>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7D35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val="en-US" w:eastAsia="zh-CN" w:bidi="ar"/>
              </w:rPr>
              <w:t>9</w:t>
            </w:r>
          </w:p>
        </w:tc>
        <w:tc>
          <w:tcPr>
            <w:tcW w:w="1656"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17BB9A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水路运输经营者未经许可或者超越许可范围使用外国籍船舶经营水路运输业务，或者外国的企业、其他经济组织和个人经营或者以租用中国籍船舶或者舱位等方式变相经营水路运输业务</w:t>
            </w:r>
          </w:p>
        </w:tc>
        <w:tc>
          <w:tcPr>
            <w:tcW w:w="303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4AA9D7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01DBF32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第十六条第一款  水路运输经营者不得使用外国籍船舶经营水路运输业务。但是，在国内没有能够满足所申请运输要求的中国籍船舶，并且船舶停靠的港口或者水域为对外开放的港口或者水域的情况下，经国务院交通运输主管部门许可，水路运输经营者可以在国务院交通运输主管部门规定的期限或者航次内，临时使用外国籍船舶运输。</w:t>
            </w:r>
          </w:p>
        </w:tc>
        <w:tc>
          <w:tcPr>
            <w:tcW w:w="3135"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8CF85C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1F6EF6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第三十五条  水路运输经营者未经国务院交通运输主管部门许可或者超越许可范围使用外国籍船舶经营水路运输业务，或者外国的企业、其他经济组织和个人经营或者以租用中国籍船舶或者舱位等方式变相经营水路运输业务的，由负责水路运输管理的部门责令停止经营，没收违法所得，并处违法所得1倍以上5倍以下的罚款；没有违法所得或者违法所得不足20万元的，处20万元以上100万元以下的罚款。</w:t>
            </w:r>
          </w:p>
        </w:tc>
        <w:tc>
          <w:tcPr>
            <w:tcW w:w="780" w:type="dxa"/>
            <w:tcBorders>
              <w:top w:val="single" w:color="auto" w:sz="4" w:space="0"/>
              <w:left w:val="single" w:color="000000" w:sz="4" w:space="0"/>
              <w:bottom w:val="single" w:color="000000" w:sz="4" w:space="0"/>
              <w:right w:val="single" w:color="000000" w:sz="4" w:space="0"/>
            </w:tcBorders>
            <w:shd w:val="clear" w:color="auto" w:fill="auto"/>
            <w:vAlign w:val="center"/>
          </w:tcPr>
          <w:p w14:paraId="4DD217F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000000" w:sz="4" w:space="0"/>
              <w:bottom w:val="single" w:color="000000" w:sz="4" w:space="0"/>
              <w:right w:val="single" w:color="000000" w:sz="4" w:space="0"/>
            </w:tcBorders>
            <w:shd w:val="clear" w:color="auto" w:fill="auto"/>
            <w:vAlign w:val="center"/>
          </w:tcPr>
          <w:p w14:paraId="2AC7138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水路运输经营者超越许可范围使用外国籍船舶</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6ACD67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没收违法所得，并处违法所得一倍以上少于二倍的罚款；没有违法所得或者违法所得不足二十万元的，处二十万元以上少于三十万元的罚款</w:t>
            </w:r>
          </w:p>
        </w:tc>
      </w:tr>
      <w:tr w14:paraId="7EDC673D">
        <w:tblPrEx>
          <w:tblCellMar>
            <w:top w:w="0" w:type="dxa"/>
            <w:left w:w="108" w:type="dxa"/>
            <w:bottom w:w="0" w:type="dxa"/>
            <w:right w:w="108" w:type="dxa"/>
          </w:tblCellMar>
        </w:tblPrEx>
        <w:trPr>
          <w:trHeight w:val="1237"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B5DD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983C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78D5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7EA8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5CF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F43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水路运输经营者未经许可使用外国籍船舶</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2F9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没收违法所得，并处违法所得一倍以上少于三倍的罚款；没有违法所得或者违法所得不足二十万元的，处三十万以上少于六十万元的罚款</w:t>
            </w:r>
          </w:p>
        </w:tc>
      </w:tr>
      <w:tr w14:paraId="6D367680">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574D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86EA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B3EF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8C4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BB0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A9E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外国的企业、其他经济组织和个人经营或者以租用舱位等方式变相经营水路运输业务</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67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没收违法所得，并处违法所得三倍以上少于四倍的罚款；没有违法所得或者违法所得不足二十万元的，处六十万元以上少于八十万元的罚款</w:t>
            </w:r>
          </w:p>
        </w:tc>
      </w:tr>
      <w:tr w14:paraId="142F119E">
        <w:tblPrEx>
          <w:tblCellMar>
            <w:top w:w="0" w:type="dxa"/>
            <w:left w:w="108" w:type="dxa"/>
            <w:bottom w:w="0" w:type="dxa"/>
            <w:right w:w="108" w:type="dxa"/>
          </w:tblCellMar>
        </w:tblPrEx>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4810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820D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CC88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4D0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556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682E1AA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DCE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外国的企业、其他经济组织和个人经营或者以租用中国籍船舶等方式变相经营水路运输业务</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DD6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没收违法所得，并处违法所得四倍以上五倍以下的罚款；没有违法所得或者违法所得不足二十万元的，处八十万元以上一百万元</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的罚款</w:t>
            </w:r>
          </w:p>
        </w:tc>
      </w:tr>
      <w:tr w14:paraId="5746A23F">
        <w:tblPrEx>
          <w:tblCellMar>
            <w:top w:w="0" w:type="dxa"/>
            <w:left w:w="108" w:type="dxa"/>
            <w:bottom w:w="0" w:type="dxa"/>
            <w:right w:w="108" w:type="dxa"/>
          </w:tblCellMar>
        </w:tblPrEx>
        <w:trPr>
          <w:trHeight w:val="1854"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6604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0</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BD81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以欺骗或者贿赂等不正当手段取得《国内水路运输管理条例》规定的行政许可</w:t>
            </w:r>
          </w:p>
        </w:tc>
        <w:tc>
          <w:tcPr>
            <w:tcW w:w="30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1E7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684E90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第八条  经营水路运输业务，应当按照国务院交通运输主管部门的规定，经国务院交通运输主管部门或者设区的市级以上地方人民政府负责水路运输管理的部门批准。</w:t>
            </w:r>
          </w:p>
          <w:p w14:paraId="29EADC1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申请经营水路运输业务，应当向前款规定的负责审批的部门提交申请书和证明申请人符合本条例第六条或者第七条规定条件的相关材料。</w:t>
            </w:r>
          </w:p>
          <w:p w14:paraId="4D5B71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负责审批的部门应当自受理申请之日起30个工作日内审查完毕，作出准予许可或者不予许可的决定。予以许可的，发给水路运输业务经营许可证件，并为申请人投入运营的船舶配发船舶营运证件；不予许可的，应当书面通知申请人并说明理由。</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D7A70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46F938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  以欺骗或者贿赂等不正当手段取得本条例规定的行政许可的，由原许可机关撤销许可，处2万元以上20万元以下的罚款；有违法所得的，没收违法所得；国务院交通运输主管部门或者负责水路运输管理的部门自撤销许可之日起3年内不受理其对该项许可的申请。</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A24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740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以欺骗或贿赂等手段取得，发现时隐瞒的事项未弥补，未造成严重危害后果的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BC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bidi="ar"/>
              </w:rPr>
              <w:t>撤销许可，处二万元以上少于十万元的罚款；有违法所得的，没收违法所得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3年内不受理</w:t>
            </w:r>
            <w:r>
              <w:rPr>
                <w:rFonts w:hint="eastAsia" w:asciiTheme="majorEastAsia" w:hAnsiTheme="majorEastAsia" w:eastAsiaTheme="majorEastAsia" w:cstheme="majorEastAsia"/>
                <w:color w:val="000000"/>
                <w:kern w:val="0"/>
                <w:sz w:val="18"/>
                <w:szCs w:val="18"/>
                <w:lang w:bidi="ar"/>
              </w:rPr>
              <w:t>其对该项许可的申请</w:t>
            </w:r>
          </w:p>
        </w:tc>
      </w:tr>
      <w:tr w14:paraId="17503C88">
        <w:tblPrEx>
          <w:tblCellMar>
            <w:top w:w="0" w:type="dxa"/>
            <w:left w:w="108" w:type="dxa"/>
            <w:bottom w:w="0" w:type="dxa"/>
            <w:right w:w="108" w:type="dxa"/>
          </w:tblCellMar>
        </w:tblPrEx>
        <w:trPr>
          <w:trHeight w:val="1498"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52B3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D9A7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DF52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3575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CB9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F3C1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以欺骗或贿赂等手段取得，发现时隐瞒的事项未弥补，造成严重危害后果的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CC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撤销许可，处十万元以上二十万元以下的罚款；有违法所得的，没收违法所得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3年内不受理</w:t>
            </w:r>
            <w:r>
              <w:rPr>
                <w:rFonts w:hint="eastAsia" w:asciiTheme="majorEastAsia" w:hAnsiTheme="majorEastAsia" w:eastAsiaTheme="majorEastAsia" w:cstheme="majorEastAsia"/>
                <w:color w:val="000000"/>
                <w:kern w:val="0"/>
                <w:sz w:val="18"/>
                <w:szCs w:val="18"/>
                <w:lang w:bidi="ar"/>
              </w:rPr>
              <w:t>其对该项许可的申请</w:t>
            </w:r>
          </w:p>
        </w:tc>
      </w:tr>
      <w:tr w14:paraId="70BFA950">
        <w:tblPrEx>
          <w:tblCellMar>
            <w:top w:w="0" w:type="dxa"/>
            <w:left w:w="108" w:type="dxa"/>
            <w:bottom w:w="0" w:type="dxa"/>
            <w:right w:w="108" w:type="dxa"/>
          </w:tblCellMar>
        </w:tblPrEx>
        <w:trPr>
          <w:trHeight w:val="1607"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39FD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1</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08C0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船舶管理业务经营者与委托人订立虚假协议或者名义上接受委托实际不承担船舶海务、机务管理责任</w:t>
            </w:r>
          </w:p>
        </w:tc>
        <w:tc>
          <w:tcPr>
            <w:tcW w:w="30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6630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1C5255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第十六条  船舶管理业务经营者接受委托提供船舶管理服务，应当与委托人订立书面协议，载明委托双方当事人的权利义务。</w:t>
            </w:r>
          </w:p>
          <w:p w14:paraId="26524D8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船舶管理业务经营者应当将船舶管理协议报其所在地和船籍港所在地县级以上人民政府水路运输管理部门备案。</w:t>
            </w:r>
          </w:p>
          <w:p w14:paraId="72F7770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2.《国内水路运输管理条例》</w:t>
            </w:r>
          </w:p>
          <w:p w14:paraId="31901E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第二十八条</w:t>
            </w:r>
            <w:r>
              <w:rPr>
                <w:rFonts w:hint="eastAsia" w:asciiTheme="majorEastAsia" w:hAnsiTheme="majorEastAsia" w:eastAsiaTheme="majorEastAsia" w:cstheme="majorEastAsia"/>
                <w:b w:val="0"/>
                <w:bCs w:val="0"/>
                <w:color w:val="auto"/>
                <w:kern w:val="0"/>
                <w:sz w:val="18"/>
                <w:szCs w:val="18"/>
                <w:lang w:bidi="ar"/>
              </w:rPr>
              <w:t>第一款</w:t>
            </w:r>
            <w:r>
              <w:rPr>
                <w:rFonts w:hint="eastAsia" w:asciiTheme="majorEastAsia" w:hAnsiTheme="majorEastAsia" w:eastAsiaTheme="majorEastAsia" w:cstheme="majorEastAsia"/>
                <w:color w:val="000000"/>
                <w:kern w:val="0"/>
                <w:sz w:val="18"/>
                <w:szCs w:val="18"/>
                <w:lang w:bidi="ar"/>
              </w:rPr>
              <w:t xml:space="preserve">  船舶管理业务经营者接受委托提供船舶管理服务，应当与委托人订立书面合同，并将合同报所在地海事管理机构备案。</w:t>
            </w:r>
          </w:p>
        </w:tc>
        <w:tc>
          <w:tcPr>
            <w:tcW w:w="3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FA7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0B120AC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第三十五条  船舶管理业务经营者与委托人订立虚假协议或者名义上接受委托实际不承担船舶海务、机务管理责任的，由经营者所在地县级以上人民政府水路运输管理部门责令改正，并按《国内水路运输管理条例》第三十七条关于非法转让船舶管理业务经营资格的有关规定进行处罚。</w:t>
            </w:r>
          </w:p>
          <w:p w14:paraId="2C9A55C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2.《国内水路运输管理条例》</w:t>
            </w:r>
          </w:p>
          <w:p w14:paraId="25B01F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第三十七条第一款  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453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F6B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船舶管理业务经营者</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首次与委托人订立虚假协议或者名义上接受委托实际不承担船舶海务、机务管理责任</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D04C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没收违法所得，并处违法所得一倍以上少于二倍的罚款；没有违法所得或者违法所得不足三万元的，处三万元以上少于五万元的罚款</w:t>
            </w:r>
          </w:p>
        </w:tc>
      </w:tr>
      <w:tr w14:paraId="3B0D335E">
        <w:tblPrEx>
          <w:tblCellMar>
            <w:top w:w="0" w:type="dxa"/>
            <w:left w:w="108" w:type="dxa"/>
            <w:bottom w:w="0" w:type="dxa"/>
            <w:right w:w="108" w:type="dxa"/>
          </w:tblCellMar>
        </w:tblPrEx>
        <w:trPr>
          <w:trHeight w:val="1613"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8B15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B195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D27D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2BCA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E2E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4D2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船舶管理业务经营者</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再次与委托人订立虚假协议或者名义上接受委托实际不承担船舶海务、机务管理责任</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83B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w:t>
            </w:r>
            <w:r>
              <w:rPr>
                <w:rFonts w:hint="eastAsia" w:asciiTheme="majorEastAsia" w:hAnsiTheme="majorEastAsia" w:eastAsiaTheme="majorEastAsia" w:cstheme="majorEastAsia"/>
                <w:b w:val="0"/>
                <w:bCs w:val="0"/>
                <w:color w:val="auto"/>
                <w:kern w:val="0"/>
                <w:sz w:val="18"/>
                <w:szCs w:val="18"/>
                <w:lang w:val="en-US" w:eastAsia="zh-CN" w:bidi="ar"/>
              </w:rPr>
              <w:t>二</w:t>
            </w:r>
            <w:r>
              <w:rPr>
                <w:rFonts w:hint="eastAsia" w:asciiTheme="majorEastAsia" w:hAnsiTheme="majorEastAsia" w:eastAsiaTheme="majorEastAsia" w:cstheme="majorEastAsia"/>
                <w:b w:val="0"/>
                <w:bCs w:val="0"/>
                <w:color w:val="auto"/>
                <w:kern w:val="0"/>
                <w:sz w:val="18"/>
                <w:szCs w:val="18"/>
                <w:lang w:bidi="ar"/>
              </w:rPr>
              <w:t>倍以上少于三倍的罚款；没有违法所得或者违法所得不足三万元的，处五万元以上少于十万元的罚款</w:t>
            </w:r>
          </w:p>
        </w:tc>
      </w:tr>
      <w:tr w14:paraId="1EAF4F81">
        <w:tblPrEx>
          <w:tblCellMar>
            <w:top w:w="0" w:type="dxa"/>
            <w:left w:w="108" w:type="dxa"/>
            <w:bottom w:w="0" w:type="dxa"/>
            <w:right w:w="108" w:type="dxa"/>
          </w:tblCellMar>
        </w:tblPrEx>
        <w:trPr>
          <w:trHeight w:val="1893" w:hRule="atLeast"/>
        </w:trPr>
        <w:tc>
          <w:tcPr>
            <w:tcW w:w="58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CD77E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DF02B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2D65EC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30169C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5867931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55D43AA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船舶管理业务经营者</w:t>
            </w: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三次以上与委托人订立虚假协议或者名义上接受委托实际不承担船舶海务、机务管理责任</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DEF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没收违法所得，并处违法所得三倍以上五倍</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的罚款；没有违法所得或者违法所得不足三万元的，处十万元以上十五万元以下的罚款；由原许可机关吊销相应的许可证件</w:t>
            </w:r>
          </w:p>
        </w:tc>
      </w:tr>
      <w:tr w14:paraId="0B90B469">
        <w:tblPrEx>
          <w:tblCellMar>
            <w:top w:w="0" w:type="dxa"/>
            <w:left w:w="108" w:type="dxa"/>
            <w:bottom w:w="0" w:type="dxa"/>
            <w:right w:w="108" w:type="dxa"/>
          </w:tblCellMar>
        </w:tblPrEx>
        <w:trPr>
          <w:trHeight w:val="1213"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F606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2</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A2ED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伪造、变造、涂改《国内水路运输管理条例》规定的行政许可证件</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0A88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《行政许可法》</w:t>
            </w:r>
          </w:p>
          <w:p w14:paraId="138B1A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第八十条  被许可人有下列行为之一的，行政机关应当依法给予行政处罚；构成犯罪的，依法追究刑事责任：</w:t>
            </w:r>
          </w:p>
          <w:p w14:paraId="2813482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（一）涂改、倒卖、出租、出借行政许可证件，或者以其他形式非法转让行政许可的。</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4F14A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1394F2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第三十七条第二款  伪造、变造、涂改本条例规定的行政许可证件的，由负责水路运输管理的部门没收伪造、变造、涂改的许可证件，处3万元以上15万元以下的罚款；有违法所得的，没收违法所得。</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3A6B6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86A38E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一个自然年度内在本省首</w:t>
            </w:r>
            <w:r>
              <w:rPr>
                <w:rFonts w:hint="eastAsia" w:asciiTheme="majorEastAsia" w:hAnsiTheme="majorEastAsia" w:eastAsiaTheme="majorEastAsia" w:cstheme="majorEastAsia"/>
                <w:b w:val="0"/>
                <w:bCs w:val="0"/>
                <w:color w:val="auto"/>
                <w:kern w:val="0"/>
                <w:sz w:val="18"/>
                <w:szCs w:val="18"/>
                <w:lang w:bidi="ar"/>
              </w:rPr>
              <w:t>次</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实施</w:t>
            </w:r>
            <w:r>
              <w:rPr>
                <w:rFonts w:hint="eastAsia" w:asciiTheme="majorEastAsia" w:hAnsiTheme="majorEastAsia" w:eastAsiaTheme="majorEastAsia" w:cstheme="majorEastAsia"/>
                <w:b w:val="0"/>
                <w:bCs w:val="0"/>
                <w:color w:val="auto"/>
                <w:kern w:val="0"/>
                <w:sz w:val="18"/>
                <w:szCs w:val="18"/>
                <w:lang w:bidi="ar"/>
              </w:rPr>
              <w:t>伪造、变造或涂改无法改正，积极配合调查的且未造成社会影响的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04C19D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没收伪造、变造、涂改的许可证件，处三万元以上少于五万元的罚款；有违法所得的，没收违法所得</w:t>
            </w:r>
          </w:p>
        </w:tc>
      </w:tr>
      <w:tr w14:paraId="457DF0B4">
        <w:tblPrEx>
          <w:tblCellMar>
            <w:top w:w="0" w:type="dxa"/>
            <w:left w:w="108" w:type="dxa"/>
            <w:bottom w:w="0" w:type="dxa"/>
            <w:right w:w="108" w:type="dxa"/>
          </w:tblCellMar>
        </w:tblPrEx>
        <w:trPr>
          <w:trHeight w:val="1100"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E155E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0A8E8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43474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04F34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957CA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7931CA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再次实施</w:t>
            </w:r>
            <w:r>
              <w:rPr>
                <w:rFonts w:hint="eastAsia" w:asciiTheme="majorEastAsia" w:hAnsiTheme="majorEastAsia" w:eastAsiaTheme="majorEastAsia" w:cstheme="majorEastAsia"/>
                <w:b w:val="0"/>
                <w:bCs w:val="0"/>
                <w:color w:val="auto"/>
                <w:kern w:val="0"/>
                <w:sz w:val="18"/>
                <w:szCs w:val="18"/>
                <w:lang w:bidi="ar"/>
              </w:rPr>
              <w:t>伪造、变造或涂改无法改正或者造成社会影响的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5E9961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没收伪造、变造、涂改的许可证件，处五万元以上少于十万元的罚款；有违法所得的，没收违法所得</w:t>
            </w:r>
          </w:p>
        </w:tc>
      </w:tr>
      <w:tr w14:paraId="2201B135">
        <w:tblPrEx>
          <w:tblCellMar>
            <w:top w:w="0" w:type="dxa"/>
            <w:left w:w="108" w:type="dxa"/>
            <w:bottom w:w="0" w:type="dxa"/>
            <w:right w:w="108" w:type="dxa"/>
          </w:tblCellMar>
        </w:tblPrEx>
        <w:trPr>
          <w:trHeight w:val="1317"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2CE3C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4ADC5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6C235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570C2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42E4E5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7D1F44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w:t>
            </w:r>
            <w:r>
              <w:rPr>
                <w:rFonts w:hint="eastAsia" w:asciiTheme="majorEastAsia" w:hAnsiTheme="majorEastAsia" w:eastAsiaTheme="majorEastAsia" w:cstheme="majorEastAsia"/>
                <w:b w:val="0"/>
                <w:bCs w:val="0"/>
                <w:color w:val="000000"/>
                <w:kern w:val="0"/>
                <w:sz w:val="18"/>
                <w:szCs w:val="18"/>
                <w:lang w:bidi="ar"/>
              </w:rPr>
              <w:t>三次</w:t>
            </w:r>
            <w:r>
              <w:rPr>
                <w:rFonts w:hint="eastAsia" w:asciiTheme="majorEastAsia" w:hAnsiTheme="majorEastAsia" w:eastAsiaTheme="majorEastAsia" w:cstheme="majorEastAsia"/>
                <w:b w:val="0"/>
                <w:bCs w:val="0"/>
                <w:color w:val="000000"/>
                <w:kern w:val="0"/>
                <w:sz w:val="18"/>
                <w:szCs w:val="18"/>
                <w:lang w:val="en-US" w:eastAsia="zh-CN" w:bidi="ar"/>
              </w:rPr>
              <w:t>以上</w:t>
            </w:r>
            <w:r>
              <w:rPr>
                <w:rFonts w:hint="eastAsia" w:asciiTheme="majorEastAsia" w:hAnsiTheme="majorEastAsia" w:eastAsiaTheme="majorEastAsia" w:cstheme="majorEastAsia"/>
                <w:b w:val="0"/>
                <w:bCs w:val="0"/>
                <w:strike w:val="0"/>
                <w:dstrike w:val="0"/>
                <w:color w:val="000000"/>
                <w:kern w:val="0"/>
                <w:sz w:val="18"/>
                <w:szCs w:val="18"/>
                <w:lang w:val="en-US" w:eastAsia="zh-CN" w:bidi="ar"/>
              </w:rPr>
              <w:t>实施</w:t>
            </w:r>
            <w:r>
              <w:rPr>
                <w:rFonts w:hint="eastAsia" w:asciiTheme="majorEastAsia" w:hAnsiTheme="majorEastAsia" w:eastAsiaTheme="majorEastAsia" w:cstheme="majorEastAsia"/>
                <w:b w:val="0"/>
                <w:bCs w:val="0"/>
                <w:color w:val="000000"/>
                <w:kern w:val="0"/>
                <w:sz w:val="18"/>
                <w:szCs w:val="18"/>
                <w:lang w:bidi="ar"/>
              </w:rPr>
              <w:t>伪造、变造或涂改无法改正或者造成严重社会影响的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50288EF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没收伪造、变造、涂改的许可证件，处十万元以上十五万元以下的罚款；有违法所得的，没收违法所得</w:t>
            </w:r>
          </w:p>
        </w:tc>
      </w:tr>
      <w:tr w14:paraId="1F047AE1">
        <w:tblPrEx>
          <w:tblCellMar>
            <w:top w:w="0" w:type="dxa"/>
            <w:left w:w="108" w:type="dxa"/>
            <w:bottom w:w="0" w:type="dxa"/>
            <w:right w:w="108" w:type="dxa"/>
          </w:tblCellMar>
        </w:tblPrEx>
        <w:trPr>
          <w:trHeight w:val="1070"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54120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3</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01DA8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水路旅客运输业务经营者未为其经营的客运船舶投保承运人责任保险或者取得相应的财务担保</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0567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《国内水路运输管理条例》</w:t>
            </w:r>
          </w:p>
          <w:p w14:paraId="51ED34C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第十九条第二款  水路旅客运输业务经营者应当为其客运船舶投保承运人责任保险或者取得相应的财务担保。</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1C854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303CF8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第三十九条  水路旅客运输业务经营者未为其经营的客运船舶投保承运人责任保险或者取得相应的财务担保的，由负责水路运输管理的部门责令限期改正，处2万元以上10万元以下的罚款；逾期不改正的，由原许可机关吊销该客运船舶的船舶营运许可证件。</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F53F1B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E0F3C9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未为2艘以下客运船舶投保承运人责任保险或者取得相应的财务担保的，主动改正，未造成违法后果的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0102FF6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处二万以上少于三万元的罚款</w:t>
            </w:r>
          </w:p>
        </w:tc>
      </w:tr>
      <w:tr w14:paraId="239B9A20">
        <w:tblPrEx>
          <w:tblCellMar>
            <w:top w:w="0" w:type="dxa"/>
            <w:left w:w="108" w:type="dxa"/>
            <w:bottom w:w="0" w:type="dxa"/>
            <w:right w:w="108" w:type="dxa"/>
          </w:tblCellMar>
        </w:tblPrEx>
        <w:trPr>
          <w:trHeight w:val="307"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A6B54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DB7C6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A7494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0576C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E70593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366551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未为3艘以上客运船舶投保承运人责任保险或者取得相应的财务担保的，主动改正，未造成违法后果的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2F26F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处三万元以上少于五万元的罚款</w:t>
            </w:r>
          </w:p>
        </w:tc>
      </w:tr>
      <w:tr w14:paraId="4F52F86A">
        <w:tblPrEx>
          <w:tblCellMar>
            <w:top w:w="0" w:type="dxa"/>
            <w:left w:w="108" w:type="dxa"/>
            <w:bottom w:w="0" w:type="dxa"/>
            <w:right w:w="108" w:type="dxa"/>
          </w:tblCellMar>
        </w:tblPrEx>
        <w:trPr>
          <w:trHeight w:val="837"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E29A5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CAA31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37248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28FA5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44F1BF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A04647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未为2艘以下客运船舶投保承运人责任保险或者取得相应的财务担保的，经责令后改正的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76E67CE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处五万元以上少于七万元的罚款</w:t>
            </w:r>
          </w:p>
        </w:tc>
      </w:tr>
      <w:tr w14:paraId="5F991D53">
        <w:tblPrEx>
          <w:tblCellMar>
            <w:top w:w="0" w:type="dxa"/>
            <w:left w:w="108" w:type="dxa"/>
            <w:bottom w:w="0" w:type="dxa"/>
            <w:right w:w="108" w:type="dxa"/>
          </w:tblCellMar>
        </w:tblPrEx>
        <w:trPr>
          <w:trHeight w:val="932"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85D9A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4B239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8A289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B251E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CDE638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A8F0D7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未为3艘以上客运船舶投保承运人责任保险或者取得相应的财务担保的，经责令后改正的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6C1041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处七万元以上十万元以下的罚款</w:t>
            </w:r>
          </w:p>
        </w:tc>
      </w:tr>
      <w:tr w14:paraId="3D94E941">
        <w:tblPrEx>
          <w:tblCellMar>
            <w:top w:w="0" w:type="dxa"/>
            <w:left w:w="108" w:type="dxa"/>
            <w:bottom w:w="0" w:type="dxa"/>
            <w:right w:w="108" w:type="dxa"/>
          </w:tblCellMar>
        </w:tblPrEx>
        <w:trPr>
          <w:trHeight w:val="533"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0E017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3C7CF7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163E8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BE093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14:paraId="74FA53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493E548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000000" w:sz="4" w:space="0"/>
              <w:bottom w:val="single" w:color="auto" w:sz="4" w:space="0"/>
              <w:right w:val="single" w:color="000000" w:sz="4" w:space="0"/>
            </w:tcBorders>
            <w:shd w:val="clear" w:color="auto" w:fill="auto"/>
            <w:vAlign w:val="center"/>
          </w:tcPr>
          <w:p w14:paraId="28ADF80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逾期不改正的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DB3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由原许可机关吊销该客运船舶的船舶营运许可证件</w:t>
            </w:r>
          </w:p>
        </w:tc>
      </w:tr>
      <w:tr w14:paraId="46A2302B">
        <w:tblPrEx>
          <w:tblCellMar>
            <w:top w:w="0" w:type="dxa"/>
            <w:left w:w="108" w:type="dxa"/>
            <w:bottom w:w="0" w:type="dxa"/>
            <w:right w:w="108" w:type="dxa"/>
          </w:tblCellMar>
        </w:tblPrEx>
        <w:trPr>
          <w:trHeight w:val="829"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1E97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4</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B488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班轮运输业务经营者未提前向社会公布所使用的船舶、班期、班次和运价或者其变更信息</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007EB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《国内水路运输管理条例》</w:t>
            </w:r>
          </w:p>
          <w:p w14:paraId="2144BB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第二十一条  旅客班轮运输业务经营者应当自取得班轮航线经营许可之日起60日内开航，并在开航十五日前公布所使用的船舶、班期、班次、运价等信息。</w:t>
            </w:r>
          </w:p>
          <w:p w14:paraId="6EBF06D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旅客班轮运输应当按照公布的班期、班次运行；变更班期、班次、运价的，应当在十五日前向社会公布。</w:t>
            </w:r>
          </w:p>
          <w:p w14:paraId="412CA62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第二十二条  货物班轮运输业务经营者应当在班轮航线开航的7日前，公布所使用的船舶以及班期、班次和运价。</w:t>
            </w:r>
          </w:p>
          <w:p w14:paraId="0B995E2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货物班轮运输应当按照公布的班期、班次运行；变更班期、班次、运价或者停止经营部分或者全部班轮航线的，应当在7日前向社会公布。</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1CBE5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《国内水路运输管理条例》</w:t>
            </w:r>
          </w:p>
          <w:p w14:paraId="1D744C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第四十条  班轮运输业务经营者未提前向社会公布所使用的船舶、班期、班次和运价或者其变更信息的，由负责水路运输管理的部门责令改正，处2000元以上2万元以下的罚款。</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7F25BC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7410C0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未提前公布，主动纠正，未造成违法后果的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12ADC7E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处二千元以上少于五千元的罚款</w:t>
            </w:r>
          </w:p>
        </w:tc>
      </w:tr>
      <w:tr w14:paraId="16FFC5C3">
        <w:tblPrEx>
          <w:tblCellMar>
            <w:top w:w="0" w:type="dxa"/>
            <w:left w:w="108" w:type="dxa"/>
            <w:bottom w:w="0" w:type="dxa"/>
            <w:right w:w="108" w:type="dxa"/>
          </w:tblCellMar>
        </w:tblPrEx>
        <w:trPr>
          <w:trHeight w:val="966"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3BC5D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13968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02D07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AE1AC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94E8D4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E14B5A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未提前公布，经责令能够立即改正的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6CB12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处五千元以上少于八千元的罚款</w:t>
            </w:r>
          </w:p>
        </w:tc>
      </w:tr>
      <w:tr w14:paraId="569D4C00">
        <w:tblPrEx>
          <w:tblCellMar>
            <w:top w:w="0" w:type="dxa"/>
            <w:left w:w="108" w:type="dxa"/>
            <w:bottom w:w="0" w:type="dxa"/>
            <w:right w:w="108" w:type="dxa"/>
          </w:tblCellMar>
        </w:tblPrEx>
        <w:trPr>
          <w:trHeight w:val="964"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C895D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DA88B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FFCA1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07DC7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D1B98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56F465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公布事项不完整或者未及时更新的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322749B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处八千元以上少于一万二千元的罚款</w:t>
            </w:r>
          </w:p>
        </w:tc>
      </w:tr>
      <w:tr w14:paraId="114A63DC">
        <w:tblPrEx>
          <w:tblCellMar>
            <w:top w:w="0" w:type="dxa"/>
            <w:left w:w="108" w:type="dxa"/>
            <w:bottom w:w="0" w:type="dxa"/>
            <w:right w:w="108" w:type="dxa"/>
          </w:tblCellMar>
        </w:tblPrEx>
        <w:trPr>
          <w:trHeight w:val="958"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FDABF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A133C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6BE80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13436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9EE0B9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D458CD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故意隐瞒或者公布内容不真实的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59935F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处一万二千元以上少于一万五千元的罚款</w:t>
            </w:r>
          </w:p>
        </w:tc>
      </w:tr>
      <w:tr w14:paraId="712E4206">
        <w:tblPrEx>
          <w:tblCellMar>
            <w:top w:w="0" w:type="dxa"/>
            <w:left w:w="108" w:type="dxa"/>
            <w:bottom w:w="0" w:type="dxa"/>
            <w:right w:w="108" w:type="dxa"/>
          </w:tblCellMar>
        </w:tblPrEx>
        <w:trPr>
          <w:trHeight w:val="291"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2932A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844C3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E6A9A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866B9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64775D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2FD8ACE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7FCCF4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拒不公布的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F2010A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处一万五千元以上二万元以下的罚款</w:t>
            </w:r>
          </w:p>
        </w:tc>
      </w:tr>
      <w:tr w14:paraId="2656DB44">
        <w:tblPrEx>
          <w:tblCellMar>
            <w:top w:w="0" w:type="dxa"/>
            <w:left w:w="108" w:type="dxa"/>
            <w:bottom w:w="0" w:type="dxa"/>
            <w:right w:w="108" w:type="dxa"/>
          </w:tblCellMar>
        </w:tblPrEx>
        <w:trPr>
          <w:trHeight w:val="1438"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829056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5</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62FE9F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旅客班轮运输业务经营者自取得班轮航线经营许可之日起60日内未开航</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27EA3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《国内水路运输管理条例》</w:t>
            </w:r>
          </w:p>
          <w:p w14:paraId="4CEDFCF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第二十一条  旅客班轮运输业务经营者应当自取得班轮航线经营许可之日起60日内开航，并在开航十五日前公布所使用的船舶、班期、班次、运价等信息。</w:t>
            </w:r>
          </w:p>
          <w:p w14:paraId="5B7C6CD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旅客班轮运输应当按照公布的班期、班次运行；变更班期、班次、运价的，应当在十五日前向社会公布。</w:t>
            </w:r>
          </w:p>
          <w:p w14:paraId="0414337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第二十二条  货物班轮运输业务经营者应当在班轮航线开航的7日前，公布所使用的船舶以及班期、班次和运价。</w:t>
            </w:r>
          </w:p>
          <w:p w14:paraId="3D3B24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货物班轮运输应当按照公布的班期、班次运行；变更班期、班次、运价或者停止经营部分或者全部班轮航线的，应当在7日前向社会公布。</w:t>
            </w:r>
          </w:p>
        </w:tc>
        <w:tc>
          <w:tcPr>
            <w:tcW w:w="31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FDFB74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《国内水路运输管理条例》</w:t>
            </w:r>
          </w:p>
          <w:p w14:paraId="7403FA2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第四十一条  旅客班轮运输业务经营者自取得班轮航线经营许可之日起60日内未开航的，由负责水路运输管理的部门责令改正；拒不改正的，由原许可机关撤销该项经营许可。</w:t>
            </w:r>
          </w:p>
        </w:tc>
        <w:tc>
          <w:tcPr>
            <w:tcW w:w="7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ED181E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7C6D79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拒不改正的</w:t>
            </w:r>
          </w:p>
        </w:tc>
        <w:tc>
          <w:tcPr>
            <w:tcW w:w="2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89A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由原许可机关撤销该项经营许可</w:t>
            </w:r>
          </w:p>
        </w:tc>
      </w:tr>
      <w:tr w14:paraId="0A20E3A9">
        <w:tblPrEx>
          <w:tblCellMar>
            <w:top w:w="0" w:type="dxa"/>
            <w:left w:w="108" w:type="dxa"/>
            <w:bottom w:w="0" w:type="dxa"/>
            <w:right w:w="108" w:type="dxa"/>
          </w:tblCellMar>
        </w:tblPrEx>
        <w:trPr>
          <w:trHeight w:val="317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584C1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9DD24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0BF66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36F6C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B5733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sz w:val="18"/>
                <w:szCs w:val="18"/>
              </w:rPr>
            </w:pPr>
          </w:p>
        </w:tc>
        <w:tc>
          <w:tcPr>
            <w:tcW w:w="27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2C7DAE">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sz w:val="18"/>
                <w:szCs w:val="18"/>
              </w:rPr>
            </w:pPr>
          </w:p>
        </w:tc>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66F4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sz w:val="18"/>
                <w:szCs w:val="18"/>
              </w:rPr>
            </w:pPr>
          </w:p>
        </w:tc>
      </w:tr>
      <w:tr w14:paraId="28BF53A1">
        <w:tblPrEx>
          <w:tblCellMar>
            <w:top w:w="0" w:type="dxa"/>
            <w:left w:w="108" w:type="dxa"/>
            <w:bottom w:w="0" w:type="dxa"/>
            <w:right w:w="108" w:type="dxa"/>
          </w:tblCellMar>
        </w:tblPrEx>
        <w:trPr>
          <w:trHeight w:val="624"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3A4A0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6</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7D6CBB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水路运输经营者或其船舶、船舶管理业务经营者在许可期限内存在不符合规定要求的经营资质条件</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E74B6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《国内水路运输管理规定》(交通运输部令2020年第4号)</w:t>
            </w:r>
          </w:p>
          <w:p w14:paraId="7F756AA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第二十条  水路运输经营者应当保持相应的经营资质条件，按照《国内水路运输经营许可证》核定的经营范围从事水路运输经营活动。</w:t>
            </w:r>
          </w:p>
          <w:p w14:paraId="36B1CFE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已取得省际水路运输经营资格的水路运输经营者和船舶，可凭省际水路运输经营资格从事相应种类的省内水路运输，但旅客班轮运输除外。</w:t>
            </w:r>
          </w:p>
          <w:p w14:paraId="222101A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已取得沿海水路运输经营资格的水路运输经营者和船舶，可在满足航行条件的情况下，凭沿海水路运输经营资格从事相应种类的内河运输。</w:t>
            </w:r>
          </w:p>
        </w:tc>
        <w:tc>
          <w:tcPr>
            <w:tcW w:w="31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9F338A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strike/>
                <w:dstrike w:val="0"/>
                <w:color w:val="auto"/>
                <w:kern w:val="0"/>
                <w:sz w:val="18"/>
                <w:szCs w:val="18"/>
                <w:lang w:bidi="ar"/>
              </w:rPr>
            </w:pPr>
            <w:r>
              <w:rPr>
                <w:rFonts w:hint="eastAsia" w:asciiTheme="majorEastAsia" w:hAnsiTheme="majorEastAsia" w:eastAsiaTheme="majorEastAsia" w:cstheme="majorEastAsia"/>
                <w:b/>
                <w:bCs/>
                <w:color w:val="auto"/>
                <w:sz w:val="18"/>
                <w:szCs w:val="18"/>
                <w:lang w:val="en-US" w:eastAsia="zh-CN"/>
              </w:rPr>
              <w:t>1.</w:t>
            </w:r>
            <w:r>
              <w:rPr>
                <w:rFonts w:hint="eastAsia" w:asciiTheme="majorEastAsia" w:hAnsiTheme="majorEastAsia" w:eastAsiaTheme="majorEastAsia" w:cstheme="majorEastAsia"/>
                <w:b/>
                <w:bCs/>
                <w:color w:val="auto"/>
                <w:sz w:val="18"/>
                <w:szCs w:val="18"/>
              </w:rPr>
              <w:t>《国内水路运输管理条例》</w:t>
            </w:r>
          </w:p>
          <w:p w14:paraId="46D5FEFB">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第四十二条  水路运输、 船舶管理业务经营者取得许可后，不再具备本条例规定的许可条件的，由负责水路运输管理的部门责令限期整改；在规定期限内整改仍不合格的，由原许可机关撤销其经营许可。</w:t>
            </w:r>
          </w:p>
          <w:p w14:paraId="75FBDE1F">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《国内水路运输管理规定》(交通运输部令2020年第4号)</w:t>
            </w:r>
          </w:p>
          <w:p w14:paraId="1C46283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第四十九条  水路运输经营者或其船舶在规定期间内，经整改仍不符合本规定要求的经营资质条件的，由其所在地县级以上人民政府水路运输管理部门报原许可机关撤销其经营许可或者船舶营运证件。</w:t>
            </w:r>
          </w:p>
        </w:tc>
        <w:tc>
          <w:tcPr>
            <w:tcW w:w="7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4F028F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7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5B6EC0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限期未整改，或在规定期限内整改仍不合格的</w:t>
            </w:r>
          </w:p>
        </w:tc>
        <w:tc>
          <w:tcPr>
            <w:tcW w:w="2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5EE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由原许可机关撤销其经营许可</w:t>
            </w:r>
          </w:p>
        </w:tc>
      </w:tr>
      <w:tr w14:paraId="03DE9688">
        <w:tblPrEx>
          <w:tblCellMar>
            <w:top w:w="0" w:type="dxa"/>
            <w:left w:w="108" w:type="dxa"/>
            <w:bottom w:w="0" w:type="dxa"/>
            <w:right w:w="108" w:type="dxa"/>
          </w:tblCellMar>
        </w:tblPrEx>
        <w:trPr>
          <w:trHeight w:val="3626"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4EC62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94BEA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7B885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0136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A254D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sz w:val="18"/>
                <w:szCs w:val="18"/>
              </w:rPr>
            </w:pPr>
          </w:p>
        </w:tc>
        <w:tc>
          <w:tcPr>
            <w:tcW w:w="27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8E647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sz w:val="18"/>
                <w:szCs w:val="18"/>
              </w:rPr>
            </w:pPr>
          </w:p>
        </w:tc>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481E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sz w:val="18"/>
                <w:szCs w:val="18"/>
              </w:rPr>
            </w:pPr>
          </w:p>
        </w:tc>
      </w:tr>
      <w:tr w14:paraId="5524CBBD">
        <w:tblPrEx>
          <w:tblCellMar>
            <w:top w:w="0" w:type="dxa"/>
            <w:left w:w="108" w:type="dxa"/>
            <w:bottom w:w="0" w:type="dxa"/>
            <w:right w:w="108" w:type="dxa"/>
          </w:tblCellMar>
        </w:tblPrEx>
        <w:trPr>
          <w:trHeight w:val="825"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742F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7</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CCC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危险化学品水路运输企业未配备专职安全管理人员</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D7C9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《危险化学品安全管理条例》</w:t>
            </w:r>
          </w:p>
          <w:p w14:paraId="5B4D4FA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第四十三条</w:t>
            </w:r>
            <w:r>
              <w:rPr>
                <w:rFonts w:hint="eastAsia" w:asciiTheme="majorEastAsia" w:hAnsiTheme="majorEastAsia" w:eastAsiaTheme="majorEastAsia" w:cstheme="majorEastAsia"/>
                <w:b w:val="0"/>
                <w:bCs w:val="0"/>
                <w:color w:val="auto"/>
                <w:kern w:val="0"/>
                <w:sz w:val="18"/>
                <w:szCs w:val="18"/>
                <w:lang w:bidi="ar"/>
              </w:rPr>
              <w:t>第二款</w:t>
            </w:r>
            <w:r>
              <w:rPr>
                <w:rFonts w:hint="eastAsia" w:asciiTheme="majorEastAsia" w:hAnsiTheme="majorEastAsia" w:eastAsiaTheme="majorEastAsia" w:cstheme="majorEastAsia"/>
                <w:color w:val="000000"/>
                <w:kern w:val="0"/>
                <w:sz w:val="18"/>
                <w:szCs w:val="18"/>
                <w:lang w:bidi="ar"/>
              </w:rPr>
              <w:t xml:space="preserve">  危险化学品道路运输企业、水路运输企业应当配备专职安全管理人员。</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D639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《危险化学品安全管理条例》</w:t>
            </w:r>
          </w:p>
          <w:p w14:paraId="08130C8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第九十一条  有下列情形之一的，由交通运输主管部门责令改正，可以处1万元以下的罚款；拒不改正的，处1万元以上5万元以下的罚款：</w:t>
            </w:r>
          </w:p>
          <w:p w14:paraId="2BB41D6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（一）危险化学品道路运输企业、水路运输企业未配备专职安全管理人员的。</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1839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09909B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未配备齐全专职安全管理人员的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3C171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处少于五千元的罚款</w:t>
            </w:r>
          </w:p>
        </w:tc>
      </w:tr>
      <w:tr w14:paraId="744A25FC">
        <w:tblPrEx>
          <w:tblCellMar>
            <w:top w:w="0" w:type="dxa"/>
            <w:left w:w="108" w:type="dxa"/>
            <w:bottom w:w="0" w:type="dxa"/>
            <w:right w:w="108" w:type="dxa"/>
          </w:tblCellMar>
        </w:tblPrEx>
        <w:trPr>
          <w:trHeight w:val="724"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513E4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EAF54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82629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4B18E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611B2E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27F5DB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未配备专职安全管理人员的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3D3758F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处五千元以上一万元以下的罚款</w:t>
            </w:r>
          </w:p>
        </w:tc>
      </w:tr>
      <w:tr w14:paraId="3D0AAED4">
        <w:tblPrEx>
          <w:tblCellMar>
            <w:top w:w="0" w:type="dxa"/>
            <w:left w:w="108" w:type="dxa"/>
            <w:bottom w:w="0" w:type="dxa"/>
            <w:right w:w="108" w:type="dxa"/>
          </w:tblCellMar>
        </w:tblPrEx>
        <w:trPr>
          <w:trHeight w:val="748"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95649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0A82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7A3EC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4B4A4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22372E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9AC8C7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未配备齐全专职安全管理人员，拒不改正的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29DB212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处一万元以上少于三万元的罚款</w:t>
            </w:r>
          </w:p>
        </w:tc>
      </w:tr>
      <w:tr w14:paraId="4176C82E">
        <w:tblPrEx>
          <w:tblCellMar>
            <w:top w:w="0" w:type="dxa"/>
            <w:left w:w="108" w:type="dxa"/>
            <w:bottom w:w="0" w:type="dxa"/>
            <w:right w:w="108" w:type="dxa"/>
          </w:tblCellMar>
        </w:tblPrEx>
        <w:trPr>
          <w:trHeight w:val="834"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B3FBE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5D7D7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9B8FD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7DFB9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974279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60EC09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8B3975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未配备专职安全管理人员，拒不改正的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5007B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处三万元以上五万元以下的罚款</w:t>
            </w:r>
          </w:p>
        </w:tc>
      </w:tr>
      <w:tr w14:paraId="4E859C5E">
        <w:tblPrEx>
          <w:tblCellMar>
            <w:top w:w="0" w:type="dxa"/>
            <w:left w:w="108" w:type="dxa"/>
            <w:bottom w:w="0" w:type="dxa"/>
            <w:right w:w="108" w:type="dxa"/>
          </w:tblCellMar>
        </w:tblPrEx>
        <w:trPr>
          <w:trHeight w:val="1803"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4FC9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kern w:val="0"/>
                <w:sz w:val="18"/>
                <w:szCs w:val="18"/>
                <w:lang w:val="en-US" w:eastAsia="zh-CN" w:bidi="ar"/>
              </w:rPr>
              <w:t>8</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6C0D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船舶管理业务经营者未按照规定要求配备相应海务、机务管理人员</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A01E3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57B75A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第六条  船舶管理业务经营者应当配备满足下列要求的专职海务、机务管理人员：</w:t>
            </w:r>
          </w:p>
          <w:p w14:paraId="1C29E71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（一）船舶管理业务经营者应当至少配备海务、机务管理人员各1人，配备的具体数量应当符合附件规定的要求；</w:t>
            </w:r>
          </w:p>
          <w:p w14:paraId="3039C2F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（二）海务、机务管理人员的从业资历与其经营范围相适应，具有与管理的船舶种类和航区相对应的船长、轮机长的从业资历；</w:t>
            </w:r>
          </w:p>
          <w:p w14:paraId="6B32A1C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（三）海务、机务管理人员所具备的船舶安全管理、船舶设备管理、航海保障、应急处置等业务知识和管理能力与其经营范围相适应，身体条件与其职责要求相适应。</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9F6DE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DDB0CE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第三十四条  船舶管理业务经营者未按照本规定要求配备相应海务、机务管理人员的，由其所在地县级以上人民政府水路运输管理部门责令改正，处1万元以上3万元以下的罚款。</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2F749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CE93FB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配备的海务或机务管理人员数量符合</w:t>
            </w:r>
            <w:r>
              <w:rPr>
                <w:rFonts w:hint="default" w:asciiTheme="majorEastAsia" w:hAnsiTheme="majorEastAsia" w:eastAsiaTheme="majorEastAsia" w:cstheme="majorEastAsia"/>
                <w:b w:val="0"/>
                <w:bCs w:val="0"/>
                <w:color w:val="000000"/>
                <w:kern w:val="0"/>
                <w:sz w:val="18"/>
                <w:szCs w:val="18"/>
                <w:lang w:val="en" w:bidi="ar"/>
              </w:rPr>
              <w:t>《国内水路运输辅助业管理规定》(交通运输部令2014年第3号)</w:t>
            </w:r>
            <w:r>
              <w:rPr>
                <w:rFonts w:hint="eastAsia" w:asciiTheme="majorEastAsia" w:hAnsiTheme="majorEastAsia" w:eastAsiaTheme="majorEastAsia" w:cstheme="majorEastAsia"/>
                <w:b w:val="0"/>
                <w:bCs w:val="0"/>
                <w:color w:val="000000"/>
                <w:kern w:val="0"/>
                <w:sz w:val="18"/>
                <w:szCs w:val="18"/>
                <w:lang w:bidi="ar"/>
              </w:rPr>
              <w:t>要求，但从业资历、业务知识与管理船舶经营范围不适应，身体条件与其职责要求不适应的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26671C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处一万元以上少于一万五千元罚款</w:t>
            </w:r>
          </w:p>
        </w:tc>
      </w:tr>
      <w:tr w14:paraId="461FDBC7">
        <w:tblPrEx>
          <w:tblCellMar>
            <w:top w:w="0" w:type="dxa"/>
            <w:left w:w="108" w:type="dxa"/>
            <w:bottom w:w="0" w:type="dxa"/>
            <w:right w:w="108" w:type="dxa"/>
          </w:tblCellMar>
        </w:tblPrEx>
        <w:trPr>
          <w:trHeight w:val="123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40AD9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86F44A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CE201F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93D850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000000" w:sz="4" w:space="0"/>
              <w:right w:val="single" w:color="000000" w:sz="4" w:space="0"/>
            </w:tcBorders>
            <w:shd w:val="clear" w:color="auto" w:fill="auto"/>
            <w:vAlign w:val="center"/>
          </w:tcPr>
          <w:p w14:paraId="4EBE1F7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000000" w:sz="4" w:space="0"/>
              <w:bottom w:val="single" w:color="000000" w:sz="4" w:space="0"/>
              <w:right w:val="single" w:color="000000" w:sz="4" w:space="0"/>
            </w:tcBorders>
            <w:shd w:val="clear" w:color="auto" w:fill="auto"/>
            <w:vAlign w:val="center"/>
          </w:tcPr>
          <w:p w14:paraId="34F06A7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配备的海务或机务管理人员数量不符合</w:t>
            </w:r>
            <w:r>
              <w:rPr>
                <w:rFonts w:hint="default" w:asciiTheme="majorEastAsia" w:hAnsiTheme="majorEastAsia" w:eastAsiaTheme="majorEastAsia" w:cstheme="majorEastAsia"/>
                <w:b w:val="0"/>
                <w:bCs w:val="0"/>
                <w:color w:val="000000"/>
                <w:kern w:val="0"/>
                <w:sz w:val="18"/>
                <w:szCs w:val="18"/>
                <w:lang w:val="en" w:bidi="ar"/>
              </w:rPr>
              <w:t>《国内水路运输辅助业管理规定》(交通运输部令2014年第3号)</w:t>
            </w:r>
            <w:r>
              <w:rPr>
                <w:rFonts w:hint="eastAsia" w:asciiTheme="majorEastAsia" w:hAnsiTheme="majorEastAsia" w:eastAsiaTheme="majorEastAsia" w:cstheme="majorEastAsia"/>
                <w:b w:val="0"/>
                <w:bCs w:val="0"/>
                <w:color w:val="000000"/>
                <w:kern w:val="0"/>
                <w:sz w:val="18"/>
                <w:szCs w:val="18"/>
                <w:lang w:bidi="ar"/>
              </w:rPr>
              <w:t>要求的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BC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73ABC575">
        <w:tblPrEx>
          <w:tblCellMar>
            <w:top w:w="0" w:type="dxa"/>
            <w:left w:w="108" w:type="dxa"/>
            <w:bottom w:w="0" w:type="dxa"/>
            <w:right w:w="108" w:type="dxa"/>
          </w:tblCellMar>
        </w:tblPrEx>
        <w:trPr>
          <w:trHeight w:val="177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700AF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6AD69C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C79B8D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0F78FA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70445EF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902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配备的海务或机务管理人员数量不符合</w:t>
            </w:r>
            <w:r>
              <w:rPr>
                <w:rFonts w:hint="default" w:asciiTheme="majorEastAsia" w:hAnsiTheme="majorEastAsia" w:eastAsiaTheme="majorEastAsia" w:cstheme="majorEastAsia"/>
                <w:b w:val="0"/>
                <w:bCs w:val="0"/>
                <w:color w:val="000000"/>
                <w:kern w:val="0"/>
                <w:sz w:val="18"/>
                <w:szCs w:val="18"/>
                <w:lang w:val="en" w:bidi="ar"/>
              </w:rPr>
              <w:t>《国内水路运输辅助业管理规定》(交通运输部令2014年第3号)</w:t>
            </w:r>
            <w:r>
              <w:rPr>
                <w:rFonts w:hint="eastAsia" w:asciiTheme="majorEastAsia" w:hAnsiTheme="majorEastAsia" w:eastAsiaTheme="majorEastAsia" w:cstheme="majorEastAsia"/>
                <w:b w:val="0"/>
                <w:bCs w:val="0"/>
                <w:color w:val="000000"/>
                <w:kern w:val="0"/>
                <w:sz w:val="18"/>
                <w:szCs w:val="18"/>
                <w:lang w:bidi="ar"/>
              </w:rPr>
              <w:t>要求，且从业资历、业务知识与管理船舶经营范围不适应，身体条件与其职责要求不适应的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42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处二万元以上少于二万五千元的罚款</w:t>
            </w:r>
          </w:p>
        </w:tc>
      </w:tr>
      <w:tr w14:paraId="08BBC7CE">
        <w:tblPrEx>
          <w:tblCellMar>
            <w:top w:w="0" w:type="dxa"/>
            <w:left w:w="108" w:type="dxa"/>
            <w:bottom w:w="0" w:type="dxa"/>
            <w:right w:w="108" w:type="dxa"/>
          </w:tblCellMar>
        </w:tblPrEx>
        <w:trPr>
          <w:trHeight w:val="83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3D19C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0A62DC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68B0F0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6EB7E1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3F5BB78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34D1698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D61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未配备海务或机务管理人员的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2C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处二万五千元以上三万元以下的罚款</w:t>
            </w:r>
          </w:p>
        </w:tc>
      </w:tr>
      <w:tr w14:paraId="761D2897">
        <w:tblPrEx>
          <w:tblCellMar>
            <w:top w:w="0" w:type="dxa"/>
            <w:left w:w="108" w:type="dxa"/>
            <w:bottom w:w="0" w:type="dxa"/>
            <w:right w:w="108" w:type="dxa"/>
          </w:tblCellMar>
        </w:tblPrEx>
        <w:trPr>
          <w:trHeight w:val="966"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817CB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19</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1593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水路运输辅助业务经营者未履行备案义务或者报告义务</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83D13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550FBB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第十条  发生下列情况后，船舶管理业务经营者应当在15个工作日内以书面形式向原许可机关备案，并提供相关证明材料：</w:t>
            </w:r>
          </w:p>
          <w:p w14:paraId="663ABCE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（一）法定代表人或者主要股东发生变化；</w:t>
            </w:r>
          </w:p>
          <w:p w14:paraId="4083AE8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（二）固定的办公场所发生变化；</w:t>
            </w:r>
          </w:p>
          <w:p w14:paraId="3219A1D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（三）海务、机务管理人员发生变化；</w:t>
            </w:r>
          </w:p>
          <w:p w14:paraId="132B6BC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（四）管理的船舶发生重大以上安全责任事故；</w:t>
            </w:r>
          </w:p>
          <w:p w14:paraId="288C53B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（五）接受管理的船舶或者委托管理协议发生变化。</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C6D82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5109ECE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第三十六条第（一）项  水路运输辅助业务经营者违反本规定，有下列行为之一的，由其所在地县级以上人民政府水路运输管理部门责令改正，处2000元以上1万元以下的罚款；一年内累计三次以上违反本规定的，处1万元以上3万元以下的罚款：（一）未履行备案或者报告义务。</w:t>
            </w: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3DFE916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7A5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同时满足：</w:t>
            </w:r>
          </w:p>
          <w:p w14:paraId="1713A89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3A590EF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1BFD074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3.不属于未报告船舶发生重大以上安全和污染责任事故的情形。</w:t>
            </w:r>
          </w:p>
          <w:p w14:paraId="46BA9E0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4.经责令改正，在执法部门规定的期限补充完成备案或报告义务；</w:t>
            </w:r>
          </w:p>
          <w:p w14:paraId="4BAE8BB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5.未发生事故，危害后果轻微。</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18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bidi="ar"/>
              </w:rPr>
              <w:t>不予处罚</w:t>
            </w:r>
          </w:p>
        </w:tc>
      </w:tr>
      <w:tr w14:paraId="4F22FE30">
        <w:tblPrEx>
          <w:tblCellMar>
            <w:top w:w="0" w:type="dxa"/>
            <w:left w:w="108" w:type="dxa"/>
            <w:bottom w:w="0" w:type="dxa"/>
            <w:right w:w="108" w:type="dxa"/>
          </w:tblCellMar>
        </w:tblPrEx>
        <w:trPr>
          <w:trHeight w:val="9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09FA8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440DF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E9DB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9A55E2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71E0FA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303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两次</w:t>
            </w:r>
            <w:r>
              <w:rPr>
                <w:rFonts w:hint="eastAsia" w:asciiTheme="majorEastAsia" w:hAnsiTheme="majorEastAsia" w:eastAsiaTheme="majorEastAsia" w:cstheme="majorEastAsia"/>
                <w:b w:val="0"/>
                <w:bCs w:val="0"/>
                <w:color w:val="000000"/>
                <w:kern w:val="0"/>
                <w:sz w:val="18"/>
                <w:szCs w:val="18"/>
                <w:lang w:val="en-US" w:eastAsia="zh-CN" w:bidi="ar"/>
              </w:rPr>
              <w:t>以下</w:t>
            </w:r>
            <w:r>
              <w:rPr>
                <w:rFonts w:hint="eastAsia" w:asciiTheme="majorEastAsia" w:hAnsiTheme="majorEastAsia" w:eastAsiaTheme="majorEastAsia" w:cstheme="majorEastAsia"/>
                <w:b w:val="0"/>
                <w:bCs w:val="0"/>
                <w:color w:val="000000"/>
                <w:kern w:val="0"/>
                <w:sz w:val="18"/>
                <w:szCs w:val="18"/>
                <w:lang w:bidi="ar"/>
              </w:rPr>
              <w:t>未履行备案或者报告义务的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03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58464AA7">
        <w:tblPrEx>
          <w:tblCellMar>
            <w:top w:w="0" w:type="dxa"/>
            <w:left w:w="108" w:type="dxa"/>
            <w:bottom w:w="0" w:type="dxa"/>
            <w:right w:w="108" w:type="dxa"/>
          </w:tblCellMar>
        </w:tblPrEx>
        <w:trPr>
          <w:trHeight w:val="535"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C69D7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FFB5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2B07B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C8309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4B47141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71E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累计三次未履行备案或者报告义务的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25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35B6FD91">
        <w:tblPrEx>
          <w:tblCellMar>
            <w:top w:w="0" w:type="dxa"/>
            <w:left w:w="108" w:type="dxa"/>
            <w:bottom w:w="0" w:type="dxa"/>
            <w:right w:w="108" w:type="dxa"/>
          </w:tblCellMar>
        </w:tblPrEx>
        <w:trPr>
          <w:trHeight w:val="514"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DDFBC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0C555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A3806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B9867C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636AC83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D2E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累计四次未履行备案或者报告义务的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B9A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6095B5FF">
        <w:tblPrEx>
          <w:tblCellMar>
            <w:top w:w="0" w:type="dxa"/>
            <w:left w:w="108" w:type="dxa"/>
            <w:bottom w:w="0" w:type="dxa"/>
            <w:right w:w="108" w:type="dxa"/>
          </w:tblCellMar>
        </w:tblPrEx>
        <w:trPr>
          <w:trHeight w:val="72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4EA6C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D22C3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9534A5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7A344C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auto" w:sz="4" w:space="0"/>
              <w:bottom w:val="single" w:color="000000" w:sz="4" w:space="0"/>
              <w:right w:val="single" w:color="000000" w:sz="4" w:space="0"/>
            </w:tcBorders>
            <w:shd w:val="clear" w:color="auto" w:fill="auto"/>
            <w:vAlign w:val="center"/>
          </w:tcPr>
          <w:p w14:paraId="67C666B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637E3D6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4E8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累计五次及以上未履行备案或者报告义务的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64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1523881C">
        <w:tblPrEx>
          <w:tblCellMar>
            <w:top w:w="0" w:type="dxa"/>
            <w:left w:w="108" w:type="dxa"/>
            <w:bottom w:w="0" w:type="dxa"/>
            <w:right w:w="108" w:type="dxa"/>
          </w:tblCellMar>
        </w:tblPrEx>
        <w:trPr>
          <w:trHeight w:val="3040"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ECC3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0</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1F272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水路运输辅助业务经营者未依法取得水路运输业务经营许可或者超越许可范围的经营者提供水路运输辅助服务</w:t>
            </w:r>
          </w:p>
        </w:tc>
        <w:tc>
          <w:tcPr>
            <w:tcW w:w="303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39F8496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color w:val="000000"/>
                <w:kern w:val="0"/>
                <w:sz w:val="18"/>
                <w:szCs w:val="18"/>
                <w:lang w:val="en" w:bidi="ar"/>
              </w:rPr>
            </w:pP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68236AB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第二十二条第（二）项  水路运输辅助业务经营者不得有以下行为：（二）为未依法取得水路运输业务经营许可或者超越许可范围的经营者提供水路运输辅助服务。</w:t>
            </w:r>
          </w:p>
        </w:tc>
        <w:tc>
          <w:tcPr>
            <w:tcW w:w="31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4E2C60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6DC7237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第三十六条第（二）项  水路运输辅助业务经营者违反本规定，有下列行为之一的，由其所在地县级以上人民政府水路运输管理部门责令改正，处2000元以上1万元以下的罚款；一年内累计三次以上违反本规定的，处1万元以上3万元以下的罚款：（二）为未依法取得水路运输业务经营许可或者超越许可范围的经营者提供水路运输辅助服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73B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较轻</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482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同时满足：</w:t>
            </w:r>
          </w:p>
          <w:p w14:paraId="338C106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1.</w:t>
            </w: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sz w:val="18"/>
                <w:szCs w:val="18"/>
              </w:rPr>
              <w:t>首次被查获实施违法行为；</w:t>
            </w:r>
          </w:p>
          <w:p w14:paraId="2FD69CC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2.违法行为调查过程中，不存在拒不接受执法部门调查处理、阻碍执法、煽动抗拒执法等妨碍执行公务的行为；</w:t>
            </w:r>
          </w:p>
          <w:p w14:paraId="16F1BE6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3.危害后果轻微，未发生事故；</w:t>
            </w:r>
          </w:p>
          <w:p w14:paraId="3027950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4.经责令当场改正或者限期内及时改正且承诺不再实施违法行为。</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DB4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val="en-US" w:eastAsia="zh-CN"/>
              </w:rPr>
              <w:t>不予处罚</w:t>
            </w:r>
          </w:p>
        </w:tc>
      </w:tr>
      <w:tr w14:paraId="722FA89C">
        <w:tblPrEx>
          <w:tblCellMar>
            <w:top w:w="0" w:type="dxa"/>
            <w:left w:w="108" w:type="dxa"/>
            <w:bottom w:w="0" w:type="dxa"/>
            <w:right w:w="108" w:type="dxa"/>
          </w:tblCellMar>
        </w:tblPrEx>
        <w:trPr>
          <w:trHeight w:val="982"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9D37B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57D26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0790E9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9ADA2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080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AFDF">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两次以下为未依法取得水路运输业务经营许可或者超越许可范围的经营者提供水路运输辅助服务的。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3B7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1DB8D622">
        <w:tblPrEx>
          <w:tblCellMar>
            <w:top w:w="0" w:type="dxa"/>
            <w:left w:w="108" w:type="dxa"/>
            <w:bottom w:w="0" w:type="dxa"/>
            <w:right w:w="108" w:type="dxa"/>
          </w:tblCellMar>
        </w:tblPrEx>
        <w:trPr>
          <w:trHeight w:val="102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0BDC2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EB4B4A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269362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387AD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8F6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BE6">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累计三次为未依法取得水路运输业务经营许可或者超越许可范围的经营者提供水路运输辅助服务的。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F5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6C28C29E">
        <w:tblPrEx>
          <w:tblCellMar>
            <w:top w:w="0" w:type="dxa"/>
            <w:left w:w="108" w:type="dxa"/>
            <w:bottom w:w="0" w:type="dxa"/>
            <w:right w:w="108" w:type="dxa"/>
          </w:tblCellMar>
        </w:tblPrEx>
        <w:trPr>
          <w:trHeight w:val="1066"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72D2A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FE123E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7ED2D2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113E7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9AF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0DEE">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累计四次为未依法取得水路运输业务经营许可或者超越许可范围的经营者提供水路运输辅助服务的。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C94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317E9F94">
        <w:tblPrEx>
          <w:tblCellMar>
            <w:top w:w="0" w:type="dxa"/>
            <w:left w:w="108" w:type="dxa"/>
            <w:bottom w:w="0" w:type="dxa"/>
            <w:right w:w="108" w:type="dxa"/>
          </w:tblCellMar>
        </w:tblPrEx>
        <w:trPr>
          <w:trHeight w:val="110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760D9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4F2F71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8DA181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49821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6979BBF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7376BC1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080E2660">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累计五次及以上为未依法取得水路运输业务经营许可或者超越许可范围的经营者提供水路运输辅助服务的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5F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759CF9B6">
        <w:tblPrEx>
          <w:tblCellMar>
            <w:top w:w="0" w:type="dxa"/>
            <w:left w:w="108" w:type="dxa"/>
            <w:bottom w:w="0" w:type="dxa"/>
            <w:right w:w="108" w:type="dxa"/>
          </w:tblCellMar>
        </w:tblPrEx>
        <w:trPr>
          <w:trHeight w:val="2153"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A73E2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1</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76EF7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水路运输辅助业务经营者与船舶所有人、经营人、承租人未订立船舶管理协议或者协议未对船舶海务、机务管理责任做出明确规定</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D96B8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0B7435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第十六条  船舶管理业务经营者接受委托提供船舶管理服务，应当与委托人订立书面协议，载明委托双方当事人的权利义务。</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3C7E9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5B04E7B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第三十六条第（三）项  水路运输辅助业务经营者违反本规定，有下列行为之一的，由其所在地县级以上人民政府水路运输管理部门责令改正，处2000元以上1万元以下的罚款；一年内累计三次以上违反本规定的，处1万元以上3万元以下的罚款：（三）与船舶所有人、经营人、承租人未订立船舶管理协议或者协议未对船舶海务、机务管理责任做出明确规定。</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32BF63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558D7ED1">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lang w:eastAsia="zh-CN"/>
              </w:rPr>
            </w:pPr>
            <w:r>
              <w:rPr>
                <w:rFonts w:hint="eastAsia" w:asciiTheme="majorEastAsia" w:hAnsiTheme="majorEastAsia" w:eastAsiaTheme="majorEastAsia" w:cstheme="majorEastAsia"/>
                <w:b w:val="0"/>
                <w:bCs w:val="0"/>
                <w:color w:val="000000"/>
                <w:sz w:val="18"/>
                <w:szCs w:val="18"/>
                <w:lang w:eastAsia="zh-CN"/>
              </w:rPr>
              <w:t>同时满足：</w:t>
            </w:r>
          </w:p>
          <w:p w14:paraId="763EADD3">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sz w:val="18"/>
                <w:szCs w:val="18"/>
              </w:rPr>
              <w:t>1</w:t>
            </w:r>
            <w:r>
              <w:rPr>
                <w:rFonts w:hint="eastAsia" w:asciiTheme="majorEastAsia" w:hAnsiTheme="majorEastAsia" w:eastAsiaTheme="majorEastAsia" w:cstheme="majorEastAsia"/>
                <w:b w:val="0"/>
                <w:bCs w:val="0"/>
                <w:color w:val="000000"/>
                <w:sz w:val="18"/>
                <w:szCs w:val="18"/>
                <w:lang w:val="en-US" w:eastAsia="zh-CN"/>
              </w:rPr>
              <w:t>.</w:t>
            </w:r>
            <w:r>
              <w:rPr>
                <w:rFonts w:hint="eastAsia" w:asciiTheme="majorEastAsia" w:hAnsiTheme="majorEastAsia" w:eastAsiaTheme="majorEastAsia" w:cstheme="majorEastAsia"/>
                <w:color w:val="auto"/>
                <w:sz w:val="18"/>
                <w:szCs w:val="18"/>
              </w:rPr>
              <w:t>一个自然年度内在本省首次实施违法行为</w:t>
            </w:r>
            <w:r>
              <w:rPr>
                <w:rFonts w:hint="eastAsia" w:asciiTheme="majorEastAsia" w:hAnsiTheme="majorEastAsia" w:eastAsiaTheme="majorEastAsia" w:cstheme="majorEastAsia"/>
                <w:b w:val="0"/>
                <w:bCs w:val="0"/>
                <w:color w:val="000000"/>
                <w:sz w:val="18"/>
                <w:szCs w:val="18"/>
              </w:rPr>
              <w:t>；</w:t>
            </w:r>
          </w:p>
          <w:p w14:paraId="575A8478">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sz w:val="18"/>
                <w:szCs w:val="18"/>
              </w:rPr>
              <w:t>2.违法行为调查过程中，不存在拒不接受执法部门调查处理、阻碍执法、煽动抗拒执法等妨碍执行公务的行为；</w:t>
            </w:r>
          </w:p>
          <w:p w14:paraId="544C88A8">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sz w:val="18"/>
                <w:szCs w:val="18"/>
              </w:rPr>
              <w:t>3.危害后果轻微，未发生事故；</w:t>
            </w:r>
          </w:p>
          <w:p w14:paraId="4BA75089">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sz w:val="18"/>
                <w:szCs w:val="18"/>
              </w:rPr>
              <w:t>4.经责令当场改正或者限期内及时改正且承诺不再实施违法行为。</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047D1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lang w:eastAsia="zh-CN"/>
              </w:rPr>
            </w:pPr>
            <w:r>
              <w:rPr>
                <w:rFonts w:hint="eastAsia" w:asciiTheme="majorEastAsia" w:hAnsiTheme="majorEastAsia" w:eastAsiaTheme="majorEastAsia" w:cstheme="majorEastAsia"/>
                <w:b w:val="0"/>
                <w:bCs w:val="0"/>
                <w:color w:val="000000"/>
                <w:kern w:val="0"/>
                <w:sz w:val="18"/>
                <w:szCs w:val="18"/>
                <w:lang w:val="en-US" w:eastAsia="zh-CN" w:bidi="ar"/>
              </w:rPr>
              <w:t>不予处罚</w:t>
            </w:r>
          </w:p>
        </w:tc>
      </w:tr>
      <w:tr w14:paraId="6F5FFADB">
        <w:tblPrEx>
          <w:tblCellMar>
            <w:top w:w="0" w:type="dxa"/>
            <w:left w:w="108" w:type="dxa"/>
            <w:bottom w:w="0" w:type="dxa"/>
            <w:right w:w="108" w:type="dxa"/>
          </w:tblCellMar>
        </w:tblPrEx>
        <w:trPr>
          <w:trHeight w:val="1222"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8178B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C6C7F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46D15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C3C81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103C6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88C7012">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w:t>
            </w:r>
            <w:r>
              <w:rPr>
                <w:rFonts w:hint="eastAsia" w:asciiTheme="majorEastAsia" w:hAnsiTheme="majorEastAsia" w:eastAsiaTheme="majorEastAsia" w:cstheme="majorEastAsia"/>
                <w:b w:val="0"/>
                <w:bCs w:val="0"/>
                <w:color w:val="000000"/>
                <w:kern w:val="0"/>
                <w:sz w:val="18"/>
                <w:szCs w:val="18"/>
                <w:lang w:bidi="ar"/>
              </w:rPr>
              <w:t>次</w:t>
            </w:r>
            <w:r>
              <w:rPr>
                <w:rFonts w:hint="eastAsia" w:asciiTheme="majorEastAsia" w:hAnsiTheme="majorEastAsia" w:eastAsiaTheme="majorEastAsia" w:cstheme="majorEastAsia"/>
                <w:b w:val="0"/>
                <w:bCs w:val="0"/>
                <w:color w:val="000000"/>
                <w:kern w:val="0"/>
                <w:sz w:val="18"/>
                <w:szCs w:val="18"/>
                <w:lang w:val="en-US" w:eastAsia="zh-CN" w:bidi="ar"/>
              </w:rPr>
              <w:t>以下</w:t>
            </w:r>
            <w:r>
              <w:rPr>
                <w:rFonts w:hint="eastAsia" w:asciiTheme="majorEastAsia" w:hAnsiTheme="majorEastAsia" w:eastAsiaTheme="majorEastAsia" w:cstheme="majorEastAsia"/>
                <w:b w:val="0"/>
                <w:bCs w:val="0"/>
                <w:color w:val="000000"/>
                <w:kern w:val="0"/>
                <w:sz w:val="18"/>
                <w:szCs w:val="18"/>
                <w:lang w:bidi="ar"/>
              </w:rPr>
              <w:t>与船舶所有人、经营人、承租人未订立船舶管理协议或者协议未对船舶海务、机务管理责任做出明确规定的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33477C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235CD981">
        <w:tblPrEx>
          <w:tblCellMar>
            <w:top w:w="0" w:type="dxa"/>
            <w:left w:w="108" w:type="dxa"/>
            <w:bottom w:w="0" w:type="dxa"/>
            <w:right w:w="108" w:type="dxa"/>
          </w:tblCellMar>
        </w:tblPrEx>
        <w:trPr>
          <w:trHeight w:val="1127"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E9121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F0EB2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4D689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0DFE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8462EB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7FFE2C5">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累计三次与船舶所有人、经营人、承租人未订立船舶管理协议或者协议未对船舶海务、机务管理责任做出明确规定相关规定的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755B63A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5CBF7B00">
        <w:tblPrEx>
          <w:tblCellMar>
            <w:top w:w="0" w:type="dxa"/>
            <w:left w:w="108" w:type="dxa"/>
            <w:bottom w:w="0" w:type="dxa"/>
            <w:right w:w="108" w:type="dxa"/>
          </w:tblCellMar>
        </w:tblPrEx>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C2B9A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8722B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62EB8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131A1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C71F3C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6E3C9F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累计四次与船舶所有人、经营人、承租人未订立船舶管理协议或者协议未对船舶海务、机务管理责任做出明确规定的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E8FB0A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5B759BF8">
        <w:tblPrEx>
          <w:tblCellMar>
            <w:top w:w="0" w:type="dxa"/>
            <w:left w:w="108" w:type="dxa"/>
            <w:bottom w:w="0" w:type="dxa"/>
            <w:right w:w="108" w:type="dxa"/>
          </w:tblCellMar>
        </w:tblPrEx>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3E71A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5B82C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6641F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272FA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767B5F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0A844B7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02C994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累计五次及以上与船舶所有人、经营人、承租人未订立船舶管理协议或者协议未对船舶海务、机务管理责任做出明确规定的</w:t>
            </w:r>
          </w:p>
        </w:tc>
        <w:tc>
          <w:tcPr>
            <w:tcW w:w="2760" w:type="dxa"/>
            <w:tcBorders>
              <w:top w:val="single" w:color="000000" w:sz="4" w:space="0"/>
              <w:left w:val="single" w:color="auto" w:sz="4" w:space="0"/>
              <w:bottom w:val="single" w:color="auto" w:sz="4" w:space="0"/>
              <w:right w:val="single" w:color="000000" w:sz="4" w:space="0"/>
            </w:tcBorders>
            <w:shd w:val="clear" w:color="auto" w:fill="auto"/>
            <w:vAlign w:val="center"/>
          </w:tcPr>
          <w:p w14:paraId="181E134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5F805719">
        <w:tblPrEx>
          <w:tblCellMar>
            <w:top w:w="0" w:type="dxa"/>
            <w:left w:w="108" w:type="dxa"/>
            <w:bottom w:w="0" w:type="dxa"/>
            <w:right w:w="108" w:type="dxa"/>
          </w:tblCellMar>
        </w:tblPrEx>
        <w:trPr>
          <w:trHeight w:val="2540"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24D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2</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F6AE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水路运输辅助业务经营者未订立书面合同、强行代理或者代办业务</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5807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46DA1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  水路运输辅助业务经营者不得有以下行为：（三）未订立书面合同、强行代理或者代办业务。</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09B3B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63C990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第三十六条第（四）项  水路运输辅助业务经营者违反本规定，有下列行为之一的，由其所在地县级以上人民政府水路运输管理部门责令改正，处2000元以上1万元以下的罚款；一年内累计三次以上违反本规定的，处1万元以上3万元以下的罚款：（四）未订立书面合同、强行代理或者代办业务。</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1C5025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5E9384A1">
            <w:pPr>
              <w:widowControl/>
              <w:spacing w:line="240" w:lineRule="exact"/>
              <w:jc w:val="both"/>
              <w:textAlignment w:val="center"/>
            </w:pPr>
            <w:r>
              <w:rPr>
                <w:rFonts w:hint="eastAsia" w:asciiTheme="majorEastAsia" w:hAnsiTheme="majorEastAsia" w:eastAsiaTheme="majorEastAsia" w:cstheme="majorEastAsia"/>
                <w:b w:val="0"/>
                <w:bCs w:val="0"/>
                <w:color w:val="000000"/>
                <w:kern w:val="0"/>
                <w:sz w:val="18"/>
                <w:szCs w:val="18"/>
                <w:lang w:eastAsia="zh-CN" w:bidi="ar"/>
              </w:rPr>
              <w:t>同时满足：</w:t>
            </w:r>
          </w:p>
          <w:p w14:paraId="1D027ED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25EF4A5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5916E94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3.危害后果轻微，未发生事故；</w:t>
            </w:r>
          </w:p>
          <w:p w14:paraId="048B18B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kern w:val="0"/>
                <w:sz w:val="18"/>
                <w:szCs w:val="18"/>
                <w:lang w:bidi="ar"/>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0CBF4AB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lang w:eastAsia="zh-CN"/>
              </w:rPr>
            </w:pPr>
            <w:r>
              <w:rPr>
                <w:rFonts w:hint="eastAsia" w:asciiTheme="majorEastAsia" w:hAnsiTheme="majorEastAsia" w:eastAsiaTheme="majorEastAsia" w:cstheme="majorEastAsia"/>
                <w:b w:val="0"/>
                <w:bCs w:val="0"/>
                <w:color w:val="000000"/>
                <w:kern w:val="0"/>
                <w:sz w:val="18"/>
                <w:szCs w:val="18"/>
                <w:lang w:val="en-US" w:eastAsia="zh-CN" w:bidi="ar"/>
              </w:rPr>
              <w:t>不予处罚</w:t>
            </w:r>
          </w:p>
        </w:tc>
      </w:tr>
      <w:tr w14:paraId="0BDDF49C">
        <w:tblPrEx>
          <w:tblCellMar>
            <w:top w:w="0" w:type="dxa"/>
            <w:left w:w="108" w:type="dxa"/>
            <w:bottom w:w="0" w:type="dxa"/>
            <w:right w:w="108" w:type="dxa"/>
          </w:tblCellMar>
        </w:tblPrEx>
        <w:trPr>
          <w:trHeight w:val="96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F6A99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BF953A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2D098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3223D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904B2E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9EA23C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未订立书面合同、强行代理或者代办业务的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77C6E72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3BD6865F">
        <w:tblPrEx>
          <w:tblCellMar>
            <w:top w:w="0" w:type="dxa"/>
            <w:left w:w="108" w:type="dxa"/>
            <w:bottom w:w="0" w:type="dxa"/>
            <w:right w:w="108" w:type="dxa"/>
          </w:tblCellMar>
        </w:tblPrEx>
        <w:trPr>
          <w:trHeight w:val="87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0D092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E5E757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E51A3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38F9C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6244F6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5D2676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累计三次未订立书面合同、强行代理或者代办业务的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BC917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052D72EB">
        <w:tblPrEx>
          <w:tblCellMar>
            <w:top w:w="0" w:type="dxa"/>
            <w:left w:w="108" w:type="dxa"/>
            <w:bottom w:w="0" w:type="dxa"/>
            <w:right w:w="108" w:type="dxa"/>
          </w:tblCellMar>
        </w:tblPrEx>
        <w:trPr>
          <w:trHeight w:val="94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CDADC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A0C27D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0C6D5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0F52F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F84788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2A59F7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累计四次未订立书面合同、强行代理或者代办业务的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119A39D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1E4289E2">
        <w:tblPrEx>
          <w:tblCellMar>
            <w:top w:w="0" w:type="dxa"/>
            <w:left w:w="108" w:type="dxa"/>
            <w:bottom w:w="0" w:type="dxa"/>
            <w:right w:w="108" w:type="dxa"/>
          </w:tblCellMar>
        </w:tblPrEx>
        <w:trPr>
          <w:trHeight w:val="89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24FD2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869376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61C24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2951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A1600A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04C45E6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A0C8F2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累计五次及以上未订立书面合同、强行代理或者代办业务的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7F11C5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747C98EE">
        <w:tblPrEx>
          <w:tblCellMar>
            <w:top w:w="0" w:type="dxa"/>
            <w:left w:w="108" w:type="dxa"/>
            <w:bottom w:w="0" w:type="dxa"/>
            <w:right w:w="108" w:type="dxa"/>
          </w:tblCellMar>
        </w:tblPrEx>
        <w:trPr>
          <w:trHeight w:val="564"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1410F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3</w:t>
            </w:r>
          </w:p>
        </w:tc>
        <w:tc>
          <w:tcPr>
            <w:tcW w:w="165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65ADE9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水路运输辅助业务经营者滥用优势地位，限制委托人选择其他代理或者船舶管理服务提供者</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82F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5EF2BA4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  水路运输辅助业务经营者不得有以下行为：（四）滥用优势地位，限制委托人选择其他代理或者船舶管理服务提供者。</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F0219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39A2604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第三十六条第（五）项  水路运输辅助业务经营者违反本规定，有下列行为之一的，由其所在地县级以上人民政府水路运输管理部门责令改正，处2000元以上1万元以下的罚款；一年内累计三次以上违反本规定的，处1万元以上3万元以下的罚款：（五）滥用优势地位，限制委托人选择其他代理或者船舶管理服务提供者。</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41F232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4E6CD7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同时满足：</w:t>
            </w:r>
          </w:p>
          <w:p w14:paraId="3BD6005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79E15B9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0343E91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3.危害后果轻微，未发生事故；</w:t>
            </w:r>
          </w:p>
          <w:p w14:paraId="2A8329E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kern w:val="0"/>
                <w:sz w:val="18"/>
                <w:szCs w:val="18"/>
                <w:lang w:bidi="ar"/>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1B2574B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不予处罚</w:t>
            </w:r>
          </w:p>
        </w:tc>
      </w:tr>
      <w:tr w14:paraId="74839DB0">
        <w:tblPrEx>
          <w:tblCellMar>
            <w:top w:w="0" w:type="dxa"/>
            <w:left w:w="108" w:type="dxa"/>
            <w:bottom w:w="0" w:type="dxa"/>
            <w:right w:w="108" w:type="dxa"/>
          </w:tblCellMar>
        </w:tblPrEx>
        <w:trPr>
          <w:trHeight w:val="844"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32FFC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B9F2B8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78794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1D1EF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00C03B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DFEEF9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二次滥用优势地位，限制委托人选择其他代理或者船舶管理服务提供者的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984E69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处两千元以上</w:t>
            </w:r>
            <w:r>
              <w:rPr>
                <w:rFonts w:hint="eastAsia" w:asciiTheme="majorEastAsia" w:hAnsiTheme="majorEastAsia" w:eastAsiaTheme="majorEastAsia" w:cstheme="majorEastAsia"/>
                <w:b w:val="0"/>
                <w:bCs w:val="0"/>
                <w:color w:val="000000"/>
                <w:kern w:val="0"/>
                <w:sz w:val="18"/>
                <w:szCs w:val="18"/>
                <w:lang w:val="en-US" w:eastAsia="zh-CN" w:bidi="ar"/>
              </w:rPr>
              <w:t>少于</w:t>
            </w:r>
            <w:r>
              <w:rPr>
                <w:rFonts w:hint="eastAsia" w:asciiTheme="majorEastAsia" w:hAnsiTheme="majorEastAsia" w:eastAsiaTheme="majorEastAsia" w:cstheme="majorEastAsia"/>
                <w:b w:val="0"/>
                <w:bCs w:val="0"/>
                <w:color w:val="000000"/>
                <w:kern w:val="0"/>
                <w:sz w:val="18"/>
                <w:szCs w:val="18"/>
                <w:lang w:bidi="ar"/>
              </w:rPr>
              <w:t>一万元罚款</w:t>
            </w:r>
          </w:p>
        </w:tc>
      </w:tr>
      <w:tr w14:paraId="4D4DEA94">
        <w:tblPrEx>
          <w:tblCellMar>
            <w:top w:w="0" w:type="dxa"/>
            <w:left w:w="108" w:type="dxa"/>
            <w:bottom w:w="0" w:type="dxa"/>
            <w:right w:w="108" w:type="dxa"/>
          </w:tblCellMar>
        </w:tblPrEx>
        <w:trPr>
          <w:trHeight w:val="92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A65CE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840579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2FF53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06613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F192FF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032E27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累计三次滥用优势地位，限制委托人选择其他代理或者船舶管理服务提供者的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DEF6A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0AFFC022">
        <w:tblPrEx>
          <w:tblCellMar>
            <w:top w:w="0" w:type="dxa"/>
            <w:left w:w="108" w:type="dxa"/>
            <w:bottom w:w="0" w:type="dxa"/>
            <w:right w:w="108" w:type="dxa"/>
          </w:tblCellMar>
        </w:tblPrEx>
        <w:trPr>
          <w:trHeight w:val="86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4DFD7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70636B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7548A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38AAF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1427D3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46FC6E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累计四次滥用优势地位，限制委托人选择其他代理或者船舶管理服务提供者的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7817B6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345710E9">
        <w:tblPrEx>
          <w:tblCellMar>
            <w:top w:w="0" w:type="dxa"/>
            <w:left w:w="108" w:type="dxa"/>
            <w:bottom w:w="0" w:type="dxa"/>
            <w:right w:w="108" w:type="dxa"/>
          </w:tblCellMar>
        </w:tblPrEx>
        <w:trPr>
          <w:trHeight w:val="96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0D43F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519673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3027EC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5706B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14:paraId="1000120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59233BC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000000" w:sz="4" w:space="0"/>
              <w:bottom w:val="single" w:color="auto" w:sz="4" w:space="0"/>
              <w:right w:val="single" w:color="000000" w:sz="4" w:space="0"/>
            </w:tcBorders>
            <w:shd w:val="clear" w:color="auto" w:fill="auto"/>
            <w:vAlign w:val="center"/>
          </w:tcPr>
          <w:p w14:paraId="4B44607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累计五次及以上滥用优势地位，限制委托人选择其他代理或者船舶管理服务提供者的</w:t>
            </w:r>
          </w:p>
        </w:tc>
        <w:tc>
          <w:tcPr>
            <w:tcW w:w="2760" w:type="dxa"/>
            <w:tcBorders>
              <w:top w:val="single" w:color="auto" w:sz="4" w:space="0"/>
              <w:left w:val="single" w:color="000000" w:sz="4" w:space="0"/>
              <w:bottom w:val="single" w:color="auto" w:sz="4" w:space="0"/>
              <w:right w:val="single" w:color="000000" w:sz="4" w:space="0"/>
            </w:tcBorders>
            <w:shd w:val="clear" w:color="auto" w:fill="auto"/>
            <w:vAlign w:val="center"/>
          </w:tcPr>
          <w:p w14:paraId="426010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72A586F1">
        <w:tblPrEx>
          <w:tblCellMar>
            <w:top w:w="0" w:type="dxa"/>
            <w:left w:w="108" w:type="dxa"/>
            <w:bottom w:w="0" w:type="dxa"/>
            <w:right w:w="108" w:type="dxa"/>
          </w:tblCellMar>
        </w:tblPrEx>
        <w:trPr>
          <w:trHeight w:val="626"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D6D32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4</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E316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水路运输辅助业务经营者虚假宣传，误导旅客或者委托人</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A097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B34301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第二十二条</w:t>
            </w:r>
            <w:r>
              <w:rPr>
                <w:rFonts w:hint="eastAsia" w:asciiTheme="majorEastAsia" w:hAnsiTheme="majorEastAsia" w:eastAsiaTheme="majorEastAsia" w:cstheme="majorEastAsia"/>
                <w:b w:val="0"/>
                <w:bCs w:val="0"/>
                <w:color w:val="000000"/>
                <w:kern w:val="0"/>
                <w:sz w:val="18"/>
                <w:szCs w:val="18"/>
                <w:lang w:val="en-US" w:eastAsia="zh-CN" w:bidi="ar"/>
              </w:rPr>
              <w:t xml:space="preserve">  </w:t>
            </w:r>
            <w:r>
              <w:rPr>
                <w:rFonts w:hint="eastAsia" w:asciiTheme="majorEastAsia" w:hAnsiTheme="majorEastAsia" w:eastAsiaTheme="majorEastAsia" w:cstheme="majorEastAsia"/>
                <w:b w:val="0"/>
                <w:bCs w:val="0"/>
                <w:color w:val="000000"/>
                <w:kern w:val="0"/>
                <w:sz w:val="18"/>
                <w:szCs w:val="18"/>
                <w:lang w:bidi="ar"/>
              </w:rPr>
              <w:t>水路运输辅助业务经营者不得有以下行为：</w:t>
            </w:r>
          </w:p>
          <w:p w14:paraId="1567B21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bCs/>
                <w:color w:val="000000"/>
                <w:sz w:val="18"/>
                <w:szCs w:val="18"/>
              </w:rPr>
            </w:pPr>
            <w:r>
              <w:rPr>
                <w:rFonts w:hint="eastAsia" w:asciiTheme="majorEastAsia" w:hAnsiTheme="majorEastAsia" w:eastAsiaTheme="majorEastAsia" w:cstheme="majorEastAsia"/>
                <w:b w:val="0"/>
                <w:bCs w:val="0"/>
                <w:color w:val="000000"/>
                <w:sz w:val="18"/>
                <w:szCs w:val="18"/>
              </w:rPr>
              <w:t>（五）发布虚假信息招揽业务；</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F66E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51D03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第三十六条第（六）项  水路运输辅助业务经营者违反本规定，有下列行为之一的，由其所在地县级以上人民政府水路运输管理部门责令改正，处2000元以上1万元以下的罚款；一年内累计三次以上违反本规定的，处1万元以上3万元以下的罚款：（六）进行虚假宣传，误导旅客或者委托人。</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105B09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178247E">
            <w:pPr>
              <w:widowControl/>
              <w:spacing w:line="220" w:lineRule="exact"/>
              <w:jc w:val="both"/>
              <w:textAlignment w:val="center"/>
            </w:pPr>
            <w:r>
              <w:rPr>
                <w:rFonts w:hint="eastAsia" w:asciiTheme="majorEastAsia" w:hAnsiTheme="majorEastAsia" w:eastAsiaTheme="majorEastAsia" w:cstheme="majorEastAsia"/>
                <w:b w:val="0"/>
                <w:bCs w:val="0"/>
                <w:color w:val="auto"/>
                <w:sz w:val="18"/>
                <w:szCs w:val="18"/>
                <w:lang w:eastAsia="zh-CN"/>
              </w:rPr>
              <w:t>同时满足：</w:t>
            </w:r>
          </w:p>
          <w:p w14:paraId="444B7727">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1.一个自然年度内在本省首次实施违法行为；</w:t>
            </w:r>
          </w:p>
          <w:p w14:paraId="095D9542">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2.违法行为调查过程中，不存在拒不接受执法部门调查处理、阻碍执法、煽动抗拒执法等妨碍执行公务的行为；</w:t>
            </w:r>
          </w:p>
          <w:p w14:paraId="457CA7A2">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3.危害后果轻微，未发生事故；</w:t>
            </w:r>
          </w:p>
          <w:p w14:paraId="5E4315D1">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color w:val="auto"/>
                <w:sz w:val="18"/>
                <w:szCs w:val="18"/>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59EB6A9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不予处罚</w:t>
            </w:r>
          </w:p>
        </w:tc>
      </w:tr>
      <w:tr w14:paraId="7531972F">
        <w:tblPrEx>
          <w:tblCellMar>
            <w:top w:w="0" w:type="dxa"/>
            <w:left w:w="108" w:type="dxa"/>
            <w:bottom w:w="0" w:type="dxa"/>
            <w:right w:w="108" w:type="dxa"/>
          </w:tblCellMar>
        </w:tblPrEx>
        <w:trPr>
          <w:trHeight w:val="587"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87D05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60AB8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D07D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9F839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79AD0D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E4EED2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进行虚假宣传，误导旅客或者委托人的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5ECC0E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5B128E13">
        <w:tblPrEx>
          <w:tblCellMar>
            <w:top w:w="0" w:type="dxa"/>
            <w:left w:w="108" w:type="dxa"/>
            <w:bottom w:w="0" w:type="dxa"/>
            <w:right w:w="108" w:type="dxa"/>
          </w:tblCellMar>
        </w:tblPrEx>
        <w:trPr>
          <w:trHeight w:val="663"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5A49D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6489A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97844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362CF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33DF6B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633404D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累计三次进行虚假宣传，误导旅客或者委托人的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1C79C18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20F1042B">
        <w:tblPrEx>
          <w:tblCellMar>
            <w:top w:w="0" w:type="dxa"/>
            <w:left w:w="108" w:type="dxa"/>
            <w:bottom w:w="0" w:type="dxa"/>
            <w:right w:w="108" w:type="dxa"/>
          </w:tblCellMar>
        </w:tblPrEx>
        <w:trPr>
          <w:trHeight w:val="689" w:hRule="atLeast"/>
        </w:trPr>
        <w:tc>
          <w:tcPr>
            <w:tcW w:w="588" w:type="dxa"/>
            <w:vMerge w:val="continue"/>
            <w:tcBorders>
              <w:top w:val="single" w:color="auto" w:sz="4" w:space="0"/>
              <w:left w:val="single" w:color="auto" w:sz="4" w:space="0"/>
              <w:right w:val="single" w:color="000000" w:sz="4" w:space="0"/>
            </w:tcBorders>
            <w:shd w:val="clear" w:color="auto" w:fill="auto"/>
            <w:vAlign w:val="center"/>
          </w:tcPr>
          <w:p w14:paraId="1C5CAF8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right w:val="single" w:color="000000" w:sz="4" w:space="0"/>
            </w:tcBorders>
            <w:shd w:val="clear" w:color="auto" w:fill="auto"/>
            <w:vAlign w:val="center"/>
          </w:tcPr>
          <w:p w14:paraId="753675E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5328FE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AF67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0BA3BF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DD2948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累计四次进行虚假宣传，误导旅客或者委托人的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1F0EFD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7690C6A5">
        <w:tblPrEx>
          <w:tblCellMar>
            <w:top w:w="0" w:type="dxa"/>
            <w:left w:w="108" w:type="dxa"/>
            <w:bottom w:w="0" w:type="dxa"/>
            <w:right w:w="108" w:type="dxa"/>
          </w:tblCellMar>
        </w:tblPrEx>
        <w:trPr>
          <w:trHeight w:val="742" w:hRule="atLeast"/>
        </w:trPr>
        <w:tc>
          <w:tcPr>
            <w:tcW w:w="588" w:type="dxa"/>
            <w:vMerge w:val="continue"/>
            <w:tcBorders>
              <w:left w:val="single" w:color="auto" w:sz="4" w:space="0"/>
              <w:bottom w:val="single" w:color="auto" w:sz="4" w:space="0"/>
              <w:right w:val="single" w:color="000000" w:sz="4" w:space="0"/>
            </w:tcBorders>
            <w:shd w:val="clear" w:color="auto" w:fill="auto"/>
            <w:vAlign w:val="center"/>
          </w:tcPr>
          <w:p w14:paraId="32C33C9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p>
        </w:tc>
        <w:tc>
          <w:tcPr>
            <w:tcW w:w="1656" w:type="dxa"/>
            <w:vMerge w:val="continue"/>
            <w:tcBorders>
              <w:left w:val="single" w:color="000000" w:sz="4" w:space="0"/>
              <w:bottom w:val="single" w:color="auto" w:sz="4" w:space="0"/>
              <w:right w:val="single" w:color="000000" w:sz="4" w:space="0"/>
            </w:tcBorders>
            <w:shd w:val="clear" w:color="auto" w:fill="auto"/>
            <w:vAlign w:val="center"/>
          </w:tcPr>
          <w:p w14:paraId="737954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0767D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B5F4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14:paraId="2540ED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574A63D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000000" w:sz="4" w:space="0"/>
              <w:bottom w:val="single" w:color="auto" w:sz="4" w:space="0"/>
              <w:right w:val="single" w:color="000000" w:sz="4" w:space="0"/>
            </w:tcBorders>
            <w:shd w:val="clear" w:color="auto" w:fill="auto"/>
            <w:vAlign w:val="center"/>
          </w:tcPr>
          <w:p w14:paraId="5AE3843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累计五次及以上进行虚假宣传，误导旅客或者委托人的</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1B531E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57CC0FC0">
        <w:tblPrEx>
          <w:tblCellMar>
            <w:top w:w="0" w:type="dxa"/>
            <w:left w:w="108" w:type="dxa"/>
            <w:bottom w:w="0" w:type="dxa"/>
            <w:right w:w="108" w:type="dxa"/>
          </w:tblCellMar>
        </w:tblPrEx>
        <w:trPr>
          <w:trHeight w:val="2576"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39C700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5</w:t>
            </w:r>
          </w:p>
        </w:tc>
        <w:tc>
          <w:tcPr>
            <w:tcW w:w="165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7CA6C5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水路运输辅助业务经营者以不正当方式或者不规范行为争抢客源、货源及提供其他水路运输辅助服务扰乱市场秩序</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1F8CD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4BCDDE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  水路运输辅助业务经营者不得有以下行为：（六）以不正当方式或者不规范行为提供其他水路运输辅助服务，扰乱市场秩序；</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A3D3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43FF22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第三十六条第（七）项  水路运输辅助业务经营者违反本规定，有下列行为之一的，由其所在地县级以上人民政府水路运输管理部门责令改正，处2000元以上1万元以下的罚款；一年内累计三次以上违反本规定的，处1万元以上3万元以下的罚款：（七）以不正当方式或者不规范行为争抢客源、货源及提供其他水路运输辅助服务，扰乱市场秩序。</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9D3D4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219C6D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同时满足：</w:t>
            </w:r>
          </w:p>
          <w:p w14:paraId="0D9E005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color w:val="auto"/>
                <w:sz w:val="18"/>
                <w:szCs w:val="18"/>
              </w:rPr>
              <w:t>1.一个自然年度内在本省首次实施违法行为</w:t>
            </w:r>
            <w:r>
              <w:rPr>
                <w:rFonts w:hint="eastAsia" w:asciiTheme="majorEastAsia" w:hAnsiTheme="majorEastAsia" w:eastAsiaTheme="majorEastAsia" w:cstheme="majorEastAsia"/>
                <w:b w:val="0"/>
                <w:bCs w:val="0"/>
                <w:color w:val="auto"/>
                <w:sz w:val="18"/>
                <w:szCs w:val="18"/>
              </w:rPr>
              <w:t>；</w:t>
            </w:r>
          </w:p>
          <w:p w14:paraId="011B9D1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2.违法行为调查过程中，不存在拒不接受执法部门调查处理、阻碍执法、煽动抗拒执法等妨碍执行公务的行为；</w:t>
            </w:r>
          </w:p>
          <w:p w14:paraId="77330FD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3.危害后果轻微，未发生事故；</w:t>
            </w:r>
          </w:p>
          <w:p w14:paraId="5B66D47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4.经责令当场改正或者限期内及时改正，且承诺不再实施违法行为。</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400ACF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val="en-US" w:eastAsia="zh-CN"/>
              </w:rPr>
              <w:t>不予处罚</w:t>
            </w:r>
          </w:p>
        </w:tc>
      </w:tr>
      <w:tr w14:paraId="191E5198">
        <w:tblPrEx>
          <w:tblCellMar>
            <w:top w:w="0" w:type="dxa"/>
            <w:left w:w="108" w:type="dxa"/>
            <w:bottom w:w="0" w:type="dxa"/>
            <w:right w:w="108" w:type="dxa"/>
          </w:tblCellMar>
        </w:tblPrEx>
        <w:trPr>
          <w:trHeight w:val="1021"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25AC3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9897FE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34ACA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1D558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33B62F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C9C7F11">
            <w:pPr>
              <w:keepNext w:val="0"/>
              <w:keepLines w:val="0"/>
              <w:pageBreakBefore w:val="0"/>
              <w:widowControl/>
              <w:kinsoku/>
              <w:wordWrap/>
              <w:overflowPunct/>
              <w:topLinePunct w:val="0"/>
              <w:autoSpaceDE/>
              <w:autoSpaceDN/>
              <w:bidi w:val="0"/>
              <w:adjustRightInd/>
              <w:snapToGrid/>
              <w:spacing w:line="23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以不正当方式或者不规范行为争抢客源、货源及提供其他水路运输辅助服务，扰乱市场秩序的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13EFF7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35051118">
        <w:tblPrEx>
          <w:tblCellMar>
            <w:top w:w="0" w:type="dxa"/>
            <w:left w:w="108" w:type="dxa"/>
            <w:bottom w:w="0" w:type="dxa"/>
            <w:right w:w="108" w:type="dxa"/>
          </w:tblCellMar>
        </w:tblPrEx>
        <w:trPr>
          <w:trHeight w:val="1068"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8964B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F37077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3351B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98B36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128D1E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623751F">
            <w:pPr>
              <w:keepNext w:val="0"/>
              <w:keepLines w:val="0"/>
              <w:pageBreakBefore w:val="0"/>
              <w:widowControl/>
              <w:kinsoku/>
              <w:wordWrap/>
              <w:overflowPunct/>
              <w:topLinePunct w:val="0"/>
              <w:autoSpaceDE/>
              <w:autoSpaceDN/>
              <w:bidi w:val="0"/>
              <w:adjustRightInd/>
              <w:snapToGrid/>
              <w:spacing w:line="23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累计三次以不正当方式或者不规范行为争抢客源、货源及提供其他水路运输辅助服务，扰乱市场秩序的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21107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5160FC1D">
        <w:tblPrEx>
          <w:tblCellMar>
            <w:top w:w="0" w:type="dxa"/>
            <w:left w:w="108" w:type="dxa"/>
            <w:bottom w:w="0" w:type="dxa"/>
            <w:right w:w="108" w:type="dxa"/>
          </w:tblCellMar>
        </w:tblPrEx>
        <w:trPr>
          <w:trHeight w:val="1138"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03592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C3D4BB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A7D00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693EA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F1A8E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D0EEA21">
            <w:pPr>
              <w:keepNext w:val="0"/>
              <w:keepLines w:val="0"/>
              <w:pageBreakBefore w:val="0"/>
              <w:widowControl/>
              <w:kinsoku/>
              <w:wordWrap/>
              <w:overflowPunct/>
              <w:topLinePunct w:val="0"/>
              <w:autoSpaceDE/>
              <w:autoSpaceDN/>
              <w:bidi w:val="0"/>
              <w:adjustRightInd/>
              <w:snapToGrid/>
              <w:spacing w:line="23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累计四次以不正当方式或者不规范行为争抢客源、货源及提供其他水路运输辅助服务，扰乱市场秩序的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2801063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539EB40B">
        <w:tblPrEx>
          <w:tblCellMar>
            <w:top w:w="0" w:type="dxa"/>
            <w:left w:w="108" w:type="dxa"/>
            <w:bottom w:w="0" w:type="dxa"/>
            <w:right w:w="108" w:type="dxa"/>
          </w:tblCellMar>
        </w:tblPrEx>
        <w:trPr>
          <w:trHeight w:val="1286" w:hRule="atLeast"/>
        </w:trPr>
        <w:tc>
          <w:tcPr>
            <w:tcW w:w="588" w:type="dxa"/>
            <w:tcBorders>
              <w:top w:val="single" w:color="auto" w:sz="4" w:space="0"/>
              <w:left w:val="single" w:color="000000" w:sz="4" w:space="0"/>
              <w:bottom w:val="single" w:color="auto" w:sz="4" w:space="0"/>
              <w:right w:val="single" w:color="000000" w:sz="4" w:space="0"/>
            </w:tcBorders>
            <w:shd w:val="clear" w:color="auto" w:fill="auto"/>
            <w:vAlign w:val="center"/>
          </w:tcPr>
          <w:p w14:paraId="0203968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bidi="ar"/>
              </w:rPr>
            </w:pPr>
          </w:p>
        </w:tc>
        <w:tc>
          <w:tcPr>
            <w:tcW w:w="1656" w:type="dxa"/>
            <w:tcBorders>
              <w:top w:val="single" w:color="auto" w:sz="4" w:space="0"/>
              <w:left w:val="single" w:color="000000" w:sz="4" w:space="0"/>
              <w:bottom w:val="single" w:color="auto" w:sz="4" w:space="0"/>
              <w:right w:val="single" w:color="000000" w:sz="4" w:space="0"/>
            </w:tcBorders>
            <w:shd w:val="clear" w:color="auto" w:fill="auto"/>
            <w:vAlign w:val="center"/>
          </w:tcPr>
          <w:p w14:paraId="7C98B4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3030" w:type="dxa"/>
            <w:tcBorders>
              <w:top w:val="single" w:color="auto" w:sz="4" w:space="0"/>
              <w:left w:val="single" w:color="000000" w:sz="4" w:space="0"/>
              <w:bottom w:val="single" w:color="auto" w:sz="4" w:space="0"/>
              <w:right w:val="single" w:color="000000" w:sz="4" w:space="0"/>
            </w:tcBorders>
            <w:shd w:val="clear" w:color="auto" w:fill="auto"/>
            <w:vAlign w:val="center"/>
          </w:tcPr>
          <w:p w14:paraId="2BECF6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3135" w:type="dxa"/>
            <w:tcBorders>
              <w:top w:val="single" w:color="auto" w:sz="4" w:space="0"/>
              <w:left w:val="single" w:color="000000" w:sz="4" w:space="0"/>
              <w:bottom w:val="single" w:color="auto" w:sz="4" w:space="0"/>
              <w:right w:val="single" w:color="000000" w:sz="4" w:space="0"/>
            </w:tcBorders>
            <w:shd w:val="clear" w:color="auto" w:fill="auto"/>
            <w:vAlign w:val="center"/>
          </w:tcPr>
          <w:p w14:paraId="771CA3A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lang w:bidi="ar"/>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F6915E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0747ED1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5B5982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累计五次及以上以不正当方式或者不规范行为争抢客源、货源及提供其他水路运输辅助服务，扰乱市场秩序的</w:t>
            </w:r>
          </w:p>
        </w:tc>
        <w:tc>
          <w:tcPr>
            <w:tcW w:w="2760" w:type="dxa"/>
            <w:tcBorders>
              <w:top w:val="single" w:color="000000" w:sz="4" w:space="0"/>
              <w:left w:val="single" w:color="auto" w:sz="4" w:space="0"/>
              <w:bottom w:val="single" w:color="000000" w:sz="4" w:space="0"/>
              <w:right w:val="single" w:color="000000" w:sz="4" w:space="0"/>
            </w:tcBorders>
            <w:shd w:val="clear" w:color="auto" w:fill="auto"/>
            <w:vAlign w:val="center"/>
          </w:tcPr>
          <w:p w14:paraId="64684A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26A0D86B">
        <w:tblPrEx>
          <w:tblCellMar>
            <w:top w:w="0" w:type="dxa"/>
            <w:left w:w="108" w:type="dxa"/>
            <w:bottom w:w="0" w:type="dxa"/>
            <w:right w:w="108" w:type="dxa"/>
          </w:tblCellMar>
        </w:tblPrEx>
        <w:trPr>
          <w:trHeight w:val="2122"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C0EE8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6</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1AFA0A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水路运输辅助业务经营者未在售票场所和售票网站的明显位置公布船舶、班期、班次、票价等信息</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E2727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44538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第二十三条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第一款</w:t>
            </w:r>
            <w:r>
              <w:rPr>
                <w:rFonts w:hint="eastAsia" w:asciiTheme="majorEastAsia" w:hAnsiTheme="majorEastAsia" w:eastAsiaTheme="majorEastAsia" w:cstheme="majorEastAsia"/>
                <w:color w:val="000000"/>
                <w:kern w:val="0"/>
                <w:sz w:val="18"/>
                <w:szCs w:val="18"/>
                <w:lang w:bidi="ar"/>
              </w:rPr>
              <w:t xml:space="preserve">  水路旅客运输代理业务经营者应当在售票场所和售票网站的明显位置公布船舶、班期、班次、票价等信息。</w:t>
            </w:r>
          </w:p>
        </w:tc>
        <w:tc>
          <w:tcPr>
            <w:tcW w:w="31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E13EC8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885E19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第三十六条第（八）项  水路运输辅助业务经营者违反本规定，有下列行为之一的，由其所在地县级以上人民政府水路运输管理部门责令改正，处2000元以上1万元以下的罚款；一年内累计三次以上违反本规定的，处1万元以上3万元以下的罚款：（八）未在售票场所和售票网站的明显位置公布船舶、班期、班次、票价等信息。</w:t>
            </w:r>
          </w:p>
        </w:tc>
        <w:tc>
          <w:tcPr>
            <w:tcW w:w="780" w:type="dxa"/>
            <w:tcBorders>
              <w:top w:val="single" w:color="auto" w:sz="4" w:space="0"/>
              <w:left w:val="single" w:color="000000" w:sz="4" w:space="0"/>
              <w:bottom w:val="single" w:color="000000" w:sz="4" w:space="0"/>
              <w:right w:val="single" w:color="000000" w:sz="4" w:space="0"/>
            </w:tcBorders>
            <w:shd w:val="clear" w:color="auto" w:fill="auto"/>
            <w:vAlign w:val="center"/>
          </w:tcPr>
          <w:p w14:paraId="5C68D1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715" w:type="dxa"/>
            <w:tcBorders>
              <w:top w:val="single" w:color="auto" w:sz="4" w:space="0"/>
              <w:left w:val="single" w:color="000000" w:sz="4" w:space="0"/>
              <w:bottom w:val="single" w:color="000000" w:sz="4" w:space="0"/>
              <w:right w:val="single" w:color="000000" w:sz="4" w:space="0"/>
            </w:tcBorders>
            <w:shd w:val="clear" w:color="auto" w:fill="auto"/>
            <w:vAlign w:val="center"/>
          </w:tcPr>
          <w:p w14:paraId="2A662FC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同时满足：</w:t>
            </w:r>
          </w:p>
          <w:p w14:paraId="2D9B1A38">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sz w:val="18"/>
                <w:szCs w:val="18"/>
                <w:lang w:val="en-US" w:eastAsia="zh-CN"/>
              </w:rPr>
              <w:t>1.</w:t>
            </w:r>
            <w:r>
              <w:rPr>
                <w:rFonts w:hint="eastAsia" w:asciiTheme="majorEastAsia" w:hAnsiTheme="majorEastAsia" w:eastAsiaTheme="majorEastAsia" w:cstheme="majorEastAsia"/>
                <w:color w:val="auto"/>
                <w:sz w:val="18"/>
                <w:szCs w:val="18"/>
              </w:rPr>
              <w:t>一个自然年度内在本省首次实施违法行为；</w:t>
            </w:r>
          </w:p>
          <w:p w14:paraId="11352D80">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2.违法行为调查过程中，不存在拒不接受执法部门调查处理、阻碍执法、煽动抗拒执法等妨碍执行公务的行为；</w:t>
            </w:r>
          </w:p>
          <w:p w14:paraId="709CE5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3.危害后果轻微，未发生事故；</w:t>
            </w:r>
          </w:p>
          <w:p w14:paraId="312C76F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4.经责令当场改正或者限期内及时改正，且承诺不再实施违法行为。</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231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US" w:eastAsia="zh-CN" w:bidi="ar"/>
              </w:rPr>
              <w:t>不予处罚</w:t>
            </w:r>
          </w:p>
        </w:tc>
      </w:tr>
      <w:tr w14:paraId="0032B437">
        <w:tblPrEx>
          <w:tblCellMar>
            <w:top w:w="0" w:type="dxa"/>
            <w:left w:w="108" w:type="dxa"/>
            <w:bottom w:w="0" w:type="dxa"/>
            <w:right w:w="108" w:type="dxa"/>
          </w:tblCellMar>
        </w:tblPrEx>
        <w:trPr>
          <w:trHeight w:val="1269"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DF509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8A1FF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3AB2A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55CF4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D82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000000" w:sz="4" w:space="0"/>
              <w:left w:val="single" w:color="000000" w:sz="4" w:space="0"/>
              <w:bottom w:val="nil"/>
              <w:right w:val="single" w:color="000000" w:sz="4" w:space="0"/>
            </w:tcBorders>
            <w:shd w:val="clear" w:color="auto" w:fill="auto"/>
            <w:vAlign w:val="center"/>
          </w:tcPr>
          <w:p w14:paraId="4B0524E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未在售票场所和售票网站的明显位置公布船舶、班期、班次、票价等信息的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6C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1607DB93">
        <w:tblPrEx>
          <w:tblCellMar>
            <w:top w:w="0" w:type="dxa"/>
            <w:left w:w="108" w:type="dxa"/>
            <w:bottom w:w="0" w:type="dxa"/>
            <w:right w:w="108" w:type="dxa"/>
          </w:tblCellMar>
        </w:tblPrEx>
        <w:trPr>
          <w:trHeight w:val="127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0B6BB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F19C8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79A35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9A280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3CE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nil"/>
              <w:right w:val="single" w:color="000000" w:sz="4" w:space="0"/>
            </w:tcBorders>
            <w:shd w:val="clear" w:color="auto" w:fill="auto"/>
            <w:vAlign w:val="center"/>
          </w:tcPr>
          <w:p w14:paraId="0657A3F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累计三次未在售票场所和售票网站的明显位置公布船舶、班期、班次、票价等信息的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BA3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40774D25">
        <w:tblPrEx>
          <w:tblCellMar>
            <w:top w:w="0" w:type="dxa"/>
            <w:left w:w="108" w:type="dxa"/>
            <w:bottom w:w="0" w:type="dxa"/>
            <w:right w:w="108" w:type="dxa"/>
          </w:tblCellMar>
        </w:tblPrEx>
        <w:trPr>
          <w:trHeight w:val="123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54495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CEDC8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91AF5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B5BE8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821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nil"/>
              <w:right w:val="single" w:color="000000" w:sz="4" w:space="0"/>
            </w:tcBorders>
            <w:shd w:val="clear" w:color="auto" w:fill="auto"/>
            <w:vAlign w:val="center"/>
          </w:tcPr>
          <w:p w14:paraId="1A7DD92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累计四次未在售票场所和售票网站的明显位置公布船舶、班期、班次、票价等信息的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0E0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67E83DCC">
        <w:tblPrEx>
          <w:tblCellMar>
            <w:top w:w="0" w:type="dxa"/>
            <w:left w:w="108" w:type="dxa"/>
            <w:bottom w:w="0" w:type="dxa"/>
            <w:right w:w="108" w:type="dxa"/>
          </w:tblCellMar>
        </w:tblPrEx>
        <w:trPr>
          <w:trHeight w:val="1177"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260ED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B602B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2A60A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34AFB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3F729BF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6BD77AB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432FF2F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累计五次及以上未在售票场所和售票网站的明显位置公布船舶、班期、班次、票价等信息的</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7C30B96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554843AA">
        <w:tblPrEx>
          <w:tblCellMar>
            <w:top w:w="0" w:type="dxa"/>
            <w:left w:w="108" w:type="dxa"/>
            <w:bottom w:w="0" w:type="dxa"/>
            <w:right w:w="108" w:type="dxa"/>
          </w:tblCellMar>
        </w:tblPrEx>
        <w:trPr>
          <w:trHeight w:val="1890" w:hRule="atLeast"/>
        </w:trPr>
        <w:tc>
          <w:tcPr>
            <w:tcW w:w="588" w:type="dxa"/>
            <w:vMerge w:val="restart"/>
            <w:tcBorders>
              <w:top w:val="single" w:color="auto" w:sz="4" w:space="0"/>
              <w:left w:val="single" w:color="000000" w:sz="4" w:space="0"/>
              <w:right w:val="single" w:color="000000" w:sz="4" w:space="0"/>
            </w:tcBorders>
            <w:shd w:val="clear" w:color="auto" w:fill="auto"/>
            <w:vAlign w:val="center"/>
          </w:tcPr>
          <w:p w14:paraId="7E35686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7</w:t>
            </w:r>
          </w:p>
        </w:tc>
        <w:tc>
          <w:tcPr>
            <w:tcW w:w="1656" w:type="dxa"/>
            <w:vMerge w:val="restart"/>
            <w:tcBorders>
              <w:top w:val="single" w:color="auto" w:sz="4" w:space="0"/>
              <w:left w:val="single" w:color="000000" w:sz="4" w:space="0"/>
              <w:right w:val="single" w:color="000000" w:sz="4" w:space="0"/>
            </w:tcBorders>
            <w:shd w:val="clear" w:color="auto" w:fill="auto"/>
            <w:vAlign w:val="center"/>
          </w:tcPr>
          <w:p w14:paraId="133A37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水路运输辅助业务经营者未以公布的票价或者变相变更公布的票价销售客票</w:t>
            </w:r>
          </w:p>
        </w:tc>
        <w:tc>
          <w:tcPr>
            <w:tcW w:w="3030" w:type="dxa"/>
            <w:vMerge w:val="restart"/>
            <w:tcBorders>
              <w:top w:val="single" w:color="auto" w:sz="4" w:space="0"/>
              <w:left w:val="single" w:color="000000" w:sz="4" w:space="0"/>
              <w:right w:val="single" w:color="auto" w:sz="4" w:space="0"/>
            </w:tcBorders>
            <w:shd w:val="clear" w:color="auto" w:fill="auto"/>
            <w:vAlign w:val="center"/>
          </w:tcPr>
          <w:p w14:paraId="0E488E0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2A73E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第二十三</w:t>
            </w:r>
            <w:r>
              <w:rPr>
                <w:rFonts w:hint="eastAsia" w:asciiTheme="majorEastAsia" w:hAnsiTheme="majorEastAsia" w:eastAsiaTheme="majorEastAsia" w:cstheme="majorEastAsia"/>
                <w:b w:val="0"/>
                <w:bCs w:val="0"/>
                <w:color w:val="000000"/>
                <w:kern w:val="0"/>
                <w:sz w:val="18"/>
                <w:szCs w:val="18"/>
                <w:lang w:bidi="ar"/>
              </w:rPr>
              <w:t>条</w:t>
            </w:r>
            <w:r>
              <w:rPr>
                <w:rFonts w:hint="eastAsia" w:asciiTheme="majorEastAsia" w:hAnsiTheme="majorEastAsia" w:eastAsiaTheme="majorEastAsia" w:cstheme="majorEastAsia"/>
                <w:b w:val="0"/>
                <w:bCs w:val="0"/>
                <w:color w:val="auto"/>
                <w:kern w:val="0"/>
                <w:sz w:val="18"/>
                <w:szCs w:val="18"/>
                <w:lang w:bidi="ar"/>
              </w:rPr>
              <w:t>第二款</w:t>
            </w:r>
            <w:r>
              <w:rPr>
                <w:rFonts w:hint="eastAsia" w:asciiTheme="majorEastAsia" w:hAnsiTheme="majorEastAsia" w:eastAsiaTheme="majorEastAsia" w:cstheme="majorEastAsia"/>
                <w:color w:val="000000"/>
                <w:kern w:val="0"/>
                <w:sz w:val="18"/>
                <w:szCs w:val="18"/>
                <w:lang w:bidi="ar"/>
              </w:rPr>
              <w:t xml:space="preserve">  水路旅客运输代理业务经营者应当以水路旅客运输业务经营者公布的票价销售客票，不得对相同条件的旅客实施不同的票价，不得以搭售、现金返还、加价等不正当方式变相变更公布的票价并获取不正当利益。</w:t>
            </w:r>
          </w:p>
        </w:tc>
        <w:tc>
          <w:tcPr>
            <w:tcW w:w="3135" w:type="dxa"/>
            <w:vMerge w:val="restart"/>
            <w:tcBorders>
              <w:top w:val="single" w:color="auto" w:sz="4" w:space="0"/>
              <w:left w:val="single" w:color="auto" w:sz="4" w:space="0"/>
              <w:right w:val="single" w:color="auto" w:sz="4" w:space="0"/>
            </w:tcBorders>
            <w:shd w:val="clear" w:color="auto" w:fill="auto"/>
            <w:vAlign w:val="center"/>
          </w:tcPr>
          <w:p w14:paraId="2E87DD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AC799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第三十六条第（九）项  水路运输辅助业务经营者违反本规定，有下列行为之一的，由其所在地县级以上人民政府水路运输管理部门责令改正，处2000元以上1万元以下的罚款；一年内累计三次以上违反本规定的，处1万元以上3万元以下的罚款：（九）未以公布的票价或者变相变更公布的票价销售客票。</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263E1A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较轻</w:t>
            </w:r>
          </w:p>
          <w:p w14:paraId="3C59654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569C74A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eastAsia="zh-CN" w:bidi="ar"/>
              </w:rPr>
              <w:t>同时满足：</w:t>
            </w:r>
          </w:p>
          <w:p w14:paraId="5A2210C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1.</w:t>
            </w:r>
            <w:r>
              <w:rPr>
                <w:rFonts w:hint="eastAsia" w:asciiTheme="majorEastAsia" w:hAnsiTheme="majorEastAsia" w:eastAsiaTheme="majorEastAsia" w:cstheme="majorEastAsia"/>
                <w:color w:val="auto"/>
                <w:sz w:val="18"/>
                <w:szCs w:val="18"/>
              </w:rPr>
              <w:t>一个自然年度内在本省首次实施违法行为</w:t>
            </w:r>
            <w:r>
              <w:rPr>
                <w:rFonts w:hint="eastAsia" w:asciiTheme="majorEastAsia" w:hAnsiTheme="majorEastAsia" w:eastAsiaTheme="majorEastAsia" w:cstheme="majorEastAsia"/>
                <w:b w:val="0"/>
                <w:bCs w:val="0"/>
                <w:color w:val="auto"/>
                <w:kern w:val="0"/>
                <w:sz w:val="18"/>
                <w:szCs w:val="18"/>
                <w:lang w:bidi="ar"/>
              </w:rPr>
              <w:t>；</w:t>
            </w:r>
          </w:p>
          <w:p w14:paraId="313DD81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2.违法行为调查过程中，不存在拒不接受执法部门调查处理、阻碍执法、煽动抗拒执法等妨碍执行公务的行为；</w:t>
            </w:r>
          </w:p>
          <w:p w14:paraId="650C5D3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3.危害后果轻微，未发生事故；</w:t>
            </w:r>
          </w:p>
          <w:p w14:paraId="38BDDB3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B11F57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val="en-US" w:eastAsia="zh-CN" w:bidi="ar"/>
              </w:rPr>
              <w:t>不予处罚</w:t>
            </w:r>
          </w:p>
        </w:tc>
      </w:tr>
      <w:tr w14:paraId="7ADA7350">
        <w:tblPrEx>
          <w:tblCellMar>
            <w:top w:w="0" w:type="dxa"/>
            <w:left w:w="108" w:type="dxa"/>
            <w:bottom w:w="0" w:type="dxa"/>
            <w:right w:w="108" w:type="dxa"/>
          </w:tblCellMar>
        </w:tblPrEx>
        <w:trPr>
          <w:trHeight w:val="90" w:hRule="atLeast"/>
        </w:trPr>
        <w:tc>
          <w:tcPr>
            <w:tcW w:w="588" w:type="dxa"/>
            <w:vMerge w:val="continue"/>
            <w:tcBorders>
              <w:left w:val="single" w:color="000000" w:sz="4" w:space="0"/>
              <w:right w:val="single" w:color="000000" w:sz="4" w:space="0"/>
            </w:tcBorders>
            <w:shd w:val="clear" w:color="auto" w:fill="auto"/>
            <w:vAlign w:val="center"/>
          </w:tcPr>
          <w:p w14:paraId="03CC23F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rPr>
            </w:pPr>
          </w:p>
        </w:tc>
        <w:tc>
          <w:tcPr>
            <w:tcW w:w="1656" w:type="dxa"/>
            <w:vMerge w:val="continue"/>
            <w:tcBorders>
              <w:left w:val="single" w:color="000000" w:sz="4" w:space="0"/>
              <w:right w:val="single" w:color="000000" w:sz="4" w:space="0"/>
            </w:tcBorders>
            <w:shd w:val="clear" w:color="auto" w:fill="auto"/>
            <w:vAlign w:val="center"/>
          </w:tcPr>
          <w:p w14:paraId="1FEE10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p>
        </w:tc>
        <w:tc>
          <w:tcPr>
            <w:tcW w:w="3030" w:type="dxa"/>
            <w:vMerge w:val="continue"/>
            <w:tcBorders>
              <w:left w:val="single" w:color="000000" w:sz="4" w:space="0"/>
              <w:right w:val="single" w:color="auto" w:sz="4" w:space="0"/>
            </w:tcBorders>
            <w:shd w:val="clear" w:color="auto" w:fill="auto"/>
            <w:vAlign w:val="center"/>
          </w:tcPr>
          <w:p w14:paraId="55FE8C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p>
        </w:tc>
        <w:tc>
          <w:tcPr>
            <w:tcW w:w="3135" w:type="dxa"/>
            <w:vMerge w:val="continue"/>
            <w:tcBorders>
              <w:left w:val="single" w:color="auto" w:sz="4" w:space="0"/>
              <w:right w:val="single" w:color="auto" w:sz="4" w:space="0"/>
            </w:tcBorders>
            <w:shd w:val="clear" w:color="auto" w:fill="auto"/>
            <w:vAlign w:val="center"/>
          </w:tcPr>
          <w:p w14:paraId="0B9B07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146CF3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p>
          <w:p w14:paraId="4DEFAF4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BD642D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未以公布的票价或者变相变更公布的票价销售客票的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15F6849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2C81200F">
        <w:tblPrEx>
          <w:tblCellMar>
            <w:top w:w="0" w:type="dxa"/>
            <w:left w:w="108" w:type="dxa"/>
            <w:bottom w:w="0" w:type="dxa"/>
            <w:right w:w="108" w:type="dxa"/>
          </w:tblCellMar>
        </w:tblPrEx>
        <w:trPr>
          <w:trHeight w:val="585" w:hRule="atLeast"/>
        </w:trPr>
        <w:tc>
          <w:tcPr>
            <w:tcW w:w="588" w:type="dxa"/>
            <w:vMerge w:val="continue"/>
            <w:tcBorders>
              <w:left w:val="single" w:color="000000" w:sz="4" w:space="0"/>
              <w:right w:val="single" w:color="000000" w:sz="4" w:space="0"/>
            </w:tcBorders>
            <w:shd w:val="clear" w:color="auto" w:fill="auto"/>
            <w:vAlign w:val="center"/>
          </w:tcPr>
          <w:p w14:paraId="6C5577E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left w:val="single" w:color="000000" w:sz="4" w:space="0"/>
              <w:right w:val="single" w:color="000000" w:sz="4" w:space="0"/>
            </w:tcBorders>
            <w:shd w:val="clear" w:color="auto" w:fill="auto"/>
            <w:vAlign w:val="center"/>
          </w:tcPr>
          <w:p w14:paraId="01659D4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left w:val="single" w:color="000000" w:sz="4" w:space="0"/>
              <w:right w:val="single" w:color="auto" w:sz="4" w:space="0"/>
            </w:tcBorders>
            <w:shd w:val="clear" w:color="auto" w:fill="auto"/>
            <w:vAlign w:val="center"/>
          </w:tcPr>
          <w:p w14:paraId="68C8C3C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left w:val="single" w:color="auto" w:sz="4" w:space="0"/>
              <w:right w:val="single" w:color="auto" w:sz="4" w:space="0"/>
            </w:tcBorders>
            <w:shd w:val="clear" w:color="auto" w:fill="auto"/>
            <w:vAlign w:val="center"/>
          </w:tcPr>
          <w:p w14:paraId="2DC9F76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EF4F2E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E1B4B7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累计三次未以公布的票价或者变相变更公布的票价销售客票的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60BCE5D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30897E1F">
        <w:tblPrEx>
          <w:tblCellMar>
            <w:top w:w="0" w:type="dxa"/>
            <w:left w:w="108" w:type="dxa"/>
            <w:bottom w:w="0" w:type="dxa"/>
            <w:right w:w="108" w:type="dxa"/>
          </w:tblCellMar>
        </w:tblPrEx>
        <w:trPr>
          <w:trHeight w:val="916" w:hRule="atLeast"/>
        </w:trPr>
        <w:tc>
          <w:tcPr>
            <w:tcW w:w="588" w:type="dxa"/>
            <w:vMerge w:val="continue"/>
            <w:tcBorders>
              <w:left w:val="single" w:color="000000" w:sz="4" w:space="0"/>
              <w:right w:val="single" w:color="000000" w:sz="4" w:space="0"/>
            </w:tcBorders>
            <w:shd w:val="clear" w:color="auto" w:fill="auto"/>
            <w:vAlign w:val="center"/>
          </w:tcPr>
          <w:p w14:paraId="0A1CC08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left w:val="single" w:color="000000" w:sz="4" w:space="0"/>
              <w:right w:val="single" w:color="000000" w:sz="4" w:space="0"/>
            </w:tcBorders>
            <w:shd w:val="clear" w:color="auto" w:fill="auto"/>
            <w:vAlign w:val="center"/>
          </w:tcPr>
          <w:p w14:paraId="5FF10BA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left w:val="single" w:color="000000" w:sz="4" w:space="0"/>
              <w:right w:val="single" w:color="auto" w:sz="4" w:space="0"/>
            </w:tcBorders>
            <w:shd w:val="clear" w:color="auto" w:fill="auto"/>
            <w:vAlign w:val="center"/>
          </w:tcPr>
          <w:p w14:paraId="1FD1546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left w:val="single" w:color="auto" w:sz="4" w:space="0"/>
              <w:right w:val="single" w:color="auto" w:sz="4" w:space="0"/>
            </w:tcBorders>
            <w:shd w:val="clear" w:color="auto" w:fill="auto"/>
            <w:vAlign w:val="center"/>
          </w:tcPr>
          <w:p w14:paraId="57E7980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0DF168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37E56A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累计四次未以公布的票价或者变相变更公布的票价销售客票的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9F7B36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7D46819C">
        <w:tblPrEx>
          <w:tblCellMar>
            <w:top w:w="0" w:type="dxa"/>
            <w:left w:w="108" w:type="dxa"/>
            <w:bottom w:w="0" w:type="dxa"/>
            <w:right w:w="108" w:type="dxa"/>
          </w:tblCellMar>
        </w:tblPrEx>
        <w:trPr>
          <w:trHeight w:val="1189" w:hRule="atLeast"/>
        </w:trPr>
        <w:tc>
          <w:tcPr>
            <w:tcW w:w="588" w:type="dxa"/>
            <w:vMerge w:val="continue"/>
            <w:tcBorders>
              <w:left w:val="single" w:color="000000" w:sz="4" w:space="0"/>
              <w:bottom w:val="single" w:color="auto" w:sz="4" w:space="0"/>
              <w:right w:val="single" w:color="000000" w:sz="4" w:space="0"/>
            </w:tcBorders>
            <w:shd w:val="clear" w:color="auto" w:fill="auto"/>
            <w:vAlign w:val="center"/>
          </w:tcPr>
          <w:p w14:paraId="1E67D94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left w:val="single" w:color="000000" w:sz="4" w:space="0"/>
              <w:bottom w:val="single" w:color="auto" w:sz="4" w:space="0"/>
              <w:right w:val="single" w:color="000000" w:sz="4" w:space="0"/>
            </w:tcBorders>
            <w:shd w:val="clear" w:color="auto" w:fill="auto"/>
            <w:vAlign w:val="center"/>
          </w:tcPr>
          <w:p w14:paraId="05321AA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left w:val="single" w:color="000000" w:sz="4" w:space="0"/>
              <w:bottom w:val="single" w:color="auto" w:sz="4" w:space="0"/>
              <w:right w:val="single" w:color="auto" w:sz="4" w:space="0"/>
            </w:tcBorders>
            <w:shd w:val="clear" w:color="auto" w:fill="auto"/>
            <w:vAlign w:val="center"/>
          </w:tcPr>
          <w:p w14:paraId="4EC9D2C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left w:val="single" w:color="auto" w:sz="4" w:space="0"/>
              <w:bottom w:val="single" w:color="auto" w:sz="4" w:space="0"/>
              <w:right w:val="single" w:color="auto" w:sz="4" w:space="0"/>
            </w:tcBorders>
            <w:shd w:val="clear" w:color="auto" w:fill="auto"/>
            <w:vAlign w:val="center"/>
          </w:tcPr>
          <w:p w14:paraId="56563D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14:paraId="7ABC6E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2477E48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000000" w:sz="4" w:space="0"/>
              <w:bottom w:val="single" w:color="auto" w:sz="4" w:space="0"/>
              <w:right w:val="single" w:color="000000" w:sz="4" w:space="0"/>
            </w:tcBorders>
            <w:shd w:val="clear" w:color="auto" w:fill="auto"/>
            <w:vAlign w:val="center"/>
          </w:tcPr>
          <w:p w14:paraId="70923F4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累计五次及以上未以公布的票价或者变相变更公布的票价销售客票的</w:t>
            </w:r>
          </w:p>
        </w:tc>
        <w:tc>
          <w:tcPr>
            <w:tcW w:w="2760" w:type="dxa"/>
            <w:tcBorders>
              <w:top w:val="single" w:color="auto" w:sz="4" w:space="0"/>
              <w:left w:val="single" w:color="000000" w:sz="4" w:space="0"/>
              <w:bottom w:val="single" w:color="auto" w:sz="4" w:space="0"/>
              <w:right w:val="single" w:color="000000" w:sz="4" w:space="0"/>
            </w:tcBorders>
            <w:shd w:val="clear" w:color="auto" w:fill="auto"/>
            <w:vAlign w:val="center"/>
          </w:tcPr>
          <w:p w14:paraId="4BA893C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298EF8B7">
        <w:tblPrEx>
          <w:tblCellMar>
            <w:top w:w="0" w:type="dxa"/>
            <w:left w:w="108" w:type="dxa"/>
            <w:bottom w:w="0" w:type="dxa"/>
            <w:right w:w="108" w:type="dxa"/>
          </w:tblCellMar>
        </w:tblPrEx>
        <w:trPr>
          <w:trHeight w:val="785"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CAFBB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2</w:t>
            </w:r>
            <w:r>
              <w:rPr>
                <w:rFonts w:hint="eastAsia" w:asciiTheme="majorEastAsia" w:hAnsiTheme="majorEastAsia" w:eastAsiaTheme="majorEastAsia" w:cstheme="majorEastAsia"/>
                <w:color w:val="000000"/>
                <w:kern w:val="0"/>
                <w:sz w:val="18"/>
                <w:szCs w:val="18"/>
                <w:lang w:val="en-US" w:eastAsia="zh-CN" w:bidi="ar"/>
              </w:rPr>
              <w:t>8</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C85BED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水路运输辅助业务经营者使用的运输单证不符合有关规定</w:t>
            </w:r>
          </w:p>
        </w:tc>
        <w:tc>
          <w:tcPr>
            <w:tcW w:w="3030"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3E8927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377CA0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第二十四条  水路运输辅助业务经营者应当使用规范的、符合有关法律法规和交通运输部规定的客票和运输单证。</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AE2FC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6E1D860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第三十六条第（十）项  水路运输辅助业务经营者违反本规定，有下列行为之一的，由其所在地县级以上人民政府水路运输管理部门责令改正，处2000元以上1万元以下的罚款；一年内累计三次以上违反本规定的，处1万元以上3万元以下的罚款：（十）使用的运输单证不符合有关规定。</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366FF9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52310D6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eastAsia="zh-CN" w:bidi="ar"/>
              </w:rPr>
              <w:t>同时满足：</w:t>
            </w:r>
          </w:p>
          <w:p w14:paraId="1D11EA5B">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color w:val="auto"/>
                <w:sz w:val="18"/>
                <w:szCs w:val="18"/>
              </w:rPr>
              <w:t>一个自然年度内在本省首次实施违法行为；</w:t>
            </w:r>
          </w:p>
          <w:p w14:paraId="6FA7AEC9">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2.违法行为调查过程中，不存在拒不接受执法部门调查处理、阻碍执法、煽动抗拒执法等妨碍执行公务的行为；</w:t>
            </w:r>
          </w:p>
          <w:p w14:paraId="4EFDAA4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3.危害后果轻微，未发生事故；</w:t>
            </w:r>
          </w:p>
          <w:p w14:paraId="13ED78C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5D0DBE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不予处罚</w:t>
            </w:r>
          </w:p>
        </w:tc>
      </w:tr>
      <w:tr w14:paraId="321DB18B">
        <w:tblPrEx>
          <w:tblCellMar>
            <w:top w:w="0" w:type="dxa"/>
            <w:left w:w="108" w:type="dxa"/>
            <w:bottom w:w="0" w:type="dxa"/>
            <w:right w:w="108" w:type="dxa"/>
          </w:tblCellMar>
        </w:tblPrEx>
        <w:trPr>
          <w:trHeight w:val="688"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69518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F7711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86C0A8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CA274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663F1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93E0D6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使用的运输单证不符合有关规定的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5300E1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49525D18">
        <w:tblPrEx>
          <w:tblCellMar>
            <w:top w:w="0" w:type="dxa"/>
            <w:left w:w="108" w:type="dxa"/>
            <w:bottom w:w="0" w:type="dxa"/>
            <w:right w:w="108" w:type="dxa"/>
          </w:tblCellMar>
        </w:tblPrEx>
        <w:trPr>
          <w:trHeight w:val="59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F7BA6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DAAB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F4D41B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8E2E4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832C63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24A96A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累计三次使用的运输单证不符合有关规定的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4884EF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42CA04B2">
        <w:tblPrEx>
          <w:tblCellMar>
            <w:top w:w="0" w:type="dxa"/>
            <w:left w:w="108" w:type="dxa"/>
            <w:bottom w:w="0" w:type="dxa"/>
            <w:right w:w="108" w:type="dxa"/>
          </w:tblCellMar>
        </w:tblPrEx>
        <w:trPr>
          <w:trHeight w:val="763"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8D987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B920E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EF4FE0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AC753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C7DBA6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4817747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累计四次使用的运输单证不符合有关规定的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2B6114A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2319762A">
        <w:tblPrEx>
          <w:tblCellMar>
            <w:top w:w="0" w:type="dxa"/>
            <w:left w:w="108" w:type="dxa"/>
            <w:bottom w:w="0" w:type="dxa"/>
            <w:right w:w="108" w:type="dxa"/>
          </w:tblCellMar>
        </w:tblPrEx>
        <w:trPr>
          <w:trHeight w:val="85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A7FEE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4A9BD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0FD5F8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FFB92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2F0AD2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16ECED3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7E6E665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累计五次及以上使用的运输单证不符合有关规定的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BF6E3C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3B4A2D96">
        <w:tblPrEx>
          <w:tblCellMar>
            <w:top w:w="0" w:type="dxa"/>
            <w:left w:w="108" w:type="dxa"/>
            <w:bottom w:w="0" w:type="dxa"/>
            <w:right w:w="108" w:type="dxa"/>
          </w:tblCellMar>
        </w:tblPrEx>
        <w:trPr>
          <w:trHeight w:val="2160"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775789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29</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161990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水路运输辅助业务经营者未建立业务记录和管理台账</w:t>
            </w:r>
          </w:p>
        </w:tc>
        <w:tc>
          <w:tcPr>
            <w:tcW w:w="3030"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7DF1FD1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4B7CEB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第二十五条  水路运输辅助业务经营者开展业务活动应当建立业务记录和管理台账，按照规定报送统计信息。</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28F56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5304AD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第三十六条第（十一）项  水路运输辅助业务经营者违反本规定，有下列行为之一的，由其所在地县级以上人民政府水路运输管理部门责令改正，处2000元以上1万元以下的罚款；一年内累计三次以上违反本规定的，处1万元以上3万元以下的罚款：（十一）未建立业务记录和管理台账。</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26BE15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8F13A8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eastAsia="zh-CN" w:bidi="ar"/>
              </w:rPr>
              <w:t>同时满足：</w:t>
            </w:r>
          </w:p>
          <w:p w14:paraId="2E8CCC1A">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color w:val="auto"/>
                <w:sz w:val="18"/>
                <w:szCs w:val="18"/>
              </w:rPr>
              <w:t>一个自然年度内在本省首次实施违法行为；</w:t>
            </w:r>
          </w:p>
          <w:p w14:paraId="172A002A">
            <w:pPr>
              <w:keepNext w:val="0"/>
              <w:keepLines w:val="0"/>
              <w:pageBreakBefore w:val="0"/>
              <w:widowControl/>
              <w:numPr>
                <w:ilvl w:val="-1"/>
                <w:numId w:val="0"/>
              </w:numPr>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2.违法行为调查过程中，不存在拒不接受执法部门调查处理、阻碍执法、煽动抗拒执法等妨碍执行公务的行为；</w:t>
            </w:r>
          </w:p>
          <w:p w14:paraId="310315D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3.危害后果轻微，未发生事故；</w:t>
            </w:r>
          </w:p>
          <w:p w14:paraId="66D3DD3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4.经责令当场改正或者限期内及时改正，且承诺不再实施违法行为。</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2D563C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US" w:eastAsia="zh-CN" w:bidi="ar"/>
              </w:rPr>
              <w:t>不予处罚</w:t>
            </w:r>
          </w:p>
        </w:tc>
      </w:tr>
      <w:tr w14:paraId="51DE1B33">
        <w:tblPrEx>
          <w:tblCellMar>
            <w:top w:w="0" w:type="dxa"/>
            <w:left w:w="108" w:type="dxa"/>
            <w:bottom w:w="0" w:type="dxa"/>
            <w:right w:w="108" w:type="dxa"/>
          </w:tblCellMar>
        </w:tblPrEx>
        <w:trPr>
          <w:trHeight w:val="603"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41C12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5EC8C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F7BDD9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1F3EC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239EC2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DA1898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在本省两次以下</w:t>
            </w:r>
            <w:r>
              <w:rPr>
                <w:rFonts w:hint="eastAsia" w:asciiTheme="majorEastAsia" w:hAnsiTheme="majorEastAsia" w:eastAsiaTheme="majorEastAsia" w:cstheme="majorEastAsia"/>
                <w:b w:val="0"/>
                <w:bCs w:val="0"/>
                <w:color w:val="000000"/>
                <w:kern w:val="0"/>
                <w:sz w:val="18"/>
                <w:szCs w:val="18"/>
                <w:lang w:bidi="ar"/>
              </w:rPr>
              <w:t>未建立业务记录和管理台账的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071891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二</w:t>
            </w:r>
            <w:r>
              <w:rPr>
                <w:rFonts w:hint="eastAsia" w:asciiTheme="majorEastAsia" w:hAnsiTheme="majorEastAsia" w:eastAsiaTheme="majorEastAsia" w:cstheme="majorEastAsia"/>
                <w:b w:val="0"/>
                <w:bCs w:val="0"/>
                <w:color w:val="000000"/>
                <w:kern w:val="0"/>
                <w:sz w:val="18"/>
                <w:szCs w:val="18"/>
                <w:lang w:bidi="ar"/>
              </w:rPr>
              <w:t>千元以上一万元</w:t>
            </w:r>
            <w:r>
              <w:rPr>
                <w:rFonts w:hint="eastAsia" w:asciiTheme="majorEastAsia" w:hAnsiTheme="majorEastAsia" w:eastAsiaTheme="majorEastAsia" w:cstheme="majorEastAsia"/>
                <w:b w:val="0"/>
                <w:bCs w:val="0"/>
                <w:color w:val="000000"/>
                <w:kern w:val="0"/>
                <w:sz w:val="18"/>
                <w:szCs w:val="18"/>
                <w:lang w:val="en-US" w:eastAsia="zh-CN" w:bidi="ar"/>
              </w:rPr>
              <w:t>以下的</w:t>
            </w:r>
            <w:r>
              <w:rPr>
                <w:rFonts w:hint="eastAsia" w:asciiTheme="majorEastAsia" w:hAnsiTheme="majorEastAsia" w:eastAsiaTheme="majorEastAsia" w:cstheme="majorEastAsia"/>
                <w:b w:val="0"/>
                <w:bCs w:val="0"/>
                <w:color w:val="000000"/>
                <w:kern w:val="0"/>
                <w:sz w:val="18"/>
                <w:szCs w:val="18"/>
                <w:lang w:bidi="ar"/>
              </w:rPr>
              <w:t>罚款</w:t>
            </w:r>
          </w:p>
        </w:tc>
      </w:tr>
      <w:tr w14:paraId="35EEAB97">
        <w:tblPrEx>
          <w:tblCellMar>
            <w:top w:w="0" w:type="dxa"/>
            <w:left w:w="108" w:type="dxa"/>
            <w:bottom w:w="0" w:type="dxa"/>
            <w:right w:w="108" w:type="dxa"/>
          </w:tblCellMar>
        </w:tblPrEx>
        <w:trPr>
          <w:trHeight w:val="70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3C6C8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88589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3F6457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531FFD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000000" w:sz="4" w:space="0"/>
              <w:bottom w:val="single" w:color="000000" w:sz="4" w:space="0"/>
              <w:right w:val="single" w:color="000000" w:sz="4" w:space="0"/>
            </w:tcBorders>
            <w:shd w:val="clear" w:color="auto" w:fill="auto"/>
            <w:vAlign w:val="center"/>
          </w:tcPr>
          <w:p w14:paraId="52A8463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000000" w:sz="4" w:space="0"/>
              <w:bottom w:val="nil"/>
              <w:right w:val="single" w:color="000000" w:sz="4" w:space="0"/>
            </w:tcBorders>
            <w:shd w:val="clear" w:color="auto" w:fill="auto"/>
            <w:vAlign w:val="center"/>
          </w:tcPr>
          <w:p w14:paraId="22B97B6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累计三次未建立业务记录和管理台账的</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5F755A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4C472611">
        <w:tblPrEx>
          <w:tblCellMar>
            <w:top w:w="0" w:type="dxa"/>
            <w:left w:w="108" w:type="dxa"/>
            <w:bottom w:w="0" w:type="dxa"/>
            <w:right w:w="108" w:type="dxa"/>
          </w:tblCellMar>
        </w:tblPrEx>
        <w:trPr>
          <w:trHeight w:val="68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11606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22447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10DBC3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9F3CCB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7A3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nil"/>
              <w:right w:val="single" w:color="000000" w:sz="4" w:space="0"/>
            </w:tcBorders>
            <w:shd w:val="clear" w:color="auto" w:fill="auto"/>
            <w:vAlign w:val="center"/>
          </w:tcPr>
          <w:p w14:paraId="78AEF7E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累计四次未建立业务记录和管理台账的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ED2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49A2118C">
        <w:tblPrEx>
          <w:tblCellMar>
            <w:top w:w="0" w:type="dxa"/>
            <w:left w:w="108" w:type="dxa"/>
            <w:bottom w:w="0" w:type="dxa"/>
            <w:right w:w="108" w:type="dxa"/>
          </w:tblCellMar>
        </w:tblPrEx>
        <w:trPr>
          <w:trHeight w:val="953"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080AA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9AF63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E32A6B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DE4B59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0A6EA77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特别</w:t>
            </w:r>
          </w:p>
          <w:p w14:paraId="01D4C52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1D1E65D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累计五次及以上未建立业务记录和管理台账的</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20DEB2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处二万元以上三万元以下的罚款</w:t>
            </w:r>
          </w:p>
        </w:tc>
      </w:tr>
      <w:tr w14:paraId="3A4ED0F0">
        <w:tblPrEx>
          <w:tblCellMar>
            <w:top w:w="0" w:type="dxa"/>
            <w:left w:w="108" w:type="dxa"/>
            <w:bottom w:w="0" w:type="dxa"/>
            <w:right w:w="108" w:type="dxa"/>
          </w:tblCellMar>
        </w:tblPrEx>
        <w:trPr>
          <w:trHeight w:val="1030" w:hRule="atLeast"/>
        </w:trPr>
        <w:tc>
          <w:tcPr>
            <w:tcW w:w="588"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163B376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3</w:t>
            </w:r>
            <w:r>
              <w:rPr>
                <w:rFonts w:hint="eastAsia" w:asciiTheme="majorEastAsia" w:hAnsiTheme="majorEastAsia" w:eastAsiaTheme="majorEastAsia" w:cstheme="majorEastAsia"/>
                <w:color w:val="000000"/>
                <w:kern w:val="0"/>
                <w:sz w:val="18"/>
                <w:szCs w:val="18"/>
                <w:lang w:val="en-US" w:eastAsia="zh-CN" w:bidi="ar"/>
              </w:rPr>
              <w:t>0</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F3F8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水路运输辅助业务经营者拒绝管理部门依据</w:t>
            </w:r>
            <w:r>
              <w:rPr>
                <w:rFonts w:hint="default" w:asciiTheme="majorEastAsia" w:hAnsiTheme="majorEastAsia" w:eastAsiaTheme="majorEastAsia" w:cstheme="majorEastAsia"/>
                <w:color w:val="000000"/>
                <w:kern w:val="0"/>
                <w:sz w:val="18"/>
                <w:szCs w:val="18"/>
                <w:lang w:val="en" w:bidi="ar"/>
              </w:rPr>
              <w:t>《国内水路运输辅助业管理规定》(交通运输部令2014年第3号)</w:t>
            </w:r>
            <w:r>
              <w:rPr>
                <w:rFonts w:hint="eastAsia" w:asciiTheme="majorEastAsia" w:hAnsiTheme="majorEastAsia" w:eastAsiaTheme="majorEastAsia" w:cstheme="majorEastAsia"/>
                <w:color w:val="000000"/>
                <w:kern w:val="0"/>
                <w:sz w:val="18"/>
                <w:szCs w:val="18"/>
                <w:lang w:bidi="ar"/>
              </w:rPr>
              <w:t>进行的监督检查、隐匿有关资料或者瞒报、谎报有关情况</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CAE2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1C4447A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第二十八条第二款  水路运输辅助业务经营者应当配合监督检查，如实提供有关凭证、文件及其他相关资料。</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B5A85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75D0253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第三十七条  水路运输辅助业务经营者拒绝管理部门根据本规定进行的监督检查、隐匿有关资料或者瞒报、谎报有关情况的，由其所在地县级以上人民政府水路运输管理部门责令改正，拒不改正的处2000元以上1万元以下的罚款。</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3B1FE0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3A3CBC9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初次隐匿有关资料或者瞒报、谎报有关情况</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66A1CD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处二千元以上少于</w:t>
            </w:r>
            <w:r>
              <w:rPr>
                <w:rFonts w:hint="eastAsia" w:asciiTheme="majorEastAsia" w:hAnsiTheme="majorEastAsia" w:eastAsiaTheme="majorEastAsia" w:cstheme="majorEastAsia"/>
                <w:b w:val="0"/>
                <w:bCs w:val="0"/>
                <w:color w:val="000000"/>
                <w:kern w:val="0"/>
                <w:sz w:val="18"/>
                <w:szCs w:val="18"/>
                <w:lang w:val="en-US" w:eastAsia="zh-CN" w:bidi="ar"/>
              </w:rPr>
              <w:t>五</w:t>
            </w:r>
            <w:r>
              <w:rPr>
                <w:rFonts w:hint="eastAsia" w:asciiTheme="majorEastAsia" w:hAnsiTheme="majorEastAsia" w:eastAsiaTheme="majorEastAsia" w:cstheme="majorEastAsia"/>
                <w:b w:val="0"/>
                <w:bCs w:val="0"/>
                <w:color w:val="000000"/>
                <w:kern w:val="0"/>
                <w:sz w:val="18"/>
                <w:szCs w:val="18"/>
                <w:lang w:bidi="ar"/>
              </w:rPr>
              <w:t>千元的罚款</w:t>
            </w:r>
          </w:p>
        </w:tc>
      </w:tr>
      <w:tr w14:paraId="19F258B9">
        <w:tblPrEx>
          <w:tblCellMar>
            <w:top w:w="0" w:type="dxa"/>
            <w:left w:w="108" w:type="dxa"/>
            <w:bottom w:w="0" w:type="dxa"/>
            <w:right w:w="108" w:type="dxa"/>
          </w:tblCellMar>
        </w:tblPrEx>
        <w:trPr>
          <w:trHeight w:val="951" w:hRule="atLeast"/>
        </w:trPr>
        <w:tc>
          <w:tcPr>
            <w:tcW w:w="58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DBBB11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C9609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70FA2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26639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3BBA38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13EAA62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在本省再</w:t>
            </w:r>
            <w:r>
              <w:rPr>
                <w:rFonts w:hint="eastAsia" w:asciiTheme="majorEastAsia" w:hAnsiTheme="majorEastAsia" w:eastAsiaTheme="majorEastAsia" w:cstheme="majorEastAsia"/>
                <w:b w:val="0"/>
                <w:bCs w:val="0"/>
                <w:color w:val="000000"/>
                <w:kern w:val="0"/>
                <w:sz w:val="18"/>
                <w:szCs w:val="18"/>
                <w:lang w:bidi="ar"/>
              </w:rPr>
              <w:t>次隐匿有关资料或者瞒报、谎报有关情况</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326D7D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五</w:t>
            </w:r>
            <w:r>
              <w:rPr>
                <w:rFonts w:hint="eastAsia" w:asciiTheme="majorEastAsia" w:hAnsiTheme="majorEastAsia" w:eastAsiaTheme="majorEastAsia" w:cstheme="majorEastAsia"/>
                <w:b w:val="0"/>
                <w:bCs w:val="0"/>
                <w:color w:val="000000"/>
                <w:kern w:val="0"/>
                <w:sz w:val="18"/>
                <w:szCs w:val="18"/>
                <w:lang w:bidi="ar"/>
              </w:rPr>
              <w:t>千元以上少于</w:t>
            </w:r>
            <w:r>
              <w:rPr>
                <w:rFonts w:hint="eastAsia" w:asciiTheme="majorEastAsia" w:hAnsiTheme="majorEastAsia" w:eastAsiaTheme="majorEastAsia" w:cstheme="majorEastAsia"/>
                <w:b w:val="0"/>
                <w:bCs w:val="0"/>
                <w:color w:val="000000"/>
                <w:kern w:val="0"/>
                <w:sz w:val="18"/>
                <w:szCs w:val="18"/>
                <w:lang w:val="en-US" w:eastAsia="zh-CN" w:bidi="ar"/>
              </w:rPr>
              <w:t>八</w:t>
            </w:r>
            <w:r>
              <w:rPr>
                <w:rFonts w:hint="eastAsia" w:asciiTheme="majorEastAsia" w:hAnsiTheme="majorEastAsia" w:eastAsiaTheme="majorEastAsia" w:cstheme="majorEastAsia"/>
                <w:b w:val="0"/>
                <w:bCs w:val="0"/>
                <w:color w:val="000000"/>
                <w:kern w:val="0"/>
                <w:sz w:val="18"/>
                <w:szCs w:val="18"/>
                <w:lang w:bidi="ar"/>
              </w:rPr>
              <w:t>千元的罚款</w:t>
            </w:r>
          </w:p>
        </w:tc>
      </w:tr>
      <w:tr w14:paraId="52660608">
        <w:tblPrEx>
          <w:tblCellMar>
            <w:top w:w="0" w:type="dxa"/>
            <w:left w:w="108" w:type="dxa"/>
            <w:bottom w:w="0" w:type="dxa"/>
            <w:right w:w="108" w:type="dxa"/>
          </w:tblCellMar>
        </w:tblPrEx>
        <w:trPr>
          <w:trHeight w:val="1308" w:hRule="atLeast"/>
        </w:trPr>
        <w:tc>
          <w:tcPr>
            <w:tcW w:w="58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7F90DA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A8A1F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73361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589EE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68337D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right w:val="single" w:color="auto" w:sz="4" w:space="0"/>
            </w:tcBorders>
            <w:shd w:val="clear" w:color="auto" w:fill="auto"/>
            <w:vAlign w:val="center"/>
          </w:tcPr>
          <w:p w14:paraId="25F6C97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lang w:eastAsia="zh-CN"/>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三次以上隐匿有关资料或者瞒报、谎报有关情况</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auto" w:sz="4" w:space="0"/>
              <w:left w:val="single" w:color="auto" w:sz="4" w:space="0"/>
              <w:right w:val="single" w:color="auto" w:sz="4" w:space="0"/>
            </w:tcBorders>
            <w:shd w:val="clear" w:color="auto" w:fill="auto"/>
            <w:vAlign w:val="center"/>
          </w:tcPr>
          <w:p w14:paraId="70BFB46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八</w:t>
            </w:r>
            <w:r>
              <w:rPr>
                <w:rFonts w:hint="eastAsia" w:asciiTheme="majorEastAsia" w:hAnsiTheme="majorEastAsia" w:eastAsiaTheme="majorEastAsia" w:cstheme="majorEastAsia"/>
                <w:b w:val="0"/>
                <w:bCs w:val="0"/>
                <w:color w:val="000000"/>
                <w:kern w:val="0"/>
                <w:sz w:val="18"/>
                <w:szCs w:val="18"/>
                <w:lang w:bidi="ar"/>
              </w:rPr>
              <w:t>千元以上</w:t>
            </w:r>
            <w:r>
              <w:rPr>
                <w:rFonts w:hint="eastAsia" w:asciiTheme="majorEastAsia" w:hAnsiTheme="majorEastAsia" w:eastAsiaTheme="majorEastAsia" w:cstheme="majorEastAsia"/>
                <w:b w:val="0"/>
                <w:bCs w:val="0"/>
                <w:color w:val="000000"/>
                <w:kern w:val="0"/>
                <w:sz w:val="18"/>
                <w:szCs w:val="18"/>
                <w:lang w:val="en-US" w:eastAsia="zh-CN" w:bidi="ar"/>
              </w:rPr>
              <w:t>一万以下</w:t>
            </w:r>
            <w:r>
              <w:rPr>
                <w:rFonts w:hint="eastAsia" w:asciiTheme="majorEastAsia" w:hAnsiTheme="majorEastAsia" w:eastAsiaTheme="majorEastAsia" w:cstheme="majorEastAsia"/>
                <w:b w:val="0"/>
                <w:bCs w:val="0"/>
                <w:color w:val="000000"/>
                <w:kern w:val="0"/>
                <w:sz w:val="18"/>
                <w:szCs w:val="18"/>
                <w:lang w:bidi="ar"/>
              </w:rPr>
              <w:t>的罚款</w:t>
            </w:r>
          </w:p>
        </w:tc>
      </w:tr>
      <w:tr w14:paraId="4602EC94">
        <w:tblPrEx>
          <w:tblCellMar>
            <w:top w:w="0" w:type="dxa"/>
            <w:left w:w="108" w:type="dxa"/>
            <w:bottom w:w="0" w:type="dxa"/>
            <w:right w:w="108" w:type="dxa"/>
          </w:tblCellMar>
        </w:tblPrEx>
        <w:trPr>
          <w:trHeight w:val="1582" w:hRule="atLeast"/>
        </w:trPr>
        <w:tc>
          <w:tcPr>
            <w:tcW w:w="58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08496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3</w:t>
            </w:r>
            <w:r>
              <w:rPr>
                <w:rFonts w:hint="eastAsia" w:asciiTheme="majorEastAsia" w:hAnsiTheme="majorEastAsia" w:eastAsiaTheme="majorEastAsia" w:cstheme="majorEastAsia"/>
                <w:color w:val="000000"/>
                <w:kern w:val="0"/>
                <w:sz w:val="18"/>
                <w:szCs w:val="18"/>
                <w:lang w:val="en-US" w:eastAsia="zh-CN" w:bidi="ar"/>
              </w:rPr>
              <w:t>1</w:t>
            </w:r>
          </w:p>
        </w:tc>
        <w:tc>
          <w:tcPr>
            <w:tcW w:w="165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8DE0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港口经营人为船舶所有人等指定水路运输辅助业务经营者，提供船舶、水路货物运输代理等服务</w:t>
            </w:r>
          </w:p>
        </w:tc>
        <w:tc>
          <w:tcPr>
            <w:tcW w:w="30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3AD1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219A5A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第二十条  港口经营人不得为船舶所有人、经营人以及货物托运人、收货人指定水路运输辅助业务经营者，提供船舶、水路货物运输代理等服务。</w:t>
            </w:r>
          </w:p>
        </w:tc>
        <w:tc>
          <w:tcPr>
            <w:tcW w:w="31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87476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color w:val="000000"/>
                <w:kern w:val="0"/>
                <w:sz w:val="18"/>
                <w:szCs w:val="18"/>
                <w:lang w:bidi="ar"/>
              </w:rPr>
              <w:t xml:space="preserve">   </w:t>
            </w:r>
            <w:r>
              <w:rPr>
                <w:rFonts w:hint="default" w:asciiTheme="majorEastAsia" w:hAnsiTheme="majorEastAsia" w:eastAsiaTheme="majorEastAsia" w:cstheme="majorEastAsia"/>
                <w:b/>
                <w:bCs/>
                <w:color w:val="000000"/>
                <w:kern w:val="0"/>
                <w:sz w:val="18"/>
                <w:szCs w:val="18"/>
                <w:lang w:val="en" w:bidi="ar"/>
              </w:rPr>
              <w:t>《国内水路运输辅助业管理规定》(交通运输部令2014年第3号)</w:t>
            </w:r>
          </w:p>
          <w:p w14:paraId="34A158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第三十八条  港口经营人为船舶所有人、经营人以及货物托运人、收货人指定水路运输辅助业务经营者，提供船舶、水路货物运输代理等服务的，由其所在地县级以上人民政府水路运输管理部门责令改正，拒不改正的处1万元以上3万元以下的罚款。</w:t>
            </w:r>
          </w:p>
        </w:tc>
        <w:tc>
          <w:tcPr>
            <w:tcW w:w="780" w:type="dxa"/>
            <w:tcBorders>
              <w:top w:val="single" w:color="auto" w:sz="4" w:space="0"/>
              <w:left w:val="nil"/>
              <w:bottom w:val="single" w:color="000000" w:sz="4" w:space="0"/>
              <w:right w:val="single" w:color="000000" w:sz="4" w:space="0"/>
            </w:tcBorders>
            <w:shd w:val="clear" w:color="auto" w:fill="auto"/>
            <w:vAlign w:val="center"/>
          </w:tcPr>
          <w:p w14:paraId="4A232E3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2715" w:type="dxa"/>
            <w:tcBorders>
              <w:top w:val="single" w:color="auto" w:sz="4" w:space="0"/>
              <w:left w:val="single" w:color="000000" w:sz="4" w:space="0"/>
              <w:bottom w:val="single" w:color="000000" w:sz="4" w:space="0"/>
              <w:right w:val="single" w:color="000000" w:sz="4" w:space="0"/>
            </w:tcBorders>
            <w:shd w:val="clear" w:color="auto" w:fill="auto"/>
            <w:vAlign w:val="center"/>
          </w:tcPr>
          <w:p w14:paraId="79DDC80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港口经营人</w:t>
            </w: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首次为船舶所有人、经营人以及货物托运人、收货人指定水路运输辅助业务经营者，提供船舶、水路货物运输代理等服务</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6F5B4B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0A58E1E7">
        <w:tblPrEx>
          <w:tblCellMar>
            <w:top w:w="0" w:type="dxa"/>
            <w:left w:w="108" w:type="dxa"/>
            <w:bottom w:w="0" w:type="dxa"/>
            <w:right w:w="108" w:type="dxa"/>
          </w:tblCellMar>
        </w:tblPrEx>
        <w:trPr>
          <w:trHeight w:val="1822"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2CEC7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D728F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22710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B5AA8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000000" w:sz="4" w:space="0"/>
              <w:left w:val="nil"/>
              <w:bottom w:val="single" w:color="auto" w:sz="4" w:space="0"/>
              <w:right w:val="single" w:color="000000" w:sz="4" w:space="0"/>
            </w:tcBorders>
            <w:shd w:val="clear" w:color="auto" w:fill="auto"/>
            <w:vAlign w:val="center"/>
          </w:tcPr>
          <w:p w14:paraId="21C13B6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较重</w:t>
            </w:r>
          </w:p>
        </w:tc>
        <w:tc>
          <w:tcPr>
            <w:tcW w:w="2715" w:type="dxa"/>
            <w:tcBorders>
              <w:top w:val="single" w:color="000000" w:sz="4" w:space="0"/>
              <w:left w:val="single" w:color="000000" w:sz="4" w:space="0"/>
              <w:bottom w:val="single" w:color="auto" w:sz="4" w:space="0"/>
              <w:right w:val="single" w:color="000000" w:sz="4" w:space="0"/>
            </w:tcBorders>
            <w:shd w:val="clear" w:color="auto" w:fill="auto"/>
            <w:vAlign w:val="center"/>
          </w:tcPr>
          <w:p w14:paraId="44DA742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港口经营人</w:t>
            </w: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再次为船舶所有人、经营人以及货物托运人、收货人指定水路运输辅助业务经营者，提供船舶、水路货物运输代理等服务</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6D2378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处一万五千元以上少于二万元罚款</w:t>
            </w:r>
          </w:p>
        </w:tc>
      </w:tr>
      <w:tr w14:paraId="522D06AD">
        <w:tblPrEx>
          <w:tblCellMar>
            <w:top w:w="0" w:type="dxa"/>
            <w:left w:w="108" w:type="dxa"/>
            <w:bottom w:w="0" w:type="dxa"/>
            <w:right w:w="108" w:type="dxa"/>
          </w:tblCellMar>
        </w:tblPrEx>
        <w:trPr>
          <w:trHeight w:val="1940" w:hRule="atLeast"/>
        </w:trPr>
        <w:tc>
          <w:tcPr>
            <w:tcW w:w="58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6526FF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sz w:val="18"/>
                <w:szCs w:val="18"/>
              </w:rPr>
            </w:pPr>
          </w:p>
        </w:tc>
        <w:tc>
          <w:tcPr>
            <w:tcW w:w="165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818A9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0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F480A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313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7D996B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FC864B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22613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港口经营人</w:t>
            </w: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000000"/>
                <w:kern w:val="0"/>
                <w:sz w:val="18"/>
                <w:szCs w:val="18"/>
                <w:lang w:bidi="ar"/>
              </w:rPr>
              <w:t>三次以上为船舶所有人、经营人以及货物托运人、收货人指定水路运输辅助业务经营者，提供船舶、水路货物运输代理等服务</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US" w:eastAsia="zh-CN" w:bidi="ar"/>
              </w:rPr>
              <w:t>拒不改正</w:t>
            </w:r>
            <w:r>
              <w:rPr>
                <w:rFonts w:hint="eastAsia" w:asciiTheme="majorEastAsia" w:hAnsiTheme="majorEastAsia" w:eastAsiaTheme="majorEastAsia" w:cstheme="majorEastAsia"/>
                <w:b w:val="0"/>
                <w:bCs w:val="0"/>
                <w:color w:val="000000"/>
                <w:kern w:val="0"/>
                <w:sz w:val="18"/>
                <w:szCs w:val="18"/>
                <w:lang w:bidi="ar"/>
              </w:rPr>
              <w:t>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56CA73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处两万元以上</w:t>
            </w:r>
            <w:r>
              <w:rPr>
                <w:rFonts w:hint="eastAsia" w:asciiTheme="majorEastAsia" w:hAnsiTheme="majorEastAsia" w:eastAsiaTheme="majorEastAsia" w:cstheme="majorEastAsia"/>
                <w:b w:val="0"/>
                <w:bCs w:val="0"/>
                <w:color w:val="000000"/>
                <w:kern w:val="0"/>
                <w:sz w:val="18"/>
                <w:szCs w:val="18"/>
                <w:lang w:val="en-US" w:eastAsia="zh-CN" w:bidi="ar"/>
              </w:rPr>
              <w:t>三万元以下</w:t>
            </w:r>
            <w:r>
              <w:rPr>
                <w:rFonts w:hint="eastAsia" w:asciiTheme="majorEastAsia" w:hAnsiTheme="majorEastAsia" w:eastAsiaTheme="majorEastAsia" w:cstheme="majorEastAsia"/>
                <w:b w:val="0"/>
                <w:bCs w:val="0"/>
                <w:color w:val="000000"/>
                <w:kern w:val="0"/>
                <w:sz w:val="18"/>
                <w:szCs w:val="18"/>
                <w:lang w:bidi="ar"/>
              </w:rPr>
              <w:t>罚款</w:t>
            </w:r>
          </w:p>
        </w:tc>
      </w:tr>
      <w:tr w14:paraId="301E9D1D">
        <w:tblPrEx>
          <w:tblCellMar>
            <w:top w:w="0" w:type="dxa"/>
            <w:left w:w="108" w:type="dxa"/>
            <w:bottom w:w="0" w:type="dxa"/>
            <w:right w:w="108" w:type="dxa"/>
          </w:tblCellMar>
        </w:tblPrEx>
        <w:trPr>
          <w:trHeight w:val="1605" w:hRule="atLeast"/>
        </w:trPr>
        <w:tc>
          <w:tcPr>
            <w:tcW w:w="588" w:type="dxa"/>
            <w:vMerge w:val="restart"/>
            <w:tcBorders>
              <w:top w:val="single" w:color="auto" w:sz="4" w:space="0"/>
              <w:left w:val="single" w:color="000000" w:sz="4" w:space="0"/>
              <w:right w:val="single" w:color="000000" w:sz="4" w:space="0"/>
            </w:tcBorders>
            <w:shd w:val="clear" w:color="auto" w:fill="auto"/>
            <w:vAlign w:val="center"/>
          </w:tcPr>
          <w:p w14:paraId="039DF84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sz w:val="18"/>
                <w:szCs w:val="18"/>
                <w:lang w:val="en-US" w:eastAsia="zh-CN"/>
              </w:rPr>
              <w:t>32</w:t>
            </w:r>
          </w:p>
        </w:tc>
        <w:tc>
          <w:tcPr>
            <w:tcW w:w="1656" w:type="dxa"/>
            <w:vMerge w:val="restart"/>
            <w:tcBorders>
              <w:top w:val="single" w:color="auto" w:sz="4" w:space="0"/>
              <w:left w:val="single" w:color="000000" w:sz="4" w:space="0"/>
              <w:right w:val="single" w:color="000000" w:sz="4" w:space="0"/>
            </w:tcBorders>
            <w:shd w:val="clear" w:color="auto" w:fill="auto"/>
            <w:vAlign w:val="center"/>
          </w:tcPr>
          <w:p w14:paraId="0B889DB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从事国际集装箱船、国际普通货船运输业务没有与经营国际海上运输业务相适应的船舶</w:t>
            </w:r>
          </w:p>
        </w:tc>
        <w:tc>
          <w:tcPr>
            <w:tcW w:w="3030" w:type="dxa"/>
            <w:vMerge w:val="restart"/>
            <w:tcBorders>
              <w:top w:val="single" w:color="auto" w:sz="4" w:space="0"/>
              <w:left w:val="single" w:color="000000" w:sz="4" w:space="0"/>
              <w:right w:val="single" w:color="000000" w:sz="4" w:space="0"/>
            </w:tcBorders>
            <w:shd w:val="clear" w:color="auto" w:fill="auto"/>
            <w:vAlign w:val="center"/>
          </w:tcPr>
          <w:p w14:paraId="6D6E7E2E">
            <w:pPr>
              <w:keepNext w:val="0"/>
              <w:keepLines w:val="0"/>
              <w:pageBreakBefore w:val="0"/>
              <w:widowControl w:val="0"/>
              <w:kinsoku/>
              <w:wordWrap/>
              <w:overflowPunct/>
              <w:topLinePunct w:val="0"/>
              <w:autoSpaceDE/>
              <w:autoSpaceDN/>
              <w:bidi w:val="0"/>
              <w:adjustRightInd/>
              <w:snapToGrid/>
              <w:spacing w:line="240" w:lineRule="exact"/>
              <w:ind w:firstLine="361" w:firstLineChars="200"/>
              <w:jc w:val="left"/>
              <w:textAlignment w:val="auto"/>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color w:val="000000"/>
                <w:kern w:val="0"/>
                <w:sz w:val="18"/>
                <w:szCs w:val="18"/>
                <w:lang w:bidi="ar"/>
              </w:rPr>
              <w:t>《中华人民共和国国际海运条例》</w:t>
            </w:r>
          </w:p>
          <w:p w14:paraId="4949877C">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left"/>
              <w:textAlignment w:val="auto"/>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第五条第二款 经营国际集装箱船、国际普通货船运输业务，应当取得企业法人资格，并有与经营业务相适应的船舶。</w:t>
            </w:r>
          </w:p>
        </w:tc>
        <w:tc>
          <w:tcPr>
            <w:tcW w:w="3135" w:type="dxa"/>
            <w:vMerge w:val="restart"/>
            <w:tcBorders>
              <w:top w:val="single" w:color="auto" w:sz="4" w:space="0"/>
              <w:left w:val="single" w:color="000000" w:sz="4" w:space="0"/>
              <w:right w:val="single" w:color="000000" w:sz="4" w:space="0"/>
            </w:tcBorders>
            <w:shd w:val="clear" w:color="auto" w:fill="auto"/>
            <w:vAlign w:val="center"/>
          </w:tcPr>
          <w:p w14:paraId="7E10B091">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000000"/>
                <w:kern w:val="0"/>
                <w:sz w:val="18"/>
                <w:szCs w:val="18"/>
                <w:lang w:bidi="ar"/>
              </w:rPr>
              <w:t>《中</w:t>
            </w:r>
            <w:r>
              <w:rPr>
                <w:rFonts w:hint="eastAsia" w:asciiTheme="majorEastAsia" w:hAnsiTheme="majorEastAsia" w:eastAsiaTheme="majorEastAsia" w:cstheme="majorEastAsia"/>
                <w:b/>
                <w:bCs/>
                <w:color w:val="auto"/>
                <w:sz w:val="18"/>
                <w:szCs w:val="18"/>
              </w:rPr>
              <w:t>华人民共和国国际海运条例》</w:t>
            </w:r>
          </w:p>
          <w:p w14:paraId="046A39B8">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sz w:val="18"/>
                <w:szCs w:val="18"/>
              </w:rPr>
              <w:t>第三十二条第二款 从事国际集装箱船、国际普通货船运输业务没有与经营国际海上运输业务相适应的船舶的，由省、自治区、直辖市人民政府交通主管部门责令改正；情节严重的，责令停业整顿。</w:t>
            </w:r>
          </w:p>
        </w:tc>
        <w:tc>
          <w:tcPr>
            <w:tcW w:w="780" w:type="dxa"/>
            <w:tcBorders>
              <w:top w:val="single" w:color="auto" w:sz="4" w:space="0"/>
              <w:left w:val="single" w:color="000000" w:sz="4" w:space="0"/>
              <w:bottom w:val="single" w:color="000000" w:sz="4" w:space="0"/>
              <w:right w:val="single" w:color="000000" w:sz="4" w:space="0"/>
            </w:tcBorders>
            <w:shd w:val="clear" w:color="auto" w:fill="auto"/>
            <w:vAlign w:val="center"/>
          </w:tcPr>
          <w:p w14:paraId="7412777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715" w:type="dxa"/>
            <w:tcBorders>
              <w:top w:val="single" w:color="auto" w:sz="4" w:space="0"/>
              <w:left w:val="nil"/>
              <w:bottom w:val="single" w:color="000000" w:sz="4" w:space="0"/>
              <w:right w:val="single" w:color="000000" w:sz="4" w:space="0"/>
            </w:tcBorders>
            <w:shd w:val="clear" w:color="auto" w:fill="auto"/>
            <w:noWrap/>
            <w:vAlign w:val="center"/>
          </w:tcPr>
          <w:p w14:paraId="2DE9313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sz w:val="18"/>
                <w:szCs w:val="18"/>
              </w:rPr>
              <w:t>从事国际集装箱船、国际普通货船运输业务没有与经营国际海上运输业务相适应的船舶的，拒不改正的</w:t>
            </w:r>
          </w:p>
        </w:tc>
        <w:tc>
          <w:tcPr>
            <w:tcW w:w="2760" w:type="dxa"/>
            <w:tcBorders>
              <w:top w:val="single" w:color="auto" w:sz="4" w:space="0"/>
              <w:left w:val="single" w:color="000000" w:sz="4" w:space="0"/>
              <w:bottom w:val="single" w:color="000000" w:sz="4" w:space="0"/>
              <w:right w:val="single" w:color="000000" w:sz="4" w:space="0"/>
            </w:tcBorders>
            <w:shd w:val="clear" w:color="auto" w:fill="auto"/>
            <w:vAlign w:val="center"/>
          </w:tcPr>
          <w:p w14:paraId="1717B2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责令停业整顿</w:t>
            </w:r>
          </w:p>
        </w:tc>
      </w:tr>
      <w:tr w14:paraId="052E67BD">
        <w:tblPrEx>
          <w:tblCellMar>
            <w:top w:w="0" w:type="dxa"/>
            <w:left w:w="108" w:type="dxa"/>
            <w:bottom w:w="0" w:type="dxa"/>
            <w:right w:w="108" w:type="dxa"/>
          </w:tblCellMar>
        </w:tblPrEx>
        <w:trPr>
          <w:trHeight w:val="1723" w:hRule="atLeast"/>
        </w:trPr>
        <w:tc>
          <w:tcPr>
            <w:tcW w:w="588" w:type="dxa"/>
            <w:vMerge w:val="restart"/>
            <w:tcBorders>
              <w:top w:val="single" w:color="auto" w:sz="4" w:space="0"/>
              <w:left w:val="single" w:color="000000" w:sz="4" w:space="0"/>
              <w:right w:val="single" w:color="000000" w:sz="4" w:space="0"/>
            </w:tcBorders>
            <w:shd w:val="clear" w:color="auto" w:fill="auto"/>
            <w:vAlign w:val="center"/>
          </w:tcPr>
          <w:p w14:paraId="5744F35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sz w:val="18"/>
                <w:szCs w:val="18"/>
                <w:lang w:val="en-US" w:eastAsia="zh-CN"/>
              </w:rPr>
              <w:t>33</w:t>
            </w:r>
          </w:p>
        </w:tc>
        <w:tc>
          <w:tcPr>
            <w:tcW w:w="1656" w:type="dxa"/>
            <w:vMerge w:val="restart"/>
            <w:tcBorders>
              <w:top w:val="single" w:color="auto" w:sz="4" w:space="0"/>
              <w:left w:val="single" w:color="000000" w:sz="4" w:space="0"/>
              <w:right w:val="single" w:color="000000" w:sz="4" w:space="0"/>
            </w:tcBorders>
            <w:shd w:val="clear" w:color="auto" w:fill="auto"/>
            <w:vAlign w:val="center"/>
          </w:tcPr>
          <w:p w14:paraId="78B4CBC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国际集装箱船、国际普通货船运输业务经营者未履行本条例规定的备案手续</w:t>
            </w:r>
          </w:p>
        </w:tc>
        <w:tc>
          <w:tcPr>
            <w:tcW w:w="3030" w:type="dxa"/>
            <w:vMerge w:val="restart"/>
            <w:tcBorders>
              <w:top w:val="single" w:color="auto" w:sz="4" w:space="0"/>
              <w:left w:val="single" w:color="000000" w:sz="4" w:space="0"/>
              <w:right w:val="single" w:color="000000" w:sz="4" w:space="0"/>
            </w:tcBorders>
            <w:shd w:val="clear" w:color="auto" w:fill="auto"/>
            <w:vAlign w:val="center"/>
          </w:tcPr>
          <w:p w14:paraId="4E22D6AE">
            <w:pPr>
              <w:keepNext w:val="0"/>
              <w:keepLines w:val="0"/>
              <w:pageBreakBefore w:val="0"/>
              <w:widowControl w:val="0"/>
              <w:kinsoku/>
              <w:wordWrap/>
              <w:overflowPunct/>
              <w:topLinePunct w:val="0"/>
              <w:autoSpaceDE/>
              <w:autoSpaceDN/>
              <w:bidi w:val="0"/>
              <w:adjustRightInd/>
              <w:snapToGrid/>
              <w:spacing w:line="240" w:lineRule="exact"/>
              <w:ind w:firstLine="361" w:firstLineChars="200"/>
              <w:jc w:val="left"/>
              <w:textAlignment w:val="auto"/>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sz w:val="18"/>
                <w:szCs w:val="18"/>
              </w:rPr>
              <w:t>《国际海运条例》</w:t>
            </w:r>
          </w:p>
          <w:p w14:paraId="3983093B">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left"/>
              <w:textAlignment w:val="auto"/>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第六条第四款</w:t>
            </w:r>
            <w:r>
              <w:rPr>
                <w:rFonts w:hint="eastAsia" w:asciiTheme="majorEastAsia" w:hAnsiTheme="majorEastAsia" w:eastAsiaTheme="majorEastAsia" w:cstheme="majorEastAsia"/>
                <w:color w:val="auto"/>
                <w:sz w:val="18"/>
                <w:szCs w:val="18"/>
                <w:lang w:val="en-US" w:eastAsia="zh-CN"/>
              </w:rPr>
              <w:t xml:space="preserve"> </w:t>
            </w:r>
            <w:r>
              <w:rPr>
                <w:rFonts w:hint="eastAsia" w:asciiTheme="majorEastAsia" w:hAnsiTheme="majorEastAsia" w:eastAsiaTheme="majorEastAsia" w:cstheme="majorEastAsia"/>
                <w:color w:val="auto"/>
                <w:sz w:val="18"/>
                <w:szCs w:val="18"/>
              </w:rPr>
              <w:t xml:space="preserve"> 经营国际集装箱船、国际普通货船运输业务，应当自开业之日起15日内向省、自治区、直辖市人民政府交通主管部门备案，备案信息包括企业名称、注册地、联系方式、船舶情况。</w:t>
            </w:r>
          </w:p>
          <w:p w14:paraId="358E46D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135" w:type="dxa"/>
            <w:vMerge w:val="restart"/>
            <w:tcBorders>
              <w:top w:val="single" w:color="auto" w:sz="4" w:space="0"/>
              <w:left w:val="single" w:color="000000" w:sz="4" w:space="0"/>
              <w:right w:val="single" w:color="000000" w:sz="4" w:space="0"/>
            </w:tcBorders>
            <w:shd w:val="clear" w:color="auto" w:fill="auto"/>
            <w:vAlign w:val="center"/>
          </w:tcPr>
          <w:p w14:paraId="06A813EB">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sz w:val="18"/>
                <w:szCs w:val="18"/>
              </w:rPr>
              <w:t>《国际海运条例》</w:t>
            </w:r>
          </w:p>
          <w:p w14:paraId="1CE29A6E">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第三十六条　未履行本条例规定的备案手续的，由国务院交通主管部门或者省、自治区、直辖市人民政府交通主管部门责令限期补办备案手续；逾期不补办的，处1万元以上5万元以下的罚款，并可以撤销其相应资格。</w:t>
            </w:r>
          </w:p>
          <w:p w14:paraId="6B68193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025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715" w:type="dxa"/>
            <w:tcBorders>
              <w:top w:val="single" w:color="000000" w:sz="4" w:space="0"/>
              <w:left w:val="nil"/>
              <w:bottom w:val="single" w:color="000000" w:sz="4" w:space="0"/>
              <w:right w:val="single" w:color="000000" w:sz="4" w:space="0"/>
            </w:tcBorders>
            <w:shd w:val="clear" w:color="auto" w:fill="auto"/>
            <w:noWrap/>
            <w:vAlign w:val="center"/>
          </w:tcPr>
          <w:p w14:paraId="7397C0A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bidi="ar"/>
              </w:rPr>
              <w:t>初次未履行备案手续的或者违法经营时间少于1个月，逾期不补办备案手续的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5A50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处1万元以上少于2万元的罚款；并可以撤销其相应资格</w:t>
            </w:r>
          </w:p>
        </w:tc>
      </w:tr>
      <w:tr w14:paraId="552F918E">
        <w:tblPrEx>
          <w:tblCellMar>
            <w:top w:w="0" w:type="dxa"/>
            <w:left w:w="108" w:type="dxa"/>
            <w:bottom w:w="0" w:type="dxa"/>
            <w:right w:w="108" w:type="dxa"/>
          </w:tblCellMar>
        </w:tblPrEx>
        <w:trPr>
          <w:trHeight w:val="1839" w:hRule="atLeast"/>
        </w:trPr>
        <w:tc>
          <w:tcPr>
            <w:tcW w:w="588" w:type="dxa"/>
            <w:vMerge w:val="continue"/>
            <w:tcBorders>
              <w:left w:val="single" w:color="000000" w:sz="4" w:space="0"/>
              <w:right w:val="single" w:color="000000" w:sz="4" w:space="0"/>
            </w:tcBorders>
            <w:shd w:val="clear" w:color="auto" w:fill="auto"/>
            <w:vAlign w:val="center"/>
          </w:tcPr>
          <w:p w14:paraId="2347055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1656" w:type="dxa"/>
            <w:vMerge w:val="continue"/>
            <w:tcBorders>
              <w:left w:val="single" w:color="000000" w:sz="4" w:space="0"/>
              <w:right w:val="single" w:color="000000" w:sz="4" w:space="0"/>
            </w:tcBorders>
            <w:shd w:val="clear" w:color="auto" w:fill="auto"/>
            <w:vAlign w:val="center"/>
          </w:tcPr>
          <w:p w14:paraId="409F903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030" w:type="dxa"/>
            <w:vMerge w:val="continue"/>
            <w:tcBorders>
              <w:left w:val="single" w:color="000000" w:sz="4" w:space="0"/>
              <w:right w:val="single" w:color="000000" w:sz="4" w:space="0"/>
            </w:tcBorders>
            <w:shd w:val="clear" w:color="auto" w:fill="auto"/>
            <w:vAlign w:val="center"/>
          </w:tcPr>
          <w:p w14:paraId="15577F2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135" w:type="dxa"/>
            <w:vMerge w:val="continue"/>
            <w:tcBorders>
              <w:left w:val="single" w:color="000000" w:sz="4" w:space="0"/>
              <w:right w:val="single" w:color="000000" w:sz="4" w:space="0"/>
            </w:tcBorders>
            <w:shd w:val="clear" w:color="auto" w:fill="auto"/>
            <w:vAlign w:val="center"/>
          </w:tcPr>
          <w:p w14:paraId="06CE195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7E6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715" w:type="dxa"/>
            <w:tcBorders>
              <w:top w:val="single" w:color="000000" w:sz="4" w:space="0"/>
              <w:left w:val="nil"/>
              <w:bottom w:val="single" w:color="000000" w:sz="4" w:space="0"/>
              <w:right w:val="single" w:color="000000" w:sz="4" w:space="0"/>
            </w:tcBorders>
            <w:shd w:val="clear" w:color="auto" w:fill="auto"/>
            <w:noWrap/>
            <w:vAlign w:val="center"/>
          </w:tcPr>
          <w:p w14:paraId="751FBAC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bidi="ar"/>
              </w:rPr>
              <w:t>再次未履行备案手续的或者违法经营时间1个月以上少于2个月，逾期不补办备案手续的</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854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处2万元以上少于3万元的罚款；并可以撤销其相应资格</w:t>
            </w:r>
          </w:p>
        </w:tc>
      </w:tr>
      <w:tr w14:paraId="4D9C5FC0">
        <w:tblPrEx>
          <w:tblCellMar>
            <w:top w:w="0" w:type="dxa"/>
            <w:left w:w="108" w:type="dxa"/>
            <w:bottom w:w="0" w:type="dxa"/>
            <w:right w:w="108" w:type="dxa"/>
          </w:tblCellMar>
        </w:tblPrEx>
        <w:trPr>
          <w:trHeight w:val="1396" w:hRule="atLeast"/>
        </w:trPr>
        <w:tc>
          <w:tcPr>
            <w:tcW w:w="588" w:type="dxa"/>
            <w:vMerge w:val="continue"/>
            <w:tcBorders>
              <w:left w:val="single" w:color="000000" w:sz="4" w:space="0"/>
              <w:bottom w:val="single" w:color="auto" w:sz="4" w:space="0"/>
              <w:right w:val="single" w:color="000000" w:sz="4" w:space="0"/>
            </w:tcBorders>
            <w:shd w:val="clear" w:color="auto" w:fill="auto"/>
            <w:vAlign w:val="center"/>
          </w:tcPr>
          <w:p w14:paraId="74864AA6">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1656" w:type="dxa"/>
            <w:vMerge w:val="continue"/>
            <w:tcBorders>
              <w:left w:val="single" w:color="000000" w:sz="4" w:space="0"/>
              <w:bottom w:val="single" w:color="auto" w:sz="4" w:space="0"/>
              <w:right w:val="single" w:color="000000" w:sz="4" w:space="0"/>
            </w:tcBorders>
            <w:shd w:val="clear" w:color="auto" w:fill="auto"/>
            <w:vAlign w:val="center"/>
          </w:tcPr>
          <w:p w14:paraId="554BD61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030" w:type="dxa"/>
            <w:vMerge w:val="continue"/>
            <w:tcBorders>
              <w:left w:val="single" w:color="000000" w:sz="4" w:space="0"/>
              <w:bottom w:val="single" w:color="auto" w:sz="4" w:space="0"/>
              <w:right w:val="single" w:color="000000" w:sz="4" w:space="0"/>
            </w:tcBorders>
            <w:shd w:val="clear" w:color="auto" w:fill="auto"/>
            <w:vAlign w:val="center"/>
          </w:tcPr>
          <w:p w14:paraId="7C7D19B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135" w:type="dxa"/>
            <w:vMerge w:val="continue"/>
            <w:tcBorders>
              <w:left w:val="single" w:color="000000" w:sz="4" w:space="0"/>
              <w:bottom w:val="single" w:color="auto" w:sz="4" w:space="0"/>
              <w:right w:val="single" w:color="000000" w:sz="4" w:space="0"/>
            </w:tcBorders>
            <w:shd w:val="clear" w:color="auto" w:fill="auto"/>
            <w:vAlign w:val="center"/>
          </w:tcPr>
          <w:p w14:paraId="1A09B1F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2FC7393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715" w:type="dxa"/>
            <w:tcBorders>
              <w:top w:val="single" w:color="000000" w:sz="4" w:space="0"/>
              <w:left w:val="nil"/>
              <w:bottom w:val="single" w:color="auto" w:sz="4" w:space="0"/>
              <w:right w:val="single" w:color="000000" w:sz="4" w:space="0"/>
            </w:tcBorders>
            <w:shd w:val="clear" w:color="auto" w:fill="auto"/>
            <w:noWrap/>
            <w:vAlign w:val="center"/>
          </w:tcPr>
          <w:p w14:paraId="0FB1954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bidi="ar"/>
              </w:rPr>
              <w:t>3次以上未履行备案手续的或者违法经营时间2个月以上，逾期不补办备案手续的</w:t>
            </w:r>
          </w:p>
        </w:tc>
        <w:tc>
          <w:tcPr>
            <w:tcW w:w="2760" w:type="dxa"/>
            <w:tcBorders>
              <w:top w:val="single" w:color="000000" w:sz="4" w:space="0"/>
              <w:left w:val="single" w:color="000000" w:sz="4" w:space="0"/>
              <w:bottom w:val="single" w:color="auto" w:sz="4" w:space="0"/>
              <w:right w:val="single" w:color="000000" w:sz="4" w:space="0"/>
            </w:tcBorders>
            <w:shd w:val="clear" w:color="auto" w:fill="auto"/>
            <w:vAlign w:val="center"/>
          </w:tcPr>
          <w:p w14:paraId="03763B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处3万元以上5万元以下的罚款；并可以撤销其相应资格</w:t>
            </w:r>
          </w:p>
        </w:tc>
      </w:tr>
      <w:tr w14:paraId="4C6F1B09">
        <w:tblPrEx>
          <w:tblCellMar>
            <w:top w:w="0" w:type="dxa"/>
            <w:left w:w="108" w:type="dxa"/>
            <w:bottom w:w="0" w:type="dxa"/>
            <w:right w:w="108" w:type="dxa"/>
          </w:tblCellMar>
        </w:tblPrEx>
        <w:trPr>
          <w:trHeight w:val="1586" w:hRule="atLeast"/>
        </w:trPr>
        <w:tc>
          <w:tcPr>
            <w:tcW w:w="5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D75FE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sz w:val="18"/>
                <w:szCs w:val="18"/>
                <w:lang w:val="en-US" w:eastAsia="zh-CN"/>
              </w:rPr>
              <w:t>34</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B78CF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无船承运业务经营者未履行本条例规定的备案手续</w:t>
            </w:r>
          </w:p>
        </w:tc>
        <w:tc>
          <w:tcPr>
            <w:tcW w:w="3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640460">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sz w:val="18"/>
                <w:szCs w:val="18"/>
              </w:rPr>
              <w:t>《国际海运条例》</w:t>
            </w:r>
          </w:p>
          <w:p w14:paraId="7C9C79E3">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第七条　经营无船承运业务，应当自开业之日起15日内向省、自治区、直辖市人民政府交通主管部门备案，备案信息包括企业名称、注册地、联系方式。</w:t>
            </w:r>
          </w:p>
          <w:p w14:paraId="49C61B01">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前款所称无船承运业务，是指无船承运业务经营者以承运人身份接受托运人的货载，签发自己的提单或者其他运输单证，向托运人收取运费，通过国际船舶运输经营者完成国际海上货物运输，承担承运人责任的国际海上运输经营活动。</w:t>
            </w:r>
          </w:p>
          <w:p w14:paraId="470B567F">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在中国境内经营无船承运业务，应当在中国境内依法设立企业法人。</w:t>
            </w:r>
          </w:p>
        </w:tc>
        <w:tc>
          <w:tcPr>
            <w:tcW w:w="3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BC827E">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sz w:val="18"/>
                <w:szCs w:val="18"/>
              </w:rPr>
              <w:t>《国际海运条例》</w:t>
            </w:r>
          </w:p>
          <w:p w14:paraId="2827A62D">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第三十六条　未履行本条例规定</w:t>
            </w:r>
            <w:r>
              <w:rPr>
                <w:rFonts w:hint="eastAsia" w:asciiTheme="majorEastAsia" w:hAnsiTheme="majorEastAsia" w:eastAsiaTheme="majorEastAsia" w:cstheme="majorEastAsia"/>
                <w:b w:val="0"/>
                <w:bCs w:val="0"/>
                <w:color w:val="auto"/>
                <w:sz w:val="18"/>
                <w:szCs w:val="18"/>
              </w:rPr>
              <w:t>的备案手续的，由国务院交通主管部门或者省、自治区、直辖市人民政府交通主管部门责令限期补办备案手续；逾期不补办的，</w:t>
            </w:r>
            <w:r>
              <w:rPr>
                <w:rFonts w:hint="eastAsia" w:asciiTheme="majorEastAsia" w:hAnsiTheme="majorEastAsia" w:eastAsiaTheme="majorEastAsia" w:cstheme="majorEastAsia"/>
                <w:color w:val="auto"/>
                <w:sz w:val="18"/>
                <w:szCs w:val="18"/>
              </w:rPr>
              <w:t>处1万元以上5万元以下的罚款，并可以撤销其相应资格。</w:t>
            </w:r>
          </w:p>
          <w:p w14:paraId="26884E2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1B8B3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362E8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在本省首</w:t>
            </w:r>
            <w:r>
              <w:rPr>
                <w:rFonts w:hint="eastAsia" w:asciiTheme="majorEastAsia" w:hAnsiTheme="majorEastAsia" w:eastAsiaTheme="majorEastAsia" w:cstheme="majorEastAsia"/>
                <w:b w:val="0"/>
                <w:bCs w:val="0"/>
                <w:color w:val="auto"/>
                <w:kern w:val="0"/>
                <w:sz w:val="18"/>
                <w:szCs w:val="18"/>
                <w:lang w:bidi="ar"/>
              </w:rPr>
              <w:t>次未履行备案手续的或者违法经营时间少于1个月，逾期不补办备案手续的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7E916F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处1万元以上少于2万元的罚款；并可以撤销其相应资格</w:t>
            </w:r>
          </w:p>
        </w:tc>
      </w:tr>
      <w:tr w14:paraId="04394621">
        <w:tblPrEx>
          <w:tblCellMar>
            <w:top w:w="0" w:type="dxa"/>
            <w:left w:w="108" w:type="dxa"/>
            <w:bottom w:w="0" w:type="dxa"/>
            <w:right w:w="108" w:type="dxa"/>
          </w:tblCellMar>
        </w:tblPrEx>
        <w:trPr>
          <w:trHeight w:val="1819"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64BD3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62EAC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93E66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AC94CE">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E0D7C8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A45E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bidi="ar"/>
              </w:rPr>
              <w:t>再次未履行备案手续的或者违法经营时间1个月以上少于3个月，逾期不补办备案手续的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5E1222F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处2万元以上少于3万元的罚款；并可以撤销其相应资格</w:t>
            </w:r>
          </w:p>
        </w:tc>
      </w:tr>
      <w:tr w14:paraId="5E445867">
        <w:tblPrEx>
          <w:tblCellMar>
            <w:top w:w="0" w:type="dxa"/>
            <w:left w:w="108" w:type="dxa"/>
            <w:bottom w:w="0" w:type="dxa"/>
            <w:right w:w="108" w:type="dxa"/>
          </w:tblCellMar>
        </w:tblPrEx>
        <w:trPr>
          <w:trHeight w:val="2156" w:hRule="atLeast"/>
        </w:trPr>
        <w:tc>
          <w:tcPr>
            <w:tcW w:w="5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7F449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2794A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auto"/>
                <w:sz w:val="18"/>
                <w:szCs w:val="18"/>
              </w:rPr>
            </w:pPr>
          </w:p>
        </w:tc>
        <w:tc>
          <w:tcPr>
            <w:tcW w:w="30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E587B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31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F79B5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auto"/>
                <w:sz w:val="18"/>
                <w:szCs w:val="18"/>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701119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7D5F0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000000"/>
                <w:kern w:val="0"/>
                <w:sz w:val="18"/>
                <w:szCs w:val="18"/>
                <w:lang w:val="en-US" w:eastAsia="zh-CN" w:bidi="ar"/>
              </w:rPr>
              <w:t>一个自然</w:t>
            </w:r>
            <w:r>
              <w:rPr>
                <w:rFonts w:hint="eastAsia" w:asciiTheme="majorEastAsia" w:hAnsiTheme="majorEastAsia" w:eastAsiaTheme="majorEastAsia" w:cstheme="majorEastAsia"/>
                <w:b w:val="0"/>
                <w:bCs w:val="0"/>
                <w:color w:val="000000"/>
                <w:kern w:val="0"/>
                <w:sz w:val="18"/>
                <w:szCs w:val="18"/>
                <w:lang w:bidi="ar"/>
              </w:rPr>
              <w:t>年度内</w:t>
            </w:r>
            <w:r>
              <w:rPr>
                <w:rFonts w:hint="eastAsia" w:asciiTheme="majorEastAsia" w:hAnsiTheme="majorEastAsia" w:eastAsiaTheme="majorEastAsia" w:cstheme="majorEastAsia"/>
                <w:b w:val="0"/>
                <w:bCs w:val="0"/>
                <w:color w:val="000000"/>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bidi="ar"/>
              </w:rPr>
              <w:t>3次以上未履行备案手续的或者违法经营时间3个月以上，逾期不补办备案手续的</w:t>
            </w:r>
          </w:p>
        </w:tc>
        <w:tc>
          <w:tcPr>
            <w:tcW w:w="2760" w:type="dxa"/>
            <w:tcBorders>
              <w:top w:val="single" w:color="auto" w:sz="4" w:space="0"/>
              <w:left w:val="single" w:color="auto" w:sz="4" w:space="0"/>
              <w:bottom w:val="single" w:color="auto" w:sz="4" w:space="0"/>
              <w:right w:val="single" w:color="auto" w:sz="4" w:space="0"/>
            </w:tcBorders>
            <w:shd w:val="clear" w:color="auto" w:fill="auto"/>
            <w:vAlign w:val="center"/>
          </w:tcPr>
          <w:p w14:paraId="49EFE13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处3万元以上5万元以下的罚款；并可以撤销其相应资格</w:t>
            </w:r>
          </w:p>
        </w:tc>
      </w:tr>
    </w:tbl>
    <w:p w14:paraId="7CBF4938">
      <w:pPr>
        <w:tabs>
          <w:tab w:val="left" w:pos="11419"/>
        </w:tabs>
        <w:jc w:val="left"/>
        <w:rPr>
          <w:color w:val="00B0F0"/>
        </w:rPr>
      </w:pPr>
    </w:p>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4OTdlOWY2ZmRkNmVlNjY1YTk3ZGI3MWY3ZDRiMWUifQ=="/>
  </w:docVars>
  <w:rsids>
    <w:rsidRoot w:val="44004473"/>
    <w:rsid w:val="000053FA"/>
    <w:rsid w:val="00010A1C"/>
    <w:rsid w:val="000328A2"/>
    <w:rsid w:val="00074175"/>
    <w:rsid w:val="000F0484"/>
    <w:rsid w:val="00136E60"/>
    <w:rsid w:val="00157CB5"/>
    <w:rsid w:val="0017152F"/>
    <w:rsid w:val="001B08CF"/>
    <w:rsid w:val="001C331D"/>
    <w:rsid w:val="001C4EEE"/>
    <w:rsid w:val="001D1F4E"/>
    <w:rsid w:val="001E0193"/>
    <w:rsid w:val="001E1208"/>
    <w:rsid w:val="00245554"/>
    <w:rsid w:val="002D1817"/>
    <w:rsid w:val="002D7484"/>
    <w:rsid w:val="00305241"/>
    <w:rsid w:val="003108B0"/>
    <w:rsid w:val="003418D3"/>
    <w:rsid w:val="00374883"/>
    <w:rsid w:val="003A4687"/>
    <w:rsid w:val="003B5371"/>
    <w:rsid w:val="003B577C"/>
    <w:rsid w:val="00407731"/>
    <w:rsid w:val="0043084A"/>
    <w:rsid w:val="00440E68"/>
    <w:rsid w:val="00464316"/>
    <w:rsid w:val="00467F52"/>
    <w:rsid w:val="004704D9"/>
    <w:rsid w:val="00474AC8"/>
    <w:rsid w:val="00476E2E"/>
    <w:rsid w:val="004E5CF7"/>
    <w:rsid w:val="005163FD"/>
    <w:rsid w:val="005319B6"/>
    <w:rsid w:val="005454CF"/>
    <w:rsid w:val="005753F1"/>
    <w:rsid w:val="005A0280"/>
    <w:rsid w:val="005A77B1"/>
    <w:rsid w:val="005B2328"/>
    <w:rsid w:val="005B7AB3"/>
    <w:rsid w:val="005C3B0D"/>
    <w:rsid w:val="005C4FEA"/>
    <w:rsid w:val="005F3D3B"/>
    <w:rsid w:val="00630C7F"/>
    <w:rsid w:val="006317DB"/>
    <w:rsid w:val="00632840"/>
    <w:rsid w:val="006519E7"/>
    <w:rsid w:val="00667693"/>
    <w:rsid w:val="00684CB6"/>
    <w:rsid w:val="006A5612"/>
    <w:rsid w:val="00703A94"/>
    <w:rsid w:val="007210E9"/>
    <w:rsid w:val="0072760A"/>
    <w:rsid w:val="00742745"/>
    <w:rsid w:val="00747903"/>
    <w:rsid w:val="00752889"/>
    <w:rsid w:val="0076004F"/>
    <w:rsid w:val="0077595D"/>
    <w:rsid w:val="007A24BF"/>
    <w:rsid w:val="007A6C0D"/>
    <w:rsid w:val="007C747C"/>
    <w:rsid w:val="007E06EC"/>
    <w:rsid w:val="008268AC"/>
    <w:rsid w:val="00862FE7"/>
    <w:rsid w:val="00875C0F"/>
    <w:rsid w:val="00880A88"/>
    <w:rsid w:val="00895A9B"/>
    <w:rsid w:val="008A70B5"/>
    <w:rsid w:val="008B3D13"/>
    <w:rsid w:val="008F0C98"/>
    <w:rsid w:val="009455DC"/>
    <w:rsid w:val="009937F1"/>
    <w:rsid w:val="009C06CD"/>
    <w:rsid w:val="009C5604"/>
    <w:rsid w:val="009D375D"/>
    <w:rsid w:val="009E486A"/>
    <w:rsid w:val="00A3068A"/>
    <w:rsid w:val="00A34B3C"/>
    <w:rsid w:val="00A85DF5"/>
    <w:rsid w:val="00AD1905"/>
    <w:rsid w:val="00AF6F4C"/>
    <w:rsid w:val="00B25F91"/>
    <w:rsid w:val="00B308DA"/>
    <w:rsid w:val="00B74AA9"/>
    <w:rsid w:val="00B86875"/>
    <w:rsid w:val="00B87B8A"/>
    <w:rsid w:val="00B944A2"/>
    <w:rsid w:val="00C11781"/>
    <w:rsid w:val="00CB3ADB"/>
    <w:rsid w:val="00CB7AAF"/>
    <w:rsid w:val="00CC14AC"/>
    <w:rsid w:val="00CD0BC6"/>
    <w:rsid w:val="00CD79EB"/>
    <w:rsid w:val="00D035DB"/>
    <w:rsid w:val="00D03F83"/>
    <w:rsid w:val="00D3756B"/>
    <w:rsid w:val="00D54ED4"/>
    <w:rsid w:val="00DB360E"/>
    <w:rsid w:val="00DC380E"/>
    <w:rsid w:val="00DD05C0"/>
    <w:rsid w:val="00DD5FD3"/>
    <w:rsid w:val="00DE125D"/>
    <w:rsid w:val="00DF149D"/>
    <w:rsid w:val="00DF52E4"/>
    <w:rsid w:val="00E17A04"/>
    <w:rsid w:val="00E47075"/>
    <w:rsid w:val="00E50DCE"/>
    <w:rsid w:val="00EF62EC"/>
    <w:rsid w:val="00F34E84"/>
    <w:rsid w:val="00F47CED"/>
    <w:rsid w:val="00F64A10"/>
    <w:rsid w:val="00F80110"/>
    <w:rsid w:val="00F9642A"/>
    <w:rsid w:val="00F97CC5"/>
    <w:rsid w:val="00FA3C7A"/>
    <w:rsid w:val="00FA572F"/>
    <w:rsid w:val="00FD7762"/>
    <w:rsid w:val="00FE2020"/>
    <w:rsid w:val="00FE73D7"/>
    <w:rsid w:val="051E6A56"/>
    <w:rsid w:val="054F4E62"/>
    <w:rsid w:val="08263FFF"/>
    <w:rsid w:val="083248D8"/>
    <w:rsid w:val="09D13D3F"/>
    <w:rsid w:val="11235ED0"/>
    <w:rsid w:val="13575D37"/>
    <w:rsid w:val="15383EBE"/>
    <w:rsid w:val="1601480E"/>
    <w:rsid w:val="1A237F03"/>
    <w:rsid w:val="21101533"/>
    <w:rsid w:val="218E1DDB"/>
    <w:rsid w:val="22CF3D2A"/>
    <w:rsid w:val="239F4985"/>
    <w:rsid w:val="246C495F"/>
    <w:rsid w:val="26937DC4"/>
    <w:rsid w:val="2A496246"/>
    <w:rsid w:val="2D986AF6"/>
    <w:rsid w:val="2EB80DEB"/>
    <w:rsid w:val="2EFF4F67"/>
    <w:rsid w:val="2FBF5F17"/>
    <w:rsid w:val="2FD933F6"/>
    <w:rsid w:val="30FA4993"/>
    <w:rsid w:val="318C1BF8"/>
    <w:rsid w:val="363E2205"/>
    <w:rsid w:val="394E3AC8"/>
    <w:rsid w:val="397E3F4D"/>
    <w:rsid w:val="3A534E8A"/>
    <w:rsid w:val="3CB71962"/>
    <w:rsid w:val="3CCA44BC"/>
    <w:rsid w:val="3D6F1911"/>
    <w:rsid w:val="3EFB0EEB"/>
    <w:rsid w:val="41455BA7"/>
    <w:rsid w:val="42C45D59"/>
    <w:rsid w:val="43E22422"/>
    <w:rsid w:val="44004473"/>
    <w:rsid w:val="46472A10"/>
    <w:rsid w:val="46933EA7"/>
    <w:rsid w:val="47734599"/>
    <w:rsid w:val="47DF39E9"/>
    <w:rsid w:val="4BBFDC22"/>
    <w:rsid w:val="4C185AB9"/>
    <w:rsid w:val="4CCA2047"/>
    <w:rsid w:val="4D6B6FFD"/>
    <w:rsid w:val="4DF416CF"/>
    <w:rsid w:val="4F93375D"/>
    <w:rsid w:val="4FD79BEF"/>
    <w:rsid w:val="502E6097"/>
    <w:rsid w:val="514B1939"/>
    <w:rsid w:val="51976E36"/>
    <w:rsid w:val="5864458B"/>
    <w:rsid w:val="5AA94B16"/>
    <w:rsid w:val="5BA12505"/>
    <w:rsid w:val="5CFBC177"/>
    <w:rsid w:val="5DAB28F3"/>
    <w:rsid w:val="5FBE54CE"/>
    <w:rsid w:val="5FE63842"/>
    <w:rsid w:val="5FFB05EB"/>
    <w:rsid w:val="5FFF4B8F"/>
    <w:rsid w:val="61A82251"/>
    <w:rsid w:val="61D46274"/>
    <w:rsid w:val="64537A76"/>
    <w:rsid w:val="653F979A"/>
    <w:rsid w:val="65426730"/>
    <w:rsid w:val="6A030677"/>
    <w:rsid w:val="73BBB4FD"/>
    <w:rsid w:val="756F2466"/>
    <w:rsid w:val="75D44E5F"/>
    <w:rsid w:val="7B7EBB84"/>
    <w:rsid w:val="7C7C3586"/>
    <w:rsid w:val="7D3F6043"/>
    <w:rsid w:val="7DACACD7"/>
    <w:rsid w:val="7DFC8C71"/>
    <w:rsid w:val="7E0B3EFB"/>
    <w:rsid w:val="7F3735A7"/>
    <w:rsid w:val="7F7F7D10"/>
    <w:rsid w:val="7FBE8F97"/>
    <w:rsid w:val="7FEF19BC"/>
    <w:rsid w:val="7FF2E365"/>
    <w:rsid w:val="7FFDD1A5"/>
    <w:rsid w:val="9DFF4F32"/>
    <w:rsid w:val="9EB76FEE"/>
    <w:rsid w:val="9FDE274F"/>
    <w:rsid w:val="ADB588D9"/>
    <w:rsid w:val="B3E37527"/>
    <w:rsid w:val="BEA68A26"/>
    <w:rsid w:val="BFDFB9DC"/>
    <w:rsid w:val="C5FA6020"/>
    <w:rsid w:val="D3FBE0AD"/>
    <w:rsid w:val="D8DF04F6"/>
    <w:rsid w:val="DFF93310"/>
    <w:rsid w:val="E37F2300"/>
    <w:rsid w:val="EDDFF1A9"/>
    <w:rsid w:val="EE9D5C66"/>
    <w:rsid w:val="F0DD3AE8"/>
    <w:rsid w:val="F2F6EBAD"/>
    <w:rsid w:val="F3FBE575"/>
    <w:rsid w:val="F796062B"/>
    <w:rsid w:val="F8D66941"/>
    <w:rsid w:val="FBC77F99"/>
    <w:rsid w:val="FCF4532C"/>
    <w:rsid w:val="FEB98D91"/>
    <w:rsid w:val="FECF14DC"/>
    <w:rsid w:val="FF3F4EE9"/>
    <w:rsid w:val="FFBFF6B8"/>
    <w:rsid w:val="FFEE79E6"/>
    <w:rsid w:val="FFFD3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hint="eastAsia" w:ascii="仿宋" w:hAnsi="仿宋" w:eastAsia="仿宋"/>
      <w:kern w:val="0"/>
      <w:sz w:val="20"/>
    </w:rPr>
  </w:style>
  <w:style w:type="paragraph" w:styleId="3">
    <w:name w:val="toc 5"/>
    <w:basedOn w:val="1"/>
    <w:next w:val="1"/>
    <w:qFormat/>
    <w:uiPriority w:val="0"/>
    <w:pPr>
      <w:ind w:left="1680" w:leftChars="80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61"/>
    <w:basedOn w:val="7"/>
    <w:qFormat/>
    <w:uiPriority w:val="0"/>
    <w:rPr>
      <w:rFonts w:ascii="Arial" w:hAnsi="Arial" w:cs="Arial"/>
      <w:color w:val="000000"/>
      <w:sz w:val="20"/>
      <w:szCs w:val="20"/>
      <w:u w:val="none"/>
    </w:rPr>
  </w:style>
  <w:style w:type="character" w:customStyle="1" w:styleId="9">
    <w:name w:val="font01"/>
    <w:basedOn w:val="7"/>
    <w:qFormat/>
    <w:uiPriority w:val="0"/>
    <w:rPr>
      <w:rFonts w:hint="eastAsia" w:ascii="仿宋" w:hAnsi="仿宋" w:eastAsia="仿宋" w:cs="仿宋"/>
      <w:color w:val="000000"/>
      <w:sz w:val="20"/>
      <w:szCs w:val="20"/>
      <w:u w:val="none"/>
    </w:rPr>
  </w:style>
  <w:style w:type="character" w:customStyle="1" w:styleId="10">
    <w:name w:val="页眉 字符"/>
    <w:basedOn w:val="7"/>
    <w:link w:val="5"/>
    <w:qFormat/>
    <w:uiPriority w:val="0"/>
    <w:rPr>
      <w:rFonts w:asciiTheme="minorHAnsi" w:hAnsiTheme="minorHAnsi" w:eastAsiaTheme="minorEastAsia" w:cstheme="minorBidi"/>
      <w:kern w:val="2"/>
      <w:sz w:val="18"/>
      <w:szCs w:val="18"/>
    </w:rPr>
  </w:style>
  <w:style w:type="character" w:customStyle="1" w:styleId="11">
    <w:name w:val="页脚 字符"/>
    <w:basedOn w:val="7"/>
    <w:link w:val="4"/>
    <w:qFormat/>
    <w:uiPriority w:val="0"/>
    <w:rPr>
      <w:rFonts w:asciiTheme="minorHAnsi" w:hAnsiTheme="minorHAnsi" w:eastAsiaTheme="minorEastAsia" w:cstheme="minorBidi"/>
      <w:kern w:val="2"/>
      <w:sz w:val="18"/>
      <w:szCs w:val="18"/>
    </w:rPr>
  </w:style>
  <w:style w:type="paragraph" w:customStyle="1" w:styleId="12">
    <w:name w:val="font0"/>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13">
    <w:name w:val="font1"/>
    <w:basedOn w:val="1"/>
    <w:qFormat/>
    <w:uiPriority w:val="0"/>
    <w:pPr>
      <w:widowControl/>
      <w:spacing w:before="100" w:beforeAutospacing="1" w:after="100" w:afterAutospacing="1"/>
      <w:jc w:val="left"/>
    </w:pPr>
    <w:rPr>
      <w:rFonts w:ascii="仿宋_GB2312" w:hAnsi="宋体" w:eastAsia="仿宋_GB2312" w:cs="宋体"/>
      <w:color w:val="000000"/>
      <w:kern w:val="0"/>
      <w:sz w:val="16"/>
      <w:szCs w:val="16"/>
    </w:rPr>
  </w:style>
  <w:style w:type="paragraph" w:customStyle="1" w:styleId="14">
    <w:name w:val="font2"/>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15">
    <w:name w:val="font3"/>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16">
    <w:name w:val="font4"/>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17">
    <w:name w:val="font5"/>
    <w:basedOn w:val="1"/>
    <w:qFormat/>
    <w:uiPriority w:val="0"/>
    <w:pPr>
      <w:widowControl/>
      <w:spacing w:before="100" w:beforeAutospacing="1" w:after="100" w:afterAutospacing="1"/>
      <w:jc w:val="left"/>
    </w:pPr>
    <w:rPr>
      <w:rFonts w:ascii="仿宋_GB2312" w:hAnsi="宋体" w:eastAsia="仿宋_GB2312" w:cs="宋体"/>
      <w:b/>
      <w:bCs/>
      <w:color w:val="000000"/>
      <w:kern w:val="0"/>
      <w:sz w:val="16"/>
      <w:szCs w:val="16"/>
    </w:rPr>
  </w:style>
  <w:style w:type="paragraph" w:customStyle="1" w:styleId="18">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19">
    <w:name w:val="font7"/>
    <w:basedOn w:val="1"/>
    <w:qFormat/>
    <w:uiPriority w:val="0"/>
    <w:pPr>
      <w:widowControl/>
      <w:spacing w:before="100" w:beforeAutospacing="1" w:after="100" w:afterAutospacing="1"/>
      <w:jc w:val="left"/>
    </w:pPr>
    <w:rPr>
      <w:rFonts w:ascii="仿宋_GB2312" w:hAnsi="宋体" w:eastAsia="仿宋_GB2312" w:cs="宋体"/>
      <w:b/>
      <w:bCs/>
      <w:color w:val="000000"/>
      <w:kern w:val="0"/>
      <w:sz w:val="20"/>
      <w:szCs w:val="20"/>
    </w:rPr>
  </w:style>
  <w:style w:type="paragraph" w:customStyle="1" w:styleId="20">
    <w:name w:val="font8"/>
    <w:basedOn w:val="1"/>
    <w:qFormat/>
    <w:uiPriority w:val="0"/>
    <w:pPr>
      <w:widowControl/>
      <w:spacing w:before="100" w:beforeAutospacing="1" w:after="100" w:afterAutospacing="1"/>
      <w:jc w:val="left"/>
    </w:pPr>
    <w:rPr>
      <w:rFonts w:ascii="仿宋_GB2312" w:hAnsi="宋体" w:eastAsia="仿宋_GB2312" w:cs="宋体"/>
      <w:i/>
      <w:iCs/>
      <w:color w:val="000000"/>
      <w:kern w:val="0"/>
      <w:sz w:val="20"/>
      <w:szCs w:val="20"/>
    </w:rPr>
  </w:style>
  <w:style w:type="paragraph" w:customStyle="1" w:styleId="21">
    <w:name w:val="font9"/>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22">
    <w:name w:val="font10"/>
    <w:basedOn w:val="1"/>
    <w:qFormat/>
    <w:uiPriority w:val="0"/>
    <w:pPr>
      <w:widowControl/>
      <w:spacing w:before="100" w:beforeAutospacing="1" w:after="100" w:afterAutospacing="1"/>
      <w:jc w:val="left"/>
    </w:pPr>
    <w:rPr>
      <w:rFonts w:ascii="DejaVu Sans" w:hAnsi="DejaVu Sans" w:eastAsia="宋体" w:cs="DejaVu Sans"/>
      <w:color w:val="000000"/>
      <w:kern w:val="0"/>
      <w:sz w:val="20"/>
      <w:szCs w:val="20"/>
    </w:rPr>
  </w:style>
  <w:style w:type="paragraph" w:customStyle="1" w:styleId="23">
    <w:name w:val="et2"/>
    <w:basedOn w:val="1"/>
    <w:qFormat/>
    <w:uiPriority w:val="0"/>
    <w:pPr>
      <w:widowControl/>
      <w:spacing w:before="100" w:beforeAutospacing="1" w:after="100" w:afterAutospacing="1"/>
      <w:jc w:val="center"/>
    </w:pPr>
    <w:rPr>
      <w:rFonts w:ascii="仿宋_GB2312" w:hAnsi="宋体" w:eastAsia="仿宋_GB2312" w:cs="宋体"/>
      <w:kern w:val="0"/>
      <w:sz w:val="16"/>
      <w:szCs w:val="16"/>
    </w:rPr>
  </w:style>
  <w:style w:type="paragraph" w:customStyle="1" w:styleId="24">
    <w:name w:val="et3"/>
    <w:basedOn w:val="1"/>
    <w:qFormat/>
    <w:uiPriority w:val="0"/>
    <w:pPr>
      <w:widowControl/>
      <w:spacing w:before="100" w:beforeAutospacing="1" w:after="100" w:afterAutospacing="1"/>
      <w:jc w:val="center"/>
    </w:pPr>
    <w:rPr>
      <w:rFonts w:ascii="仿宋_GB2312" w:hAnsi="宋体" w:eastAsia="仿宋_GB2312" w:cs="宋体"/>
      <w:kern w:val="0"/>
      <w:sz w:val="20"/>
      <w:szCs w:val="20"/>
    </w:rPr>
  </w:style>
  <w:style w:type="paragraph" w:customStyle="1" w:styleId="25">
    <w:name w:val="et4"/>
    <w:basedOn w:val="1"/>
    <w:qFormat/>
    <w:uiPriority w:val="0"/>
    <w:pPr>
      <w:widowControl/>
      <w:spacing w:before="100" w:beforeAutospacing="1" w:after="100" w:afterAutospacing="1"/>
    </w:pPr>
    <w:rPr>
      <w:rFonts w:ascii="仿宋_GB2312" w:hAnsi="宋体" w:eastAsia="仿宋_GB2312" w:cs="宋体"/>
      <w:kern w:val="0"/>
      <w:sz w:val="20"/>
      <w:szCs w:val="20"/>
    </w:rPr>
  </w:style>
  <w:style w:type="paragraph" w:customStyle="1" w:styleId="26">
    <w:name w:val="et5"/>
    <w:basedOn w:val="1"/>
    <w:qFormat/>
    <w:uiPriority w:val="0"/>
    <w:pPr>
      <w:widowControl/>
      <w:spacing w:before="100" w:beforeAutospacing="1" w:after="100" w:afterAutospacing="1"/>
      <w:jc w:val="left"/>
    </w:pPr>
    <w:rPr>
      <w:rFonts w:ascii="仿宋_GB2312" w:hAnsi="宋体" w:eastAsia="仿宋_GB2312" w:cs="宋体"/>
      <w:kern w:val="0"/>
      <w:sz w:val="20"/>
      <w:szCs w:val="20"/>
    </w:rPr>
  </w:style>
  <w:style w:type="paragraph" w:customStyle="1" w:styleId="27">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28">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kern w:val="0"/>
      <w:sz w:val="20"/>
      <w:szCs w:val="20"/>
    </w:rPr>
  </w:style>
  <w:style w:type="paragraph" w:customStyle="1" w:styleId="29">
    <w:name w:val="et8"/>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0">
    <w:name w:val="et9"/>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1">
    <w:name w:val="et10"/>
    <w:basedOn w:val="1"/>
    <w:qFormat/>
    <w:uiPriority w:val="0"/>
    <w:pPr>
      <w:widowControl/>
      <w:spacing w:before="100" w:beforeAutospacing="1" w:after="100" w:afterAutospacing="1"/>
      <w:jc w:val="left"/>
    </w:pPr>
    <w:rPr>
      <w:rFonts w:ascii="仿宋_GB2312" w:hAnsi="宋体" w:eastAsia="仿宋_GB2312" w:cs="宋体"/>
      <w:kern w:val="0"/>
      <w:sz w:val="16"/>
      <w:szCs w:val="16"/>
    </w:rPr>
  </w:style>
  <w:style w:type="paragraph" w:customStyle="1" w:styleId="32">
    <w:name w:val="et1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16"/>
      <w:szCs w:val="16"/>
    </w:rPr>
  </w:style>
  <w:style w:type="paragraph" w:customStyle="1" w:styleId="33">
    <w:name w:val="et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4">
    <w:name w:val="et13"/>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b/>
      <w:bCs/>
      <w:color w:val="000000"/>
      <w:kern w:val="0"/>
      <w:sz w:val="20"/>
      <w:szCs w:val="20"/>
    </w:rPr>
  </w:style>
  <w:style w:type="paragraph" w:customStyle="1" w:styleId="35">
    <w:name w:val="et14"/>
    <w:basedOn w:val="1"/>
    <w:qFormat/>
    <w:uiPriority w:val="0"/>
    <w:pPr>
      <w:widowControl/>
      <w:pBdr>
        <w:left w:val="single" w:color="000000" w:sz="4" w:space="0"/>
        <w:bottom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6">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37">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38">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39">
    <w:name w:val="et19"/>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0">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1">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2">
    <w:name w:val="et2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3">
    <w:name w:val="et2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4">
    <w:name w:val="et2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5">
    <w:name w:val="et28"/>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6">
    <w:name w:val="et2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7">
    <w:name w:val="et3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仿宋_GB2312" w:hAnsi="宋体" w:eastAsia="仿宋_GB2312" w:cs="宋体"/>
      <w:color w:val="000000"/>
      <w:kern w:val="0"/>
      <w:sz w:val="22"/>
      <w:szCs w:val="22"/>
    </w:rPr>
  </w:style>
  <w:style w:type="paragraph" w:customStyle="1" w:styleId="48">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2"/>
      <w:szCs w:val="22"/>
    </w:rPr>
  </w:style>
  <w:style w:type="paragraph" w:customStyle="1" w:styleId="49">
    <w:name w:val="et32"/>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0">
    <w:name w:val="et33"/>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1">
    <w:name w:val="et34"/>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2">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3">
    <w:name w:val="et36"/>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4">
    <w:name w:val="et3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5">
    <w:name w:val="et38"/>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6">
    <w:name w:val="et39"/>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7">
    <w:name w:val="et40"/>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8">
    <w:name w:val="et4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9">
    <w:name w:val="et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0">
    <w:name w:val="et52"/>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1">
    <w:name w:val="et5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2">
    <w:name w:val="et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3">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i/>
      <w:iCs/>
      <w:color w:val="000000"/>
      <w:kern w:val="0"/>
      <w:sz w:val="20"/>
      <w:szCs w:val="20"/>
    </w:rPr>
  </w:style>
  <w:style w:type="paragraph" w:customStyle="1" w:styleId="64">
    <w:name w:val="et5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character" w:customStyle="1" w:styleId="65">
    <w:name w:val="font91"/>
    <w:basedOn w:val="7"/>
    <w:qFormat/>
    <w:uiPriority w:val="0"/>
    <w:rPr>
      <w:rFonts w:hint="default" w:ascii="Arial" w:hAnsi="Arial" w:cs="Arial"/>
      <w:color w:val="000000"/>
      <w:sz w:val="20"/>
      <w:szCs w:val="20"/>
      <w:u w:val="none"/>
    </w:rPr>
  </w:style>
  <w:style w:type="character" w:customStyle="1" w:styleId="66">
    <w:name w:val="font101"/>
    <w:basedOn w:val="7"/>
    <w:qFormat/>
    <w:uiPriority w:val="0"/>
    <w:rPr>
      <w:rFonts w:hint="default" w:ascii="DejaVu Sans" w:hAnsi="DejaVu Sans" w:cs="DejaVu San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22</Pages>
  <Words>22948</Words>
  <Characters>23225</Characters>
  <Lines>187</Lines>
  <Paragraphs>52</Paragraphs>
  <TotalTime>27</TotalTime>
  <ScaleCrop>false</ScaleCrop>
  <LinksUpToDate>false</LinksUpToDate>
  <CharactersWithSpaces>23998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2024-12-27T15:31:00Z</dcterms:created>
  <dc:creator>Administrator</dc:creator>
  <cp:lastModifiedBy>胡春梅</cp:lastModifiedBy>
  <dcterms:modified xsi:type="dcterms:W3CDTF">2025-05-13T13:22:01Z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22D317C01C85408B9FC82494C592804A_13</vt:lpwstr>
  </property>
  <property fmtid="{D5CDD505-2E9C-101B-9397-08002B2CF9AE}" pid="4" name="KSOTemplateDocerSaveRecord">
    <vt:lpwstr>eyJoZGlkIjoiOTEyNzFmOTE4ZGFjMjMwYmNiMmY5MjZhNzQ1YTMyMzYiLCJ1c2VySWQiOiIxNTg1MzQ1MDE5In0=</vt:lpwstr>
  </property>
</Properties>
</file>