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20C67">
      <w:pPr>
        <w:keepNext w:val="0"/>
        <w:keepLines w:val="0"/>
        <w:pageBreakBefore w:val="0"/>
        <w:widowControl/>
        <w:suppressLineNumbers w:val="0"/>
        <w:kinsoku/>
        <w:wordWrap/>
        <w:overflowPunct/>
        <w:topLinePunct w:val="0"/>
        <w:autoSpaceDE/>
        <w:autoSpaceDN/>
        <w:bidi w:val="0"/>
        <w:adjustRightInd/>
        <w:snapToGrid w:val="0"/>
        <w:spacing w:beforeAutospacing="0"/>
        <w:jc w:val="center"/>
        <w:textAlignment w:val="auto"/>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衡阳市交通运输领域免予行政处罚事项清单（噪声及</w:t>
      </w:r>
      <w:bookmarkStart w:id="0" w:name="_GoBack"/>
      <w:bookmarkEnd w:id="0"/>
      <w:r>
        <w:rPr>
          <w:rFonts w:hint="eastAsia" w:ascii="方正小标宋简体" w:eastAsia="方正小标宋简体" w:cs="方正小标宋简体"/>
          <w:color w:val="000000"/>
          <w:kern w:val="0"/>
          <w:sz w:val="44"/>
          <w:szCs w:val="44"/>
          <w:lang w:val="en-US" w:eastAsia="zh-CN" w:bidi="ar"/>
        </w:rPr>
        <w:t>扬尘污染防治）</w:t>
      </w:r>
    </w:p>
    <w:p w14:paraId="5E64ABE0">
      <w:pPr>
        <w:jc w:val="center"/>
        <w:rPr>
          <w:rFonts w:hint="eastAsia" w:ascii="楷体_GB2312" w:hAnsi="楷体_GB2312" w:eastAsia="楷体_GB2312" w:cs="楷体_GB2312"/>
          <w:spacing w:val="7"/>
          <w:sz w:val="32"/>
          <w:szCs w:val="32"/>
          <w:lang w:eastAsia="zh-CN"/>
        </w:rPr>
      </w:pPr>
      <w:r>
        <w:rPr>
          <w:rFonts w:hint="eastAsia" w:ascii="楷体_GB2312" w:hAnsi="楷体_GB2312" w:eastAsia="楷体_GB2312" w:cs="楷体_GB2312"/>
          <w:spacing w:val="7"/>
          <w:sz w:val="32"/>
          <w:szCs w:val="32"/>
          <w:lang w:eastAsia="zh-CN"/>
        </w:rPr>
        <w:t>（征求意见稿）</w:t>
      </w:r>
    </w:p>
    <w:tbl>
      <w:tblPr>
        <w:tblStyle w:val="6"/>
        <w:tblW w:w="14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4061"/>
        <w:gridCol w:w="7189"/>
        <w:gridCol w:w="1274"/>
        <w:gridCol w:w="1785"/>
      </w:tblGrid>
      <w:tr w14:paraId="0157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noWrap w:val="0"/>
            <w:vAlign w:val="center"/>
          </w:tcPr>
          <w:p w14:paraId="40780211">
            <w:pPr>
              <w:jc w:val="center"/>
              <w:rPr>
                <w:rFonts w:hint="eastAsia" w:ascii="黑体" w:hAnsi="黑体" w:eastAsia="黑体" w:cs="黑体"/>
                <w:b/>
                <w:bCs/>
                <w:color w:val="auto"/>
                <w:sz w:val="21"/>
                <w:szCs w:val="21"/>
                <w:vertAlign w:val="baseline"/>
                <w:lang w:val="en-US" w:eastAsia="zh-CN" w:bidi="ar-SA"/>
              </w:rPr>
            </w:pPr>
            <w:r>
              <w:rPr>
                <w:rFonts w:hint="eastAsia" w:ascii="黑体" w:hAnsi="黑体" w:eastAsia="黑体" w:cs="黑体"/>
                <w:b/>
                <w:bCs/>
                <w:color w:val="auto"/>
                <w:sz w:val="21"/>
                <w:szCs w:val="21"/>
                <w:vertAlign w:val="baseline"/>
                <w:lang w:val="en-US" w:eastAsia="zh-CN" w:bidi="ar-SA"/>
              </w:rPr>
              <w:t>序号</w:t>
            </w:r>
          </w:p>
        </w:tc>
        <w:tc>
          <w:tcPr>
            <w:tcW w:w="4061" w:type="dxa"/>
            <w:noWrap w:val="0"/>
            <w:vAlign w:val="center"/>
          </w:tcPr>
          <w:p w14:paraId="37A3939A">
            <w:pPr>
              <w:jc w:val="center"/>
              <w:rPr>
                <w:rFonts w:hint="eastAsia" w:ascii="黑体" w:hAnsi="黑体" w:eastAsia="黑体" w:cs="黑体"/>
                <w:b/>
                <w:bCs/>
                <w:color w:val="auto"/>
                <w:sz w:val="21"/>
                <w:szCs w:val="21"/>
                <w:vertAlign w:val="baseline"/>
                <w:lang w:val="en-US" w:eastAsia="zh-CN" w:bidi="ar-SA"/>
              </w:rPr>
            </w:pPr>
            <w:r>
              <w:rPr>
                <w:rFonts w:hint="eastAsia" w:ascii="黑体" w:hAnsi="黑体" w:eastAsia="黑体" w:cs="黑体"/>
                <w:b/>
                <w:bCs/>
                <w:color w:val="auto"/>
                <w:sz w:val="21"/>
                <w:szCs w:val="21"/>
                <w:vertAlign w:val="baseline"/>
                <w:lang w:val="en-US" w:eastAsia="zh-CN" w:bidi="ar-SA"/>
              </w:rPr>
              <w:t>违法行为</w:t>
            </w:r>
          </w:p>
        </w:tc>
        <w:tc>
          <w:tcPr>
            <w:tcW w:w="7189" w:type="dxa"/>
            <w:noWrap w:val="0"/>
            <w:vAlign w:val="center"/>
          </w:tcPr>
          <w:p w14:paraId="54984AAD">
            <w:pPr>
              <w:jc w:val="center"/>
              <w:rPr>
                <w:rFonts w:hint="eastAsia" w:ascii="黑体" w:hAnsi="黑体" w:eastAsia="黑体" w:cs="黑体"/>
                <w:b/>
                <w:bCs/>
                <w:color w:val="auto"/>
                <w:sz w:val="21"/>
                <w:szCs w:val="21"/>
                <w:vertAlign w:val="baseline"/>
                <w:lang w:val="en-US" w:eastAsia="zh-CN" w:bidi="ar-SA"/>
              </w:rPr>
            </w:pPr>
            <w:r>
              <w:rPr>
                <w:rFonts w:hint="eastAsia" w:ascii="黑体" w:hAnsi="黑体" w:eastAsia="黑体" w:cs="黑体"/>
                <w:b/>
                <w:bCs/>
                <w:color w:val="auto"/>
                <w:sz w:val="21"/>
                <w:szCs w:val="21"/>
                <w:vertAlign w:val="baseline"/>
                <w:lang w:val="en-US" w:eastAsia="zh-CN" w:bidi="ar-SA"/>
              </w:rPr>
              <w:t>处罚依据</w:t>
            </w:r>
          </w:p>
        </w:tc>
        <w:tc>
          <w:tcPr>
            <w:tcW w:w="1274" w:type="dxa"/>
            <w:noWrap w:val="0"/>
            <w:vAlign w:val="center"/>
          </w:tcPr>
          <w:p w14:paraId="74AC470B">
            <w:pPr>
              <w:jc w:val="center"/>
              <w:rPr>
                <w:rFonts w:hint="eastAsia" w:ascii="黑体" w:hAnsi="黑体" w:eastAsia="黑体" w:cs="黑体"/>
                <w:b/>
                <w:bCs/>
                <w:color w:val="auto"/>
                <w:sz w:val="21"/>
                <w:szCs w:val="21"/>
                <w:vertAlign w:val="baseline"/>
                <w:lang w:val="en-US" w:eastAsia="zh-CN" w:bidi="ar-SA"/>
              </w:rPr>
            </w:pPr>
            <w:r>
              <w:rPr>
                <w:rFonts w:hint="eastAsia" w:ascii="黑体" w:hAnsi="黑体" w:eastAsia="黑体" w:cs="黑体"/>
                <w:b/>
                <w:bCs/>
                <w:color w:val="auto"/>
                <w:sz w:val="21"/>
                <w:szCs w:val="21"/>
                <w:vertAlign w:val="baseline"/>
                <w:lang w:val="en-US" w:eastAsia="zh-CN" w:bidi="ar-SA"/>
              </w:rPr>
              <w:t>适用条件</w:t>
            </w:r>
          </w:p>
        </w:tc>
        <w:tc>
          <w:tcPr>
            <w:tcW w:w="1785" w:type="dxa"/>
            <w:noWrap w:val="0"/>
            <w:vAlign w:val="center"/>
          </w:tcPr>
          <w:p w14:paraId="6C4E8C2D">
            <w:pPr>
              <w:jc w:val="center"/>
              <w:rPr>
                <w:rFonts w:hint="eastAsia" w:ascii="黑体" w:hAnsi="黑体" w:eastAsia="黑体" w:cs="黑体"/>
                <w:b/>
                <w:bCs/>
                <w:color w:val="auto"/>
                <w:sz w:val="21"/>
                <w:szCs w:val="21"/>
                <w:vertAlign w:val="baseline"/>
                <w:lang w:val="en-US" w:eastAsia="zh-CN" w:bidi="ar-SA"/>
              </w:rPr>
            </w:pPr>
            <w:r>
              <w:rPr>
                <w:rFonts w:hint="eastAsia" w:ascii="黑体" w:hAnsi="黑体" w:eastAsia="黑体" w:cs="黑体"/>
                <w:b/>
                <w:bCs/>
                <w:color w:val="auto"/>
                <w:sz w:val="21"/>
                <w:szCs w:val="21"/>
                <w:vertAlign w:val="baseline"/>
                <w:lang w:val="en-US" w:eastAsia="zh-CN" w:bidi="ar-SA"/>
              </w:rPr>
              <w:t>处理结果</w:t>
            </w:r>
          </w:p>
        </w:tc>
      </w:tr>
      <w:tr w14:paraId="541E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noWrap w:val="0"/>
            <w:vAlign w:val="center"/>
          </w:tcPr>
          <w:p w14:paraId="65E713CE">
            <w:pPr>
              <w:jc w:val="center"/>
              <w:rPr>
                <w:rFonts w:hint="eastAsia" w:asciiTheme="majorEastAsia" w:hAnsiTheme="majorEastAsia" w:eastAsiaTheme="majorEastAsia" w:cstheme="majorEastAsia"/>
                <w:color w:val="auto"/>
                <w:sz w:val="18"/>
                <w:szCs w:val="18"/>
                <w:vertAlign w:val="baseline"/>
                <w:lang w:val="en-US" w:eastAsia="zh-CN" w:bidi="ar-SA"/>
              </w:rPr>
            </w:pPr>
            <w:r>
              <w:rPr>
                <w:rFonts w:hint="eastAsia" w:asciiTheme="majorEastAsia" w:hAnsiTheme="majorEastAsia" w:eastAsiaTheme="majorEastAsia" w:cstheme="majorEastAsia"/>
                <w:color w:val="auto"/>
                <w:sz w:val="18"/>
                <w:szCs w:val="18"/>
                <w:vertAlign w:val="baseline"/>
                <w:lang w:val="en-US" w:eastAsia="zh-CN" w:bidi="ar-SA"/>
              </w:rPr>
              <w:t>1</w:t>
            </w:r>
          </w:p>
        </w:tc>
        <w:tc>
          <w:tcPr>
            <w:tcW w:w="4061" w:type="dxa"/>
            <w:noWrap w:val="0"/>
            <w:vAlign w:val="center"/>
          </w:tcPr>
          <w:p w14:paraId="0C772DBA">
            <w:pPr>
              <w:pStyle w:val="12"/>
              <w:kinsoku/>
              <w:spacing w:line="240" w:lineRule="exact"/>
              <w:ind w:right="0" w:rightChars="0"/>
              <w:jc w:val="center"/>
              <w:rPr>
                <w:rFonts w:hint="eastAsia" w:asciiTheme="majorEastAsia" w:hAnsiTheme="majorEastAsia" w:eastAsiaTheme="majorEastAsia" w:cstheme="majorEastAsia"/>
                <w:color w:val="auto"/>
                <w:spacing w:val="-1"/>
                <w:sz w:val="18"/>
                <w:szCs w:val="18"/>
                <w:lang w:eastAsia="zh-CN"/>
              </w:rPr>
            </w:pPr>
          </w:p>
          <w:p w14:paraId="603C77A9">
            <w:pPr>
              <w:pStyle w:val="12"/>
              <w:kinsoku/>
              <w:spacing w:line="240" w:lineRule="exact"/>
              <w:ind w:right="0" w:rightChars="0"/>
              <w:jc w:val="center"/>
              <w:rPr>
                <w:rFonts w:hint="eastAsia" w:asciiTheme="majorEastAsia" w:hAnsiTheme="majorEastAsia" w:eastAsiaTheme="majorEastAsia" w:cstheme="majorEastAsia"/>
                <w:color w:val="auto"/>
                <w:sz w:val="21"/>
                <w:szCs w:val="21"/>
                <w:vertAlign w:val="baseline"/>
                <w:lang w:bidi="ar-SA"/>
              </w:rPr>
            </w:pPr>
            <w:r>
              <w:rPr>
                <w:rFonts w:hint="eastAsia" w:asciiTheme="majorEastAsia" w:hAnsiTheme="majorEastAsia" w:eastAsiaTheme="majorEastAsia" w:cstheme="majorEastAsia"/>
                <w:color w:val="auto"/>
                <w:spacing w:val="-4"/>
                <w:sz w:val="18"/>
                <w:szCs w:val="18"/>
                <w:lang w:eastAsia="zh-CN"/>
              </w:rPr>
              <w:t>对建设单位</w:t>
            </w:r>
            <w:r>
              <w:rPr>
                <w:rFonts w:hint="eastAsia" w:asciiTheme="majorEastAsia" w:hAnsiTheme="majorEastAsia" w:eastAsiaTheme="majorEastAsia" w:cstheme="majorEastAsia"/>
                <w:color w:val="auto"/>
                <w:spacing w:val="-4"/>
                <w:lang w:eastAsia="zh-CN"/>
              </w:rPr>
              <w:t>在噪声敏感建筑物禁止建设区域新建与航空无关的噪声敏感建筑物的行政处罚</w:t>
            </w:r>
          </w:p>
        </w:tc>
        <w:tc>
          <w:tcPr>
            <w:tcW w:w="7189" w:type="dxa"/>
            <w:noWrap w:val="0"/>
            <w:vAlign w:val="center"/>
          </w:tcPr>
          <w:p w14:paraId="7D0E303E">
            <w:pPr>
              <w:pStyle w:val="12"/>
              <w:kinsoku/>
              <w:spacing w:line="240" w:lineRule="exact"/>
              <w:ind w:firstLine="345" w:firstLineChars="200"/>
              <w:rPr>
                <w:rFonts w:hint="eastAsia" w:asciiTheme="majorEastAsia" w:hAnsiTheme="majorEastAsia" w:eastAsiaTheme="majorEastAsia" w:cstheme="majorEastAsia"/>
                <w:b/>
                <w:bCs/>
                <w:color w:val="auto"/>
                <w:spacing w:val="-4"/>
                <w:lang w:val="en-US" w:eastAsia="zh-CN"/>
              </w:rPr>
            </w:pPr>
            <w:r>
              <w:rPr>
                <w:rFonts w:hint="eastAsia" w:asciiTheme="majorEastAsia" w:hAnsiTheme="majorEastAsia" w:eastAsiaTheme="majorEastAsia" w:cstheme="majorEastAsia"/>
                <w:b/>
                <w:bCs/>
                <w:color w:val="auto"/>
                <w:spacing w:val="-4"/>
                <w:lang w:val="en-US" w:eastAsia="zh-CN"/>
              </w:rPr>
              <w:t>《中华人民共和国噪声污染防治法》</w:t>
            </w:r>
          </w:p>
          <w:p w14:paraId="3540E82B">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第八条第三款 各级住房和城乡建设、公安、交通运输、铁路监督管理、民用航空、海事等部门，在各自职责范围内，对建筑施工、交通运输和社会生活噪声污染防治实施监督管理。</w:t>
            </w:r>
          </w:p>
          <w:p w14:paraId="75F66398">
            <w:pPr>
              <w:pStyle w:val="12"/>
              <w:kinsoku/>
              <w:spacing w:line="240" w:lineRule="exact"/>
              <w:ind w:firstLine="344" w:firstLineChars="200"/>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spacing w:val="-4"/>
                <w:lang w:eastAsia="zh-CN"/>
              </w:rPr>
              <w:t>第七十三条第二款 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tc>
        <w:tc>
          <w:tcPr>
            <w:tcW w:w="1274" w:type="dxa"/>
            <w:noWrap w:val="0"/>
            <w:vAlign w:val="center"/>
          </w:tcPr>
          <w:p w14:paraId="080C3CCA">
            <w:pPr>
              <w:pStyle w:val="12"/>
              <w:kinsoku/>
              <w:spacing w:line="240" w:lineRule="exact"/>
              <w:jc w:val="center"/>
              <w:rPr>
                <w:rFonts w:hint="eastAsia" w:asciiTheme="majorEastAsia" w:hAnsiTheme="majorEastAsia" w:eastAsiaTheme="majorEastAsia" w:cstheme="majorEastAsia"/>
                <w:color w:val="auto"/>
                <w:sz w:val="21"/>
                <w:szCs w:val="21"/>
                <w:vertAlign w:val="baseline"/>
                <w:lang w:val="en-US" w:eastAsia="zh-CN" w:bidi="ar-SA"/>
              </w:rPr>
            </w:pPr>
            <w:r>
              <w:rPr>
                <w:rFonts w:hint="eastAsia" w:asciiTheme="majorEastAsia" w:hAnsiTheme="majorEastAsia" w:eastAsiaTheme="majorEastAsia" w:cstheme="majorEastAsia"/>
                <w:color w:val="auto"/>
                <w:spacing w:val="-4"/>
                <w:lang w:val="en-US" w:eastAsia="zh-CN"/>
              </w:rPr>
              <w:t>一个自然年度内在本市初次实施该条所列违法行为的，情节轻微，在限期内改正，尚未造成危害后果的</w:t>
            </w:r>
          </w:p>
        </w:tc>
        <w:tc>
          <w:tcPr>
            <w:tcW w:w="1785" w:type="dxa"/>
            <w:noWrap w:val="0"/>
            <w:vAlign w:val="center"/>
          </w:tcPr>
          <w:p w14:paraId="69420CF7">
            <w:pPr>
              <w:jc w:val="center"/>
              <w:rPr>
                <w:rFonts w:hint="eastAsia" w:asciiTheme="majorEastAsia" w:hAnsiTheme="majorEastAsia" w:eastAsiaTheme="majorEastAsia" w:cstheme="majorEastAsia"/>
                <w:snapToGrid w:val="0"/>
                <w:color w:val="auto"/>
                <w:spacing w:val="-4"/>
                <w:kern w:val="0"/>
                <w:sz w:val="18"/>
                <w:szCs w:val="18"/>
                <w:lang w:val="en-US" w:eastAsia="zh-CN" w:bidi="ar-SA"/>
              </w:rPr>
            </w:pPr>
            <w:r>
              <w:rPr>
                <w:rFonts w:hint="eastAsia" w:asciiTheme="majorEastAsia" w:hAnsiTheme="majorEastAsia" w:eastAsiaTheme="majorEastAsia" w:cstheme="majorEastAsia"/>
                <w:snapToGrid w:val="0"/>
                <w:color w:val="auto"/>
                <w:spacing w:val="-4"/>
                <w:kern w:val="0"/>
                <w:sz w:val="18"/>
                <w:szCs w:val="18"/>
                <w:lang w:val="en-US" w:eastAsia="zh-CN" w:bidi="ar-SA"/>
              </w:rPr>
              <w:t>不予处罚</w:t>
            </w:r>
          </w:p>
        </w:tc>
      </w:tr>
      <w:tr w14:paraId="7364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660" w:type="dxa"/>
            <w:noWrap w:val="0"/>
            <w:vAlign w:val="center"/>
          </w:tcPr>
          <w:p w14:paraId="1E72CB18">
            <w:pPr>
              <w:jc w:val="center"/>
              <w:rPr>
                <w:rFonts w:hint="eastAsia" w:asciiTheme="majorEastAsia" w:hAnsiTheme="majorEastAsia" w:eastAsiaTheme="majorEastAsia" w:cstheme="majorEastAsia"/>
                <w:color w:val="auto"/>
                <w:sz w:val="18"/>
                <w:szCs w:val="18"/>
                <w:vertAlign w:val="baseline"/>
                <w:lang w:val="en-US" w:eastAsia="zh-CN" w:bidi="ar-SA"/>
              </w:rPr>
            </w:pPr>
            <w:r>
              <w:rPr>
                <w:rFonts w:hint="eastAsia" w:asciiTheme="majorEastAsia" w:hAnsiTheme="majorEastAsia" w:eastAsiaTheme="majorEastAsia" w:cstheme="majorEastAsia"/>
                <w:color w:val="auto"/>
                <w:sz w:val="18"/>
                <w:szCs w:val="18"/>
                <w:vertAlign w:val="baseline"/>
                <w:lang w:val="en-US" w:eastAsia="zh-CN" w:bidi="ar-SA"/>
              </w:rPr>
              <w:t>2</w:t>
            </w:r>
          </w:p>
        </w:tc>
        <w:tc>
          <w:tcPr>
            <w:tcW w:w="4061" w:type="dxa"/>
            <w:noWrap w:val="0"/>
            <w:vAlign w:val="center"/>
          </w:tcPr>
          <w:p w14:paraId="75F5B2D7">
            <w:pPr>
              <w:pStyle w:val="12"/>
              <w:kinsoku/>
              <w:spacing w:line="240" w:lineRule="exact"/>
              <w:ind w:right="0" w:rightChars="0"/>
              <w:jc w:val="center"/>
              <w:rPr>
                <w:rFonts w:hint="eastAsia" w:asciiTheme="majorEastAsia" w:hAnsiTheme="majorEastAsia" w:eastAsiaTheme="majorEastAsia" w:cstheme="majorEastAsia"/>
                <w:color w:val="auto"/>
                <w:sz w:val="21"/>
                <w:szCs w:val="21"/>
                <w:vertAlign w:val="baseline"/>
                <w:lang w:bidi="ar-SA"/>
              </w:rPr>
            </w:pPr>
            <w:r>
              <w:rPr>
                <w:rFonts w:hint="eastAsia" w:asciiTheme="majorEastAsia" w:hAnsiTheme="majorEastAsia" w:eastAsiaTheme="majorEastAsia" w:cstheme="majorEastAsia"/>
                <w:color w:val="auto"/>
                <w:spacing w:val="-4"/>
                <w:sz w:val="18"/>
                <w:szCs w:val="18"/>
                <w:lang w:eastAsia="zh-CN"/>
              </w:rPr>
              <w:t>对交通运输工具运行时未按照规定使用声响装置</w:t>
            </w:r>
            <w:r>
              <w:rPr>
                <w:rFonts w:hint="eastAsia" w:asciiTheme="majorEastAsia" w:hAnsiTheme="majorEastAsia" w:eastAsiaTheme="majorEastAsia" w:cstheme="majorEastAsia"/>
                <w:color w:val="auto"/>
                <w:spacing w:val="-4"/>
                <w:lang w:eastAsia="zh-CN"/>
              </w:rPr>
              <w:t>的行政处罚</w:t>
            </w:r>
          </w:p>
        </w:tc>
        <w:tc>
          <w:tcPr>
            <w:tcW w:w="7189" w:type="dxa"/>
            <w:noWrap w:val="0"/>
            <w:vAlign w:val="center"/>
          </w:tcPr>
          <w:p w14:paraId="35F4197E">
            <w:pPr>
              <w:pStyle w:val="12"/>
              <w:kinsoku/>
              <w:spacing w:line="240" w:lineRule="exact"/>
              <w:ind w:firstLine="345" w:firstLineChars="200"/>
              <w:rPr>
                <w:rFonts w:hint="eastAsia" w:asciiTheme="majorEastAsia" w:hAnsiTheme="majorEastAsia" w:eastAsiaTheme="majorEastAsia" w:cstheme="majorEastAsia"/>
                <w:b/>
                <w:bCs/>
                <w:color w:val="auto"/>
                <w:spacing w:val="-4"/>
                <w:lang w:val="en-US" w:eastAsia="zh-CN"/>
              </w:rPr>
            </w:pPr>
            <w:r>
              <w:rPr>
                <w:rFonts w:hint="eastAsia" w:asciiTheme="majorEastAsia" w:hAnsiTheme="majorEastAsia" w:eastAsiaTheme="majorEastAsia" w:cstheme="majorEastAsia"/>
                <w:b/>
                <w:bCs/>
                <w:color w:val="auto"/>
                <w:spacing w:val="-4"/>
                <w:lang w:val="en-US" w:eastAsia="zh-CN"/>
              </w:rPr>
              <w:t>《中华人民共和国噪声污染防治法》</w:t>
            </w:r>
          </w:p>
          <w:p w14:paraId="63ECE43A">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第八条第三款 各级住房和城乡建设、公安、交通运输、铁路监督管理、民用航空、海事等部门，在各自职责范围内，对建筑施工、交通运输和社会生活噪声污染防治实施监督管理。</w:t>
            </w:r>
          </w:p>
          <w:p w14:paraId="63D52B9F">
            <w:pPr>
              <w:pStyle w:val="12"/>
              <w:kinsoku/>
              <w:spacing w:line="240" w:lineRule="exact"/>
              <w:ind w:firstLine="344" w:firstLineChars="200"/>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spacing w:val="-4"/>
                <w:lang w:eastAsia="zh-CN"/>
              </w:rPr>
              <w:t>第七十九条第二款 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c>
          <w:tcPr>
            <w:tcW w:w="1274" w:type="dxa"/>
            <w:noWrap w:val="0"/>
            <w:vAlign w:val="center"/>
          </w:tcPr>
          <w:p w14:paraId="5DA52303">
            <w:pPr>
              <w:pStyle w:val="12"/>
              <w:kinsoku/>
              <w:spacing w:line="240" w:lineRule="exact"/>
              <w:jc w:val="center"/>
              <w:rPr>
                <w:rFonts w:hint="eastAsia" w:asciiTheme="majorEastAsia" w:hAnsiTheme="majorEastAsia" w:eastAsiaTheme="majorEastAsia" w:cstheme="majorEastAsia"/>
                <w:snapToGrid w:val="0"/>
                <w:color w:val="auto"/>
                <w:spacing w:val="-4"/>
                <w:kern w:val="0"/>
                <w:sz w:val="18"/>
                <w:szCs w:val="18"/>
                <w:lang w:val="en-US" w:eastAsia="zh-CN" w:bidi="ar-SA"/>
              </w:rPr>
            </w:pPr>
            <w:r>
              <w:rPr>
                <w:rFonts w:hint="eastAsia" w:asciiTheme="majorEastAsia" w:hAnsiTheme="majorEastAsia" w:eastAsiaTheme="majorEastAsia" w:cstheme="majorEastAsia"/>
                <w:color w:val="auto"/>
                <w:spacing w:val="-4"/>
                <w:lang w:val="en-US" w:eastAsia="zh-CN"/>
              </w:rPr>
              <w:t>一个自然年度内在本市初次实施该条所列违法行为的，情节轻微，在限期内改正，尚未造成危害后果的</w:t>
            </w:r>
          </w:p>
        </w:tc>
        <w:tc>
          <w:tcPr>
            <w:tcW w:w="1785" w:type="dxa"/>
            <w:noWrap w:val="0"/>
            <w:vAlign w:val="center"/>
          </w:tcPr>
          <w:p w14:paraId="6D9DC412">
            <w:pPr>
              <w:jc w:val="center"/>
              <w:rPr>
                <w:rFonts w:hint="eastAsia" w:asciiTheme="majorEastAsia" w:hAnsiTheme="majorEastAsia" w:eastAsiaTheme="majorEastAsia" w:cstheme="majorEastAsia"/>
                <w:snapToGrid w:val="0"/>
                <w:color w:val="auto"/>
                <w:spacing w:val="-4"/>
                <w:kern w:val="0"/>
                <w:sz w:val="18"/>
                <w:szCs w:val="18"/>
                <w:lang w:val="en-US" w:eastAsia="zh-CN" w:bidi="ar-SA"/>
              </w:rPr>
            </w:pPr>
            <w:r>
              <w:rPr>
                <w:rFonts w:hint="eastAsia" w:asciiTheme="majorEastAsia" w:hAnsiTheme="majorEastAsia" w:eastAsiaTheme="majorEastAsia" w:cstheme="majorEastAsia"/>
                <w:snapToGrid w:val="0"/>
                <w:color w:val="auto"/>
                <w:spacing w:val="-4"/>
                <w:kern w:val="0"/>
                <w:sz w:val="18"/>
                <w:szCs w:val="18"/>
                <w:lang w:val="en-US" w:eastAsia="zh-CN" w:bidi="ar-SA"/>
              </w:rPr>
              <w:t>不予处罚</w:t>
            </w:r>
          </w:p>
        </w:tc>
      </w:tr>
      <w:tr w14:paraId="09CE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60" w:type="dxa"/>
            <w:noWrap w:val="0"/>
            <w:vAlign w:val="center"/>
          </w:tcPr>
          <w:p w14:paraId="38A7ED06">
            <w:pPr>
              <w:jc w:val="center"/>
              <w:rPr>
                <w:rFonts w:hint="eastAsia" w:asciiTheme="majorEastAsia" w:hAnsiTheme="majorEastAsia" w:eastAsiaTheme="majorEastAsia" w:cstheme="majorEastAsia"/>
                <w:color w:val="auto"/>
                <w:sz w:val="18"/>
                <w:szCs w:val="18"/>
                <w:vertAlign w:val="baseline"/>
                <w:lang w:val="en-US" w:eastAsia="zh-CN" w:bidi="ar-SA"/>
              </w:rPr>
            </w:pPr>
            <w:r>
              <w:rPr>
                <w:rFonts w:hint="eastAsia" w:asciiTheme="majorEastAsia" w:hAnsiTheme="majorEastAsia" w:eastAsiaTheme="majorEastAsia" w:cstheme="majorEastAsia"/>
                <w:color w:val="auto"/>
                <w:sz w:val="18"/>
                <w:szCs w:val="18"/>
                <w:vertAlign w:val="baseline"/>
                <w:lang w:val="en-US" w:eastAsia="zh-CN" w:bidi="ar-SA"/>
              </w:rPr>
              <w:t>3</w:t>
            </w:r>
          </w:p>
        </w:tc>
        <w:tc>
          <w:tcPr>
            <w:tcW w:w="4061" w:type="dxa"/>
            <w:noWrap w:val="0"/>
            <w:vAlign w:val="center"/>
          </w:tcPr>
          <w:p w14:paraId="3A0186B8">
            <w:pPr>
              <w:pStyle w:val="12"/>
              <w:kinsoku/>
              <w:spacing w:line="240" w:lineRule="exact"/>
              <w:ind w:right="0" w:rightChars="0"/>
              <w:jc w:val="center"/>
              <w:rPr>
                <w:rFonts w:hint="eastAsia" w:asciiTheme="majorEastAsia" w:hAnsiTheme="majorEastAsia" w:eastAsiaTheme="majorEastAsia" w:cstheme="majorEastAsia"/>
                <w:color w:val="auto"/>
                <w:sz w:val="21"/>
                <w:szCs w:val="21"/>
                <w:vertAlign w:val="baseline"/>
                <w:lang w:bidi="ar-SA"/>
              </w:rPr>
            </w:pPr>
            <w:r>
              <w:rPr>
                <w:rFonts w:hint="eastAsia" w:asciiTheme="majorEastAsia" w:hAnsiTheme="majorEastAsia" w:eastAsiaTheme="majorEastAsia" w:cstheme="majorEastAsia"/>
                <w:color w:val="auto"/>
                <w:spacing w:val="-4"/>
                <w:sz w:val="18"/>
                <w:szCs w:val="18"/>
                <w:lang w:eastAsia="zh-CN"/>
              </w:rPr>
              <w:t>对</w:t>
            </w:r>
            <w:r>
              <w:rPr>
                <w:rFonts w:hint="eastAsia" w:asciiTheme="majorEastAsia" w:hAnsiTheme="majorEastAsia" w:eastAsiaTheme="majorEastAsia" w:cstheme="majorEastAsia"/>
                <w:color w:val="auto"/>
                <w:spacing w:val="-4"/>
                <w:lang w:eastAsia="zh-CN"/>
              </w:rPr>
              <w:t>公路养护管理单位</w:t>
            </w:r>
            <w:r>
              <w:rPr>
                <w:rFonts w:hint="eastAsia" w:asciiTheme="majorEastAsia" w:hAnsiTheme="majorEastAsia" w:eastAsiaTheme="majorEastAsia" w:cstheme="majorEastAsia"/>
                <w:color w:val="auto"/>
                <w:spacing w:val="-4"/>
                <w:sz w:val="18"/>
                <w:szCs w:val="18"/>
                <w:lang w:eastAsia="zh-CN"/>
              </w:rPr>
              <w:t>未按规定履行噪声污染防治责任</w:t>
            </w:r>
            <w:r>
              <w:rPr>
                <w:rFonts w:hint="eastAsia" w:asciiTheme="majorEastAsia" w:hAnsiTheme="majorEastAsia" w:eastAsiaTheme="majorEastAsia" w:cstheme="majorEastAsia"/>
                <w:color w:val="auto"/>
                <w:spacing w:val="-4"/>
                <w:lang w:eastAsia="zh-CN"/>
              </w:rPr>
              <w:t>的行政处罚</w:t>
            </w:r>
          </w:p>
        </w:tc>
        <w:tc>
          <w:tcPr>
            <w:tcW w:w="7189" w:type="dxa"/>
            <w:noWrap w:val="0"/>
            <w:vAlign w:val="center"/>
          </w:tcPr>
          <w:p w14:paraId="75F31E99">
            <w:pPr>
              <w:pStyle w:val="12"/>
              <w:kinsoku/>
              <w:spacing w:line="240" w:lineRule="exact"/>
              <w:ind w:firstLine="345" w:firstLineChars="200"/>
              <w:rPr>
                <w:rFonts w:hint="eastAsia" w:asciiTheme="majorEastAsia" w:hAnsiTheme="majorEastAsia" w:eastAsiaTheme="majorEastAsia" w:cstheme="majorEastAsia"/>
                <w:b/>
                <w:bCs/>
                <w:color w:val="auto"/>
                <w:spacing w:val="-4"/>
                <w:lang w:eastAsia="zh-CN"/>
              </w:rPr>
            </w:pPr>
            <w:r>
              <w:rPr>
                <w:rFonts w:hint="eastAsia" w:asciiTheme="majorEastAsia" w:hAnsiTheme="majorEastAsia" w:eastAsiaTheme="majorEastAsia" w:cstheme="majorEastAsia"/>
                <w:b/>
                <w:bCs/>
                <w:color w:val="auto"/>
                <w:spacing w:val="-4"/>
                <w:lang w:val="en-US" w:eastAsia="zh-CN"/>
              </w:rPr>
              <w:t>《中华人民共和国噪声污染防治法》</w:t>
            </w:r>
          </w:p>
          <w:p w14:paraId="61EBDAAC">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第八条第三款 各级住房和城乡建设、公安、交通运输、铁路监督管理、民用航空、海事等部门，在各自职责范围内，对建筑施工、交通运输和社会生活噪声污染防治实施监督管理。</w:t>
            </w:r>
          </w:p>
          <w:p w14:paraId="7F3DCE87">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第八十条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14:paraId="614F4CC1">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（一）公路养护管理单位、城市道路养护维修单位、城市轨道交通运营单位、铁路运输企业未履行维护和保养义务，未保持减少振动、降低噪声设施正常运行的；</w:t>
            </w:r>
          </w:p>
          <w:p w14:paraId="6645C8E4">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（二）城市轨道交通运营单位、铁路运输企业未按照国家规定进行监测，或者未保存原始监测记录的；</w:t>
            </w:r>
          </w:p>
          <w:p w14:paraId="0B68D806">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（三）民用机场管理机构、航空运输企业、通用航空企业未采取措施防止、减轻民用航空器噪声污染的；</w:t>
            </w:r>
          </w:p>
          <w:p w14:paraId="7A879E95">
            <w:pPr>
              <w:pStyle w:val="12"/>
              <w:kinsoku/>
              <w:spacing w:line="240" w:lineRule="exact"/>
              <w:ind w:firstLine="344" w:firstLineChars="200"/>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spacing w:val="-4"/>
                <w:lang w:eastAsia="zh-CN"/>
              </w:rPr>
              <w:t>（四）民用机场管理机构未按照国家规定对机场周围民用航空器噪声进行监测，未保存原始监测记录，或者监测结果未定期报送的。</w:t>
            </w:r>
          </w:p>
        </w:tc>
        <w:tc>
          <w:tcPr>
            <w:tcW w:w="1274" w:type="dxa"/>
            <w:noWrap w:val="0"/>
            <w:vAlign w:val="center"/>
          </w:tcPr>
          <w:p w14:paraId="2370C7FD">
            <w:pPr>
              <w:pStyle w:val="12"/>
              <w:kinsoku/>
              <w:spacing w:line="240" w:lineRule="exact"/>
              <w:jc w:val="center"/>
              <w:rPr>
                <w:rFonts w:hint="eastAsia" w:asciiTheme="majorEastAsia" w:hAnsiTheme="majorEastAsia" w:eastAsiaTheme="majorEastAsia" w:cstheme="majorEastAsia"/>
                <w:color w:val="auto"/>
                <w:sz w:val="21"/>
                <w:szCs w:val="21"/>
                <w:vertAlign w:val="baseline"/>
                <w:lang w:val="en-US" w:eastAsia="zh-CN" w:bidi="ar-SA"/>
              </w:rPr>
            </w:pPr>
            <w:r>
              <w:rPr>
                <w:rFonts w:hint="eastAsia" w:asciiTheme="majorEastAsia" w:hAnsiTheme="majorEastAsia" w:eastAsiaTheme="majorEastAsia" w:cstheme="majorEastAsia"/>
                <w:color w:val="auto"/>
                <w:spacing w:val="-4"/>
                <w:lang w:val="en-US" w:eastAsia="zh-CN"/>
              </w:rPr>
              <w:t>一个自然年度内在本市初次实施该条所列违法行为的，情节轻微，在限期内改正，尚未造成危害后果的</w:t>
            </w:r>
          </w:p>
        </w:tc>
        <w:tc>
          <w:tcPr>
            <w:tcW w:w="1785" w:type="dxa"/>
            <w:noWrap w:val="0"/>
            <w:vAlign w:val="center"/>
          </w:tcPr>
          <w:p w14:paraId="0294A20F">
            <w:pPr>
              <w:jc w:val="center"/>
              <w:rPr>
                <w:rFonts w:hint="eastAsia" w:asciiTheme="majorEastAsia" w:hAnsiTheme="majorEastAsia" w:eastAsiaTheme="majorEastAsia" w:cstheme="majorEastAsia"/>
                <w:color w:val="auto"/>
                <w:sz w:val="21"/>
                <w:szCs w:val="21"/>
                <w:vertAlign w:val="baseline"/>
                <w:lang w:val="en-US" w:eastAsia="zh-CN" w:bidi="ar-SA"/>
              </w:rPr>
            </w:pPr>
            <w:r>
              <w:rPr>
                <w:rFonts w:hint="eastAsia" w:asciiTheme="majorEastAsia" w:hAnsiTheme="majorEastAsia" w:eastAsiaTheme="majorEastAsia" w:cstheme="majorEastAsia"/>
                <w:snapToGrid w:val="0"/>
                <w:color w:val="auto"/>
                <w:spacing w:val="-4"/>
                <w:kern w:val="0"/>
                <w:sz w:val="18"/>
                <w:szCs w:val="18"/>
                <w:lang w:val="en-US" w:eastAsia="zh-CN" w:bidi="ar-SA"/>
              </w:rPr>
              <w:t>不予处罚</w:t>
            </w:r>
          </w:p>
        </w:tc>
      </w:tr>
      <w:tr w14:paraId="66E0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660" w:type="dxa"/>
            <w:noWrap w:val="0"/>
            <w:vAlign w:val="center"/>
          </w:tcPr>
          <w:p w14:paraId="3919E9C3">
            <w:pPr>
              <w:jc w:val="center"/>
              <w:rPr>
                <w:rFonts w:hint="eastAsia" w:asciiTheme="majorEastAsia" w:hAnsiTheme="majorEastAsia" w:eastAsiaTheme="majorEastAsia" w:cstheme="majorEastAsia"/>
                <w:color w:val="auto"/>
                <w:sz w:val="18"/>
                <w:szCs w:val="18"/>
                <w:vertAlign w:val="baseline"/>
                <w:lang w:val="en-US" w:eastAsia="zh-CN" w:bidi="ar-SA"/>
              </w:rPr>
            </w:pPr>
            <w:r>
              <w:rPr>
                <w:rFonts w:hint="eastAsia" w:asciiTheme="majorEastAsia" w:hAnsiTheme="majorEastAsia" w:eastAsiaTheme="majorEastAsia" w:cstheme="majorEastAsia"/>
                <w:color w:val="auto"/>
                <w:sz w:val="18"/>
                <w:szCs w:val="18"/>
                <w:vertAlign w:val="baseline"/>
                <w:lang w:val="en-US" w:eastAsia="zh-CN" w:bidi="ar-SA"/>
              </w:rPr>
              <w:t>4</w:t>
            </w:r>
          </w:p>
        </w:tc>
        <w:tc>
          <w:tcPr>
            <w:tcW w:w="4061" w:type="dxa"/>
            <w:noWrap w:val="0"/>
            <w:vAlign w:val="center"/>
          </w:tcPr>
          <w:p w14:paraId="3FD99D0C">
            <w:pPr>
              <w:pStyle w:val="12"/>
              <w:kinsoku/>
              <w:spacing w:line="240" w:lineRule="exact"/>
              <w:ind w:right="0" w:rightChars="0"/>
              <w:jc w:val="center"/>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spacing w:val="-4"/>
                <w:sz w:val="18"/>
                <w:szCs w:val="18"/>
                <w:lang w:eastAsia="zh-CN"/>
              </w:rPr>
              <w:t>对建设单位未采取扬尘污染防治措施</w:t>
            </w:r>
            <w:r>
              <w:rPr>
                <w:rFonts w:hint="eastAsia" w:asciiTheme="majorEastAsia" w:hAnsiTheme="majorEastAsia" w:eastAsiaTheme="majorEastAsia" w:cstheme="majorEastAsia"/>
                <w:color w:val="auto"/>
                <w:spacing w:val="-4"/>
                <w:lang w:eastAsia="zh-CN"/>
              </w:rPr>
              <w:t>的行政处罚</w:t>
            </w:r>
          </w:p>
        </w:tc>
        <w:tc>
          <w:tcPr>
            <w:tcW w:w="7189" w:type="dxa"/>
            <w:noWrap w:val="0"/>
            <w:vAlign w:val="center"/>
          </w:tcPr>
          <w:p w14:paraId="5185E4FB">
            <w:pPr>
              <w:pStyle w:val="12"/>
              <w:kinsoku/>
              <w:spacing w:line="240" w:lineRule="exact"/>
              <w:ind w:firstLine="345" w:firstLineChars="200"/>
              <w:rPr>
                <w:rFonts w:hint="eastAsia" w:asciiTheme="majorEastAsia" w:hAnsiTheme="majorEastAsia" w:eastAsiaTheme="majorEastAsia" w:cstheme="majorEastAsia"/>
                <w:b/>
                <w:bCs/>
                <w:color w:val="auto"/>
                <w:spacing w:val="-4"/>
                <w:lang w:eastAsia="zh-CN"/>
              </w:rPr>
            </w:pPr>
            <w:r>
              <w:rPr>
                <w:rFonts w:hint="eastAsia" w:asciiTheme="majorEastAsia" w:hAnsiTheme="majorEastAsia" w:eastAsiaTheme="majorEastAsia" w:cstheme="majorEastAsia"/>
                <w:b/>
                <w:bCs/>
                <w:color w:val="auto"/>
                <w:spacing w:val="-4"/>
                <w:lang w:eastAsia="zh-CN"/>
              </w:rPr>
              <w:t>《衡阳市扬尘污染防治条例》</w:t>
            </w:r>
          </w:p>
          <w:p w14:paraId="0ADE41BC">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第五条 建设单位应当将扬尘污染防治费用列入工程造价，在招标文件中要求投标人制定施工现场扬尘污染防治方案，在施工承包合同中明确施工单位扬尘污染防治责任并督促落实。</w:t>
            </w:r>
          </w:p>
          <w:p w14:paraId="369B1BEC">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建设单位依法自行组织施工的，应当履行与施工单位同等的扬尘污染防治职责。</w:t>
            </w:r>
          </w:p>
          <w:p w14:paraId="5D306DA8">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暂时不能开工建设的裸露场地，超过三个月的，建设单位应当进行绿化、铺装或者遮盖；不满三个月的，应当采用防尘网等进行覆盖。</w:t>
            </w:r>
          </w:p>
          <w:p w14:paraId="2369B63C">
            <w:pPr>
              <w:pStyle w:val="12"/>
              <w:kinsoku/>
              <w:spacing w:line="240" w:lineRule="exact"/>
              <w:ind w:firstLine="344" w:firstLineChars="200"/>
              <w:rPr>
                <w:rFonts w:hint="eastAsia" w:asciiTheme="majorEastAsia" w:hAnsiTheme="majorEastAsia" w:eastAsiaTheme="majorEastAsia" w:cstheme="majorEastAsia"/>
                <w:color w:val="auto"/>
                <w:spacing w:val="-4"/>
                <w:lang w:val="en-US" w:eastAsia="zh-CN"/>
              </w:rPr>
            </w:pPr>
            <w:r>
              <w:rPr>
                <w:rFonts w:hint="eastAsia" w:asciiTheme="majorEastAsia" w:hAnsiTheme="majorEastAsia" w:eastAsiaTheme="majorEastAsia" w:cstheme="majorEastAsia"/>
                <w:color w:val="auto"/>
                <w:spacing w:val="-4"/>
                <w:lang w:val="en-US" w:eastAsia="zh-CN"/>
              </w:rPr>
              <w:t>第二十五条第一项 违反本条例规定，根据职责分工，由相应的行政主管部门按照下列规定处理：</w:t>
            </w:r>
          </w:p>
          <w:p w14:paraId="325E3362">
            <w:pPr>
              <w:pStyle w:val="12"/>
              <w:kinsoku/>
              <w:spacing w:line="240" w:lineRule="exact"/>
              <w:ind w:firstLine="344" w:firstLineChars="200"/>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spacing w:val="-4"/>
                <w:lang w:val="en-US" w:eastAsia="zh-CN"/>
              </w:rPr>
              <w:t>（一）违反本条例第五条第三款规定，建设单位未采取扬尘污染防治措施的，责令改正，处一万元以上十万元以下罚款。</w:t>
            </w:r>
          </w:p>
        </w:tc>
        <w:tc>
          <w:tcPr>
            <w:tcW w:w="1274" w:type="dxa"/>
            <w:noWrap w:val="0"/>
            <w:vAlign w:val="center"/>
          </w:tcPr>
          <w:p w14:paraId="2B31508A">
            <w:pPr>
              <w:pStyle w:val="12"/>
              <w:kinsoku/>
              <w:spacing w:line="240" w:lineRule="exact"/>
              <w:jc w:val="center"/>
              <w:rPr>
                <w:rFonts w:hint="eastAsia" w:asciiTheme="majorEastAsia" w:hAnsiTheme="majorEastAsia" w:eastAsiaTheme="majorEastAsia" w:cstheme="majorEastAsia"/>
                <w:color w:val="auto"/>
                <w:sz w:val="21"/>
                <w:szCs w:val="21"/>
                <w:vertAlign w:val="baseline"/>
                <w:lang w:val="en-US" w:eastAsia="zh-CN" w:bidi="ar-SA"/>
              </w:rPr>
            </w:pPr>
            <w:r>
              <w:rPr>
                <w:rFonts w:hint="eastAsia" w:asciiTheme="majorEastAsia" w:hAnsiTheme="majorEastAsia" w:eastAsiaTheme="majorEastAsia" w:cstheme="majorEastAsia"/>
                <w:color w:val="auto"/>
                <w:spacing w:val="-4"/>
                <w:lang w:val="en-US" w:eastAsia="zh-CN"/>
              </w:rPr>
              <w:t>一个自然年度内在本市初次实施该条所列违法行为的，情节轻微，在限期内改正，尚未造成危害后果的</w:t>
            </w:r>
          </w:p>
        </w:tc>
        <w:tc>
          <w:tcPr>
            <w:tcW w:w="1785" w:type="dxa"/>
            <w:noWrap w:val="0"/>
            <w:vAlign w:val="center"/>
          </w:tcPr>
          <w:p w14:paraId="466220B2">
            <w:pPr>
              <w:jc w:val="center"/>
              <w:rPr>
                <w:rFonts w:hint="eastAsia" w:asciiTheme="majorEastAsia" w:hAnsiTheme="majorEastAsia" w:eastAsiaTheme="majorEastAsia" w:cstheme="majorEastAsia"/>
                <w:color w:val="auto"/>
                <w:sz w:val="21"/>
                <w:szCs w:val="21"/>
                <w:vertAlign w:val="baseline"/>
                <w:lang w:val="en-US" w:eastAsia="zh-CN" w:bidi="ar-SA"/>
              </w:rPr>
            </w:pPr>
            <w:r>
              <w:rPr>
                <w:rFonts w:hint="eastAsia" w:asciiTheme="majorEastAsia" w:hAnsiTheme="majorEastAsia" w:eastAsiaTheme="majorEastAsia" w:cstheme="majorEastAsia"/>
                <w:snapToGrid w:val="0"/>
                <w:color w:val="auto"/>
                <w:spacing w:val="-4"/>
                <w:kern w:val="0"/>
                <w:sz w:val="18"/>
                <w:szCs w:val="18"/>
                <w:lang w:val="en-US" w:eastAsia="zh-CN" w:bidi="ar-SA"/>
              </w:rPr>
              <w:t>不予处罚</w:t>
            </w:r>
          </w:p>
        </w:tc>
      </w:tr>
      <w:tr w14:paraId="138C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660" w:type="dxa"/>
            <w:noWrap w:val="0"/>
            <w:vAlign w:val="center"/>
          </w:tcPr>
          <w:p w14:paraId="5E41C646">
            <w:pPr>
              <w:jc w:val="center"/>
              <w:rPr>
                <w:rFonts w:hint="eastAsia" w:asciiTheme="majorEastAsia" w:hAnsiTheme="majorEastAsia" w:eastAsiaTheme="majorEastAsia" w:cstheme="majorEastAsia"/>
                <w:color w:val="auto"/>
                <w:sz w:val="18"/>
                <w:szCs w:val="18"/>
                <w:vertAlign w:val="baseline"/>
                <w:lang w:val="en-US" w:eastAsia="zh-CN" w:bidi="ar-SA"/>
              </w:rPr>
            </w:pPr>
            <w:r>
              <w:rPr>
                <w:rFonts w:hint="eastAsia" w:asciiTheme="majorEastAsia" w:hAnsiTheme="majorEastAsia" w:eastAsiaTheme="majorEastAsia" w:cstheme="majorEastAsia"/>
                <w:color w:val="auto"/>
                <w:sz w:val="18"/>
                <w:szCs w:val="18"/>
                <w:vertAlign w:val="baseline"/>
                <w:lang w:val="en-US" w:eastAsia="zh-CN" w:bidi="ar-SA"/>
              </w:rPr>
              <w:t>5</w:t>
            </w:r>
          </w:p>
        </w:tc>
        <w:tc>
          <w:tcPr>
            <w:tcW w:w="4061" w:type="dxa"/>
            <w:noWrap w:val="0"/>
            <w:vAlign w:val="center"/>
          </w:tcPr>
          <w:p w14:paraId="1CFB6D27">
            <w:pPr>
              <w:pStyle w:val="12"/>
              <w:kinsoku/>
              <w:spacing w:line="240" w:lineRule="exact"/>
              <w:ind w:right="0" w:rightChars="0"/>
              <w:jc w:val="center"/>
              <w:rPr>
                <w:rFonts w:hint="eastAsia" w:asciiTheme="majorEastAsia" w:hAnsiTheme="majorEastAsia" w:eastAsiaTheme="majorEastAsia" w:cstheme="majorEastAsia"/>
                <w:color w:val="auto"/>
                <w:sz w:val="21"/>
                <w:szCs w:val="21"/>
                <w:lang w:bidi="ar-SA"/>
              </w:rPr>
            </w:pPr>
            <w:r>
              <w:rPr>
                <w:rFonts w:hint="eastAsia" w:asciiTheme="majorEastAsia" w:hAnsiTheme="majorEastAsia" w:eastAsiaTheme="majorEastAsia" w:cstheme="majorEastAsia"/>
                <w:color w:val="auto"/>
                <w:spacing w:val="-4"/>
                <w:sz w:val="18"/>
                <w:szCs w:val="18"/>
                <w:lang w:eastAsia="zh-CN"/>
              </w:rPr>
              <w:t>对监理单位未履行扬尘污染防治监理责任</w:t>
            </w:r>
            <w:r>
              <w:rPr>
                <w:rFonts w:hint="eastAsia" w:asciiTheme="majorEastAsia" w:hAnsiTheme="majorEastAsia" w:eastAsiaTheme="majorEastAsia" w:cstheme="majorEastAsia"/>
                <w:color w:val="auto"/>
                <w:spacing w:val="-4"/>
                <w:lang w:eastAsia="zh-CN"/>
              </w:rPr>
              <w:t>的行政处罚</w:t>
            </w:r>
          </w:p>
        </w:tc>
        <w:tc>
          <w:tcPr>
            <w:tcW w:w="7189" w:type="dxa"/>
            <w:noWrap w:val="0"/>
            <w:vAlign w:val="center"/>
          </w:tcPr>
          <w:p w14:paraId="4C3AE53A">
            <w:pPr>
              <w:pStyle w:val="12"/>
              <w:kinsoku/>
              <w:spacing w:line="240" w:lineRule="exact"/>
              <w:ind w:firstLine="345" w:firstLineChars="200"/>
              <w:rPr>
                <w:rFonts w:hint="eastAsia" w:asciiTheme="majorEastAsia" w:hAnsiTheme="majorEastAsia" w:eastAsiaTheme="majorEastAsia" w:cstheme="majorEastAsia"/>
                <w:b/>
                <w:bCs/>
                <w:color w:val="auto"/>
                <w:spacing w:val="-4"/>
                <w:lang w:eastAsia="zh-CN"/>
              </w:rPr>
            </w:pPr>
            <w:r>
              <w:rPr>
                <w:rFonts w:hint="eastAsia" w:asciiTheme="majorEastAsia" w:hAnsiTheme="majorEastAsia" w:eastAsiaTheme="majorEastAsia" w:cstheme="majorEastAsia"/>
                <w:b/>
                <w:bCs/>
                <w:color w:val="auto"/>
                <w:spacing w:val="-4"/>
                <w:lang w:eastAsia="zh-CN"/>
              </w:rPr>
              <w:t>《衡阳市扬尘污染防治条例》</w:t>
            </w:r>
          </w:p>
          <w:p w14:paraId="483A8D08">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第七条</w:t>
            </w:r>
            <w:r>
              <w:rPr>
                <w:rFonts w:hint="eastAsia" w:asciiTheme="majorEastAsia" w:hAnsiTheme="majorEastAsia" w:eastAsiaTheme="majorEastAsia" w:cstheme="majorEastAsia"/>
                <w:color w:val="auto"/>
                <w:spacing w:val="-4"/>
                <w:lang w:val="en-US" w:eastAsia="zh-CN"/>
              </w:rPr>
              <w:t xml:space="preserve"> </w:t>
            </w:r>
            <w:r>
              <w:rPr>
                <w:rFonts w:hint="eastAsia" w:asciiTheme="majorEastAsia" w:hAnsiTheme="majorEastAsia" w:eastAsiaTheme="majorEastAsia" w:cstheme="majorEastAsia"/>
                <w:color w:val="auto"/>
                <w:spacing w:val="-4"/>
                <w:lang w:eastAsia="zh-CN"/>
              </w:rPr>
              <w:t>监理单位应当加强对施工单位扬尘污染防治设施设置和防治措施落实情况的监理，对未按照扬尘污染防治要求施工的，应当要求施工单位立即改正，并及时报告建设单位和相关主管部门。</w:t>
            </w:r>
          </w:p>
          <w:p w14:paraId="0AD4264B">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第二十五条第二项 违反本条例规定，根据职责分工，由相应的行政主管部门按照下列规定处理：</w:t>
            </w:r>
          </w:p>
          <w:p w14:paraId="5BD83090">
            <w:pPr>
              <w:pStyle w:val="12"/>
              <w:kinsoku/>
              <w:spacing w:line="240" w:lineRule="exact"/>
              <w:ind w:firstLine="344" w:firstLineChars="200"/>
              <w:rPr>
                <w:rFonts w:hint="eastAsia" w:asciiTheme="majorEastAsia" w:hAnsiTheme="majorEastAsia" w:eastAsiaTheme="majorEastAsia" w:cstheme="majorEastAsia"/>
                <w:color w:val="auto"/>
                <w:sz w:val="21"/>
                <w:szCs w:val="21"/>
                <w:lang w:bidi="ar-SA"/>
              </w:rPr>
            </w:pPr>
            <w:r>
              <w:rPr>
                <w:rFonts w:hint="eastAsia" w:asciiTheme="majorEastAsia" w:hAnsiTheme="majorEastAsia" w:eastAsiaTheme="majorEastAsia" w:cstheme="majorEastAsia"/>
                <w:color w:val="auto"/>
                <w:spacing w:val="-4"/>
                <w:lang w:eastAsia="zh-CN"/>
              </w:rPr>
              <w:t>（二）违反本条例第七条规定，监理单位未履行扬尘污染防治监理责任的，责令改正，处二千元以上一万元以下罚款。</w:t>
            </w:r>
          </w:p>
        </w:tc>
        <w:tc>
          <w:tcPr>
            <w:tcW w:w="1274" w:type="dxa"/>
            <w:noWrap w:val="0"/>
            <w:vAlign w:val="center"/>
          </w:tcPr>
          <w:p w14:paraId="145888DD">
            <w:pPr>
              <w:pStyle w:val="12"/>
              <w:kinsoku/>
              <w:spacing w:line="240" w:lineRule="exact"/>
              <w:jc w:val="center"/>
              <w:rPr>
                <w:rFonts w:hint="eastAsia" w:asciiTheme="majorEastAsia" w:hAnsiTheme="majorEastAsia" w:eastAsiaTheme="majorEastAsia" w:cstheme="majorEastAsia"/>
                <w:color w:val="auto"/>
                <w:sz w:val="21"/>
                <w:szCs w:val="21"/>
                <w:vertAlign w:val="baseline"/>
                <w:lang w:val="en-US" w:eastAsia="zh-CN" w:bidi="ar-SA"/>
              </w:rPr>
            </w:pPr>
            <w:r>
              <w:rPr>
                <w:rFonts w:hint="eastAsia" w:asciiTheme="majorEastAsia" w:hAnsiTheme="majorEastAsia" w:eastAsiaTheme="majorEastAsia" w:cstheme="majorEastAsia"/>
                <w:color w:val="auto"/>
                <w:spacing w:val="-4"/>
                <w:lang w:val="en-US" w:eastAsia="zh-CN"/>
              </w:rPr>
              <w:t>一个自然年度内在本市初次实施该条所列违法行为的，情节轻微，在限期内改正，尚未造成危害后果的</w:t>
            </w:r>
          </w:p>
        </w:tc>
        <w:tc>
          <w:tcPr>
            <w:tcW w:w="1785" w:type="dxa"/>
            <w:noWrap w:val="0"/>
            <w:vAlign w:val="center"/>
          </w:tcPr>
          <w:p w14:paraId="5C519189">
            <w:pPr>
              <w:jc w:val="center"/>
              <w:rPr>
                <w:rFonts w:hint="eastAsia" w:asciiTheme="majorEastAsia" w:hAnsiTheme="majorEastAsia" w:eastAsiaTheme="majorEastAsia" w:cstheme="majorEastAsia"/>
                <w:color w:val="auto"/>
                <w:sz w:val="21"/>
                <w:szCs w:val="21"/>
                <w:vertAlign w:val="baseline"/>
                <w:lang w:val="en-US" w:eastAsia="zh-CN" w:bidi="ar-SA"/>
              </w:rPr>
            </w:pPr>
            <w:r>
              <w:rPr>
                <w:rFonts w:hint="eastAsia" w:asciiTheme="majorEastAsia" w:hAnsiTheme="majorEastAsia" w:eastAsiaTheme="majorEastAsia" w:cstheme="majorEastAsia"/>
                <w:snapToGrid w:val="0"/>
                <w:color w:val="auto"/>
                <w:spacing w:val="-4"/>
                <w:kern w:val="0"/>
                <w:sz w:val="18"/>
                <w:szCs w:val="18"/>
                <w:lang w:val="en-US" w:eastAsia="zh-CN" w:bidi="ar-SA"/>
              </w:rPr>
              <w:t>不予处罚</w:t>
            </w:r>
          </w:p>
        </w:tc>
      </w:tr>
      <w:tr w14:paraId="50A6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660" w:type="dxa"/>
            <w:noWrap w:val="0"/>
            <w:vAlign w:val="center"/>
          </w:tcPr>
          <w:p w14:paraId="3E960A35">
            <w:pPr>
              <w:jc w:val="center"/>
              <w:rPr>
                <w:rFonts w:hint="eastAsia" w:asciiTheme="majorEastAsia" w:hAnsiTheme="majorEastAsia" w:eastAsiaTheme="majorEastAsia" w:cstheme="majorEastAsia"/>
                <w:color w:val="auto"/>
                <w:sz w:val="18"/>
                <w:szCs w:val="18"/>
                <w:vertAlign w:val="baseline"/>
                <w:lang w:val="en-US" w:eastAsia="zh-CN" w:bidi="ar-SA"/>
              </w:rPr>
            </w:pPr>
            <w:r>
              <w:rPr>
                <w:rFonts w:hint="eastAsia" w:asciiTheme="majorEastAsia" w:hAnsiTheme="majorEastAsia" w:eastAsiaTheme="majorEastAsia" w:cstheme="majorEastAsia"/>
                <w:color w:val="auto"/>
                <w:sz w:val="18"/>
                <w:szCs w:val="18"/>
                <w:vertAlign w:val="baseline"/>
                <w:lang w:val="en-US" w:eastAsia="zh-CN" w:bidi="ar-SA"/>
              </w:rPr>
              <w:t>6</w:t>
            </w:r>
          </w:p>
        </w:tc>
        <w:tc>
          <w:tcPr>
            <w:tcW w:w="4061" w:type="dxa"/>
            <w:noWrap w:val="0"/>
            <w:vAlign w:val="center"/>
          </w:tcPr>
          <w:p w14:paraId="1A2093DC">
            <w:pPr>
              <w:pStyle w:val="12"/>
              <w:kinsoku/>
              <w:spacing w:line="240" w:lineRule="exact"/>
              <w:ind w:right="0" w:rightChars="0"/>
              <w:jc w:val="center"/>
              <w:rPr>
                <w:rFonts w:hint="eastAsia" w:asciiTheme="majorEastAsia" w:hAnsiTheme="majorEastAsia" w:eastAsiaTheme="majorEastAsia" w:cstheme="majorEastAsia"/>
                <w:color w:val="auto"/>
                <w:sz w:val="21"/>
                <w:szCs w:val="21"/>
                <w:vertAlign w:val="baseline"/>
                <w:lang w:eastAsia="zh-CN" w:bidi="ar-SA"/>
              </w:rPr>
            </w:pPr>
            <w:r>
              <w:rPr>
                <w:rFonts w:hint="eastAsia" w:asciiTheme="majorEastAsia" w:hAnsiTheme="majorEastAsia" w:eastAsiaTheme="majorEastAsia" w:cstheme="majorEastAsia"/>
                <w:color w:val="auto"/>
                <w:spacing w:val="-4"/>
                <w:sz w:val="18"/>
                <w:szCs w:val="18"/>
                <w:lang w:eastAsia="zh-CN"/>
              </w:rPr>
              <w:t>对施工单位未采取扬尘污染防治措施</w:t>
            </w:r>
            <w:r>
              <w:rPr>
                <w:rFonts w:hint="eastAsia" w:asciiTheme="majorEastAsia" w:hAnsiTheme="majorEastAsia" w:eastAsiaTheme="majorEastAsia" w:cstheme="majorEastAsia"/>
                <w:color w:val="auto"/>
                <w:spacing w:val="-4"/>
                <w:lang w:eastAsia="zh-CN"/>
              </w:rPr>
              <w:t>的行政处罚</w:t>
            </w:r>
          </w:p>
        </w:tc>
        <w:tc>
          <w:tcPr>
            <w:tcW w:w="7189" w:type="dxa"/>
            <w:noWrap w:val="0"/>
            <w:vAlign w:val="center"/>
          </w:tcPr>
          <w:p w14:paraId="14BAA074">
            <w:pPr>
              <w:pStyle w:val="12"/>
              <w:kinsoku/>
              <w:spacing w:line="240" w:lineRule="exact"/>
              <w:ind w:firstLine="345" w:firstLineChars="200"/>
              <w:rPr>
                <w:rFonts w:hint="eastAsia" w:asciiTheme="majorEastAsia" w:hAnsiTheme="majorEastAsia" w:eastAsiaTheme="majorEastAsia" w:cstheme="majorEastAsia"/>
                <w:b/>
                <w:bCs/>
                <w:color w:val="auto"/>
                <w:spacing w:val="-4"/>
                <w:lang w:eastAsia="zh-CN"/>
              </w:rPr>
            </w:pPr>
            <w:r>
              <w:rPr>
                <w:rFonts w:hint="eastAsia" w:asciiTheme="majorEastAsia" w:hAnsiTheme="majorEastAsia" w:eastAsiaTheme="majorEastAsia" w:cstheme="majorEastAsia"/>
                <w:b/>
                <w:bCs/>
                <w:color w:val="auto"/>
                <w:spacing w:val="-4"/>
                <w:lang w:eastAsia="zh-CN"/>
              </w:rPr>
              <w:t>《衡阳市扬尘污染防治条例》</w:t>
            </w:r>
          </w:p>
          <w:p w14:paraId="6B1008A6">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第八条 施工单位在建设工程施工中应当采取下列扬尘污染防治措施：</w:t>
            </w:r>
          </w:p>
          <w:p w14:paraId="2859BA98">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（一）施工工地周围设置连续硬质密闭围挡，主次干道工地围挡高度不低于二百五十厘米，其他区域工地围挡高度不低于一百八十厘米。不具备条件设置围挡的，采取其他有效的扬尘污染防治措施；</w:t>
            </w:r>
          </w:p>
          <w:p w14:paraId="6A235F1C">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（二）施工工地车辆出入口内侧设置洗车设施和污水沉淀池，车辆冲洗干净后方可驶出工地；</w:t>
            </w:r>
          </w:p>
          <w:p w14:paraId="2996AC28">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（三）施工工地的出入口、运输通道、材料加工区、设备堆场地面等区域应当进行硬化处理并辅以喷淋洒水等措施，其他非施工场地进行固化、覆盖或者临时绿化，不得有裸露土体；</w:t>
            </w:r>
          </w:p>
          <w:p w14:paraId="0EA875E3">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四）施工工地设置独立垃圾站或者垃圾池，建筑垃圾分类集中存放、遮盖严密，建筑土方、建筑垃圾、工程渣土及其他建筑废弃物在四十八小时内清运干净，不能及时清运的，采取覆盖防尘布或者防尘网等防尘措施；</w:t>
            </w:r>
          </w:p>
          <w:p w14:paraId="7313EDAC">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（五）土石方作业、地下工程作业、爆破作业等易产生扬尘的施工作业，采取洒水抑尘或者湿法施工等措施,产生泥浆的，设置泥浆池、泥浆沟，确保泥浆不溢流；</w:t>
            </w:r>
          </w:p>
          <w:p w14:paraId="164C8934">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（六）建筑施工脚手架外侧配置符合标准的密目防尘网（布）等有效扬尘污染防治设施，拆除时采取有效防尘措施；</w:t>
            </w:r>
          </w:p>
          <w:p w14:paraId="6917F6E4">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（七）城区施工工地按照规定使用预拌混凝土、预拌砂浆。</w:t>
            </w:r>
          </w:p>
          <w:p w14:paraId="50702CC3">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施工单位在装饰装修施工时，应当符合本条第一款的规定。</w:t>
            </w:r>
          </w:p>
          <w:p w14:paraId="06486115">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第九条 施工单位在市政基础设施施工中除符合本条例第八条第一款的规定外，还应当采取下列扬尘污染防治措施：</w:t>
            </w:r>
          </w:p>
          <w:p w14:paraId="41279AD3">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（一）实施路面挖掘、切割、铣刨等作业的，采取喷淋、洒水等防尘措施；</w:t>
            </w:r>
          </w:p>
          <w:p w14:paraId="00581A5D">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（二）采取分段开挖、分段回填方式施工，回填后的沟槽采取覆盖、洒水等防尘措施；</w:t>
            </w:r>
          </w:p>
          <w:p w14:paraId="00167AD0">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（三）施工现场采用人工洒水清扫或者使用车辆洒水冲洗；</w:t>
            </w:r>
          </w:p>
          <w:p w14:paraId="2FC98120">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（四）路面基层养护期间采取洒水、覆盖等防尘措施；</w:t>
            </w:r>
          </w:p>
          <w:p w14:paraId="0D6AC308">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（五）道路或者绿地内管线敷设工程完工后，在四十八小时内恢复原貌，不得出现裸露地面；</w:t>
            </w:r>
          </w:p>
          <w:p w14:paraId="64B45747">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（六）城市主要道路、桥梁等工程施工时，对通行的临时道路进行硬化、洒水和清扫。</w:t>
            </w:r>
          </w:p>
          <w:p w14:paraId="7805C9E5">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第十条 施工单位在国土空间规划确定的建设用地范围内拆除房屋或者其他建（构）筑物时，除符合本条例第八条第一款的规定外，还应当采取下列扬尘污染防治措施：</w:t>
            </w:r>
          </w:p>
          <w:p w14:paraId="184856BE">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（一）人口密集区及临街区域拆除作业，设置防护排架，并外挂符合标准的密目防尘网（布）；</w:t>
            </w:r>
          </w:p>
          <w:p w14:paraId="7E964702">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（二）全程实行持续洒水或者喷淋方式进行湿法作业，但采取洒水或者喷淋可能导致危及施工安全的除外；</w:t>
            </w:r>
          </w:p>
          <w:p w14:paraId="6F39B93F">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（三）采取爆破方式进行拆除的，爆破前采取内外洒水、喷淋等方式淋湿建（构）筑物，爆破后立即采取相应防尘措施。　</w:t>
            </w:r>
          </w:p>
          <w:p w14:paraId="4AD892F5">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第二十五条第三项 违反本条例规定，根据职责分工，由相应的行政主管部门按照下列规定处理：</w:t>
            </w:r>
          </w:p>
          <w:p w14:paraId="0CF7C47E">
            <w:pPr>
              <w:pStyle w:val="12"/>
              <w:kinsoku/>
              <w:spacing w:line="240" w:lineRule="exact"/>
              <w:ind w:firstLine="344" w:firstLineChars="200"/>
              <w:rPr>
                <w:rFonts w:hint="eastAsia" w:asciiTheme="majorEastAsia" w:hAnsiTheme="majorEastAsia" w:eastAsiaTheme="majorEastAsia" w:cstheme="majorEastAsia"/>
                <w:color w:val="auto"/>
                <w:sz w:val="21"/>
                <w:szCs w:val="21"/>
                <w:vertAlign w:val="baseline"/>
                <w:lang w:bidi="ar-SA"/>
              </w:rPr>
            </w:pPr>
            <w:r>
              <w:rPr>
                <w:rFonts w:hint="eastAsia" w:asciiTheme="majorEastAsia" w:hAnsiTheme="majorEastAsia" w:eastAsiaTheme="majorEastAsia" w:cstheme="majorEastAsia"/>
                <w:color w:val="auto"/>
                <w:spacing w:val="-4"/>
                <w:lang w:eastAsia="zh-CN"/>
              </w:rPr>
              <w:t>（三）违反本条例第八条、第九条、第十条规定，施工单位未采取扬尘污染防治措施的，责令改正，处一万元以上十万元以下罚款；拒不改正的，责令停工整治。</w:t>
            </w:r>
          </w:p>
        </w:tc>
        <w:tc>
          <w:tcPr>
            <w:tcW w:w="1274" w:type="dxa"/>
            <w:noWrap w:val="0"/>
            <w:vAlign w:val="center"/>
          </w:tcPr>
          <w:p w14:paraId="2A4DB9CA">
            <w:pPr>
              <w:pStyle w:val="12"/>
              <w:kinsoku/>
              <w:spacing w:line="240" w:lineRule="exact"/>
              <w:jc w:val="center"/>
              <w:rPr>
                <w:rFonts w:hint="eastAsia" w:asciiTheme="majorEastAsia" w:hAnsiTheme="majorEastAsia" w:eastAsiaTheme="majorEastAsia" w:cstheme="majorEastAsia"/>
                <w:color w:val="auto"/>
                <w:sz w:val="21"/>
                <w:szCs w:val="21"/>
                <w:vertAlign w:val="baseline"/>
                <w:lang w:bidi="ar-SA"/>
              </w:rPr>
            </w:pPr>
            <w:r>
              <w:rPr>
                <w:rFonts w:hint="eastAsia" w:asciiTheme="majorEastAsia" w:hAnsiTheme="majorEastAsia" w:eastAsiaTheme="majorEastAsia" w:cstheme="majorEastAsia"/>
                <w:color w:val="auto"/>
                <w:spacing w:val="-4"/>
                <w:lang w:val="en-US" w:eastAsia="zh-CN"/>
              </w:rPr>
              <w:t>一个自然年度内在本市初次实施该条所列违法行为的，情节轻微，在限期内改正，尚未造成危害后果的</w:t>
            </w:r>
          </w:p>
        </w:tc>
        <w:tc>
          <w:tcPr>
            <w:tcW w:w="1785" w:type="dxa"/>
            <w:noWrap w:val="0"/>
            <w:vAlign w:val="center"/>
          </w:tcPr>
          <w:p w14:paraId="0BE65015">
            <w:pPr>
              <w:jc w:val="center"/>
              <w:rPr>
                <w:rFonts w:hint="eastAsia" w:asciiTheme="majorEastAsia" w:hAnsiTheme="majorEastAsia" w:eastAsiaTheme="majorEastAsia" w:cstheme="majorEastAsia"/>
                <w:color w:val="auto"/>
                <w:sz w:val="21"/>
                <w:szCs w:val="21"/>
                <w:vertAlign w:val="baseline"/>
                <w:lang w:val="en-US" w:eastAsia="zh-CN" w:bidi="ar-SA"/>
              </w:rPr>
            </w:pPr>
            <w:r>
              <w:rPr>
                <w:rFonts w:hint="eastAsia" w:asciiTheme="majorEastAsia" w:hAnsiTheme="majorEastAsia" w:eastAsiaTheme="majorEastAsia" w:cstheme="majorEastAsia"/>
                <w:snapToGrid w:val="0"/>
                <w:color w:val="auto"/>
                <w:spacing w:val="-4"/>
                <w:kern w:val="0"/>
                <w:sz w:val="18"/>
                <w:szCs w:val="18"/>
                <w:lang w:val="en-US" w:eastAsia="zh-CN" w:bidi="ar-SA"/>
              </w:rPr>
              <w:t>不予处罚</w:t>
            </w:r>
          </w:p>
        </w:tc>
      </w:tr>
      <w:tr w14:paraId="2202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660" w:type="dxa"/>
            <w:noWrap w:val="0"/>
            <w:vAlign w:val="center"/>
          </w:tcPr>
          <w:p w14:paraId="1ECDA565">
            <w:pPr>
              <w:jc w:val="center"/>
              <w:rPr>
                <w:rFonts w:hint="eastAsia" w:asciiTheme="majorEastAsia" w:hAnsiTheme="majorEastAsia" w:eastAsiaTheme="majorEastAsia" w:cstheme="majorEastAsia"/>
                <w:color w:val="auto"/>
                <w:sz w:val="18"/>
                <w:szCs w:val="18"/>
                <w:vertAlign w:val="baseline"/>
                <w:lang w:val="en-US" w:eastAsia="zh-CN" w:bidi="ar-SA"/>
              </w:rPr>
            </w:pPr>
            <w:r>
              <w:rPr>
                <w:rFonts w:hint="eastAsia" w:asciiTheme="majorEastAsia" w:hAnsiTheme="majorEastAsia" w:eastAsiaTheme="majorEastAsia" w:cstheme="majorEastAsia"/>
                <w:color w:val="auto"/>
                <w:sz w:val="18"/>
                <w:szCs w:val="18"/>
                <w:vertAlign w:val="baseline"/>
                <w:lang w:val="en-US" w:eastAsia="zh-CN" w:bidi="ar-SA"/>
              </w:rPr>
              <w:t>7</w:t>
            </w:r>
          </w:p>
        </w:tc>
        <w:tc>
          <w:tcPr>
            <w:tcW w:w="4061" w:type="dxa"/>
            <w:noWrap w:val="0"/>
            <w:vAlign w:val="center"/>
          </w:tcPr>
          <w:p w14:paraId="4C6BA1BB">
            <w:pPr>
              <w:pStyle w:val="12"/>
              <w:kinsoku/>
              <w:spacing w:line="240" w:lineRule="exact"/>
              <w:ind w:right="0" w:rightChars="0"/>
              <w:jc w:val="center"/>
              <w:rPr>
                <w:rFonts w:hint="eastAsia" w:asciiTheme="majorEastAsia" w:hAnsiTheme="majorEastAsia" w:eastAsiaTheme="majorEastAsia" w:cstheme="majorEastAsia"/>
                <w:color w:val="auto"/>
                <w:kern w:val="0"/>
                <w:sz w:val="21"/>
                <w:szCs w:val="21"/>
                <w:lang w:bidi="ar-SA"/>
              </w:rPr>
            </w:pPr>
            <w:r>
              <w:rPr>
                <w:rFonts w:hint="eastAsia" w:asciiTheme="majorEastAsia" w:hAnsiTheme="majorEastAsia" w:eastAsiaTheme="majorEastAsia" w:cstheme="majorEastAsia"/>
                <w:color w:val="auto"/>
                <w:spacing w:val="-4"/>
                <w:sz w:val="18"/>
                <w:szCs w:val="18"/>
                <w:lang w:eastAsia="zh-CN"/>
              </w:rPr>
              <w:t>对</w:t>
            </w:r>
            <w:r>
              <w:rPr>
                <w:rFonts w:hint="eastAsia" w:asciiTheme="majorEastAsia" w:hAnsiTheme="majorEastAsia" w:eastAsiaTheme="majorEastAsia" w:cstheme="majorEastAsia"/>
                <w:color w:val="auto"/>
                <w:spacing w:val="-4"/>
                <w:sz w:val="18"/>
                <w:szCs w:val="18"/>
                <w:lang w:val="en-US" w:eastAsia="zh-CN"/>
              </w:rPr>
              <w:t>港口、码头堆场经营管理者未采取扬尘污染防治措施</w:t>
            </w:r>
            <w:r>
              <w:rPr>
                <w:rFonts w:hint="eastAsia" w:asciiTheme="majorEastAsia" w:hAnsiTheme="majorEastAsia" w:eastAsiaTheme="majorEastAsia" w:cstheme="majorEastAsia"/>
                <w:color w:val="auto"/>
                <w:spacing w:val="-4"/>
                <w:lang w:eastAsia="zh-CN"/>
              </w:rPr>
              <w:t>的行政处罚</w:t>
            </w:r>
          </w:p>
        </w:tc>
        <w:tc>
          <w:tcPr>
            <w:tcW w:w="7189" w:type="dxa"/>
            <w:noWrap w:val="0"/>
            <w:vAlign w:val="center"/>
          </w:tcPr>
          <w:p w14:paraId="15E9A58A">
            <w:pPr>
              <w:pStyle w:val="12"/>
              <w:kinsoku/>
              <w:spacing w:line="240" w:lineRule="exact"/>
              <w:ind w:firstLine="345" w:firstLineChars="200"/>
              <w:rPr>
                <w:rFonts w:hint="eastAsia" w:asciiTheme="majorEastAsia" w:hAnsiTheme="majorEastAsia" w:eastAsiaTheme="majorEastAsia" w:cstheme="majorEastAsia"/>
                <w:b/>
                <w:bCs/>
                <w:color w:val="auto"/>
                <w:spacing w:val="-4"/>
                <w:lang w:eastAsia="zh-CN"/>
              </w:rPr>
            </w:pPr>
            <w:r>
              <w:rPr>
                <w:rFonts w:hint="eastAsia" w:asciiTheme="majorEastAsia" w:hAnsiTheme="majorEastAsia" w:eastAsiaTheme="majorEastAsia" w:cstheme="majorEastAsia"/>
                <w:b/>
                <w:bCs/>
                <w:color w:val="auto"/>
                <w:spacing w:val="-4"/>
                <w:lang w:eastAsia="zh-CN"/>
              </w:rPr>
              <w:t>《衡阳市扬尘污染防治条例》</w:t>
            </w:r>
          </w:p>
          <w:p w14:paraId="31ED1B0C">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第十四条</w:t>
            </w:r>
            <w:r>
              <w:rPr>
                <w:rFonts w:hint="eastAsia" w:asciiTheme="majorEastAsia" w:hAnsiTheme="majorEastAsia" w:eastAsiaTheme="majorEastAsia" w:cstheme="majorEastAsia"/>
                <w:color w:val="auto"/>
                <w:spacing w:val="-4"/>
                <w:lang w:val="en-US" w:eastAsia="zh-CN"/>
              </w:rPr>
              <w:t xml:space="preserve"> </w:t>
            </w:r>
            <w:r>
              <w:rPr>
                <w:rFonts w:hint="eastAsia" w:asciiTheme="majorEastAsia" w:hAnsiTheme="majorEastAsia" w:eastAsiaTheme="majorEastAsia" w:cstheme="majorEastAsia"/>
                <w:color w:val="auto"/>
                <w:spacing w:val="-4"/>
                <w:lang w:eastAsia="zh-CN"/>
              </w:rPr>
              <w:t>堆放易产生扬尘污染物料的场所应当采取下列扬尘污染防治措施：</w:t>
            </w:r>
          </w:p>
          <w:p w14:paraId="2E6F8258">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（一）对堆场地面进行硬化处理，在出口处设置车辆冲洗设施，车辆冲洗干净后方可驶出；</w:t>
            </w:r>
          </w:p>
          <w:p w14:paraId="3CD0701A">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（二）采用密闭仓储设施或者设置不低于堆放物高度的严密围挡，并配备喷淋或者其他抑尘设施；</w:t>
            </w:r>
          </w:p>
          <w:p w14:paraId="5E910069">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（三）在密闭式堆场装卸或者传送物料的，在装卸处配备吸尘、喷淋等防尘设施并保持防尘设施的正常使用，在非密闭式堆场装卸或者传送物料的，采取覆盖或者设置自动喷淋洒水系统等防尘措施； </w:t>
            </w:r>
          </w:p>
          <w:p w14:paraId="00E9326D">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（四）码头堆场、河道管理范围内砂场、建筑垃圾堆场、建筑土方和工程渣土堆场实施分区作业，并采取有效措施防治扬尘污染。</w:t>
            </w:r>
          </w:p>
          <w:p w14:paraId="3352885E">
            <w:pPr>
              <w:pStyle w:val="12"/>
              <w:kinsoku/>
              <w:spacing w:line="240" w:lineRule="exact"/>
              <w:ind w:firstLine="344" w:firstLineChars="200"/>
              <w:rPr>
                <w:rFonts w:hint="eastAsia" w:asciiTheme="majorEastAsia" w:hAnsiTheme="majorEastAsia" w:eastAsiaTheme="majorEastAsia" w:cstheme="majorEastAsia"/>
                <w:color w:val="auto"/>
                <w:spacing w:val="-4"/>
                <w:lang w:eastAsia="zh-CN"/>
              </w:rPr>
            </w:pPr>
            <w:r>
              <w:rPr>
                <w:rFonts w:hint="eastAsia" w:asciiTheme="majorEastAsia" w:hAnsiTheme="majorEastAsia" w:eastAsiaTheme="majorEastAsia" w:cstheme="majorEastAsia"/>
                <w:color w:val="auto"/>
                <w:spacing w:val="-4"/>
                <w:lang w:eastAsia="zh-CN"/>
              </w:rPr>
              <w:t>第二十五条第四项 违反本条例规定，根据职责分工，由相应的行政主管部门按照下列规定处理：</w:t>
            </w:r>
          </w:p>
          <w:p w14:paraId="3FC4CA0C">
            <w:pPr>
              <w:pStyle w:val="12"/>
              <w:kinsoku/>
              <w:spacing w:line="240" w:lineRule="exact"/>
              <w:ind w:firstLine="344" w:firstLineChars="200"/>
              <w:rPr>
                <w:rFonts w:hint="eastAsia" w:asciiTheme="majorEastAsia" w:hAnsiTheme="majorEastAsia" w:eastAsiaTheme="majorEastAsia" w:cstheme="majorEastAsia"/>
                <w:color w:val="auto"/>
                <w:kern w:val="0"/>
                <w:sz w:val="21"/>
                <w:szCs w:val="21"/>
                <w:lang w:bidi="ar-SA"/>
              </w:rPr>
            </w:pPr>
            <w:r>
              <w:rPr>
                <w:rFonts w:hint="eastAsia" w:asciiTheme="majorEastAsia" w:hAnsiTheme="majorEastAsia" w:eastAsiaTheme="majorEastAsia" w:cstheme="majorEastAsia"/>
                <w:color w:val="auto"/>
                <w:spacing w:val="-4"/>
                <w:lang w:eastAsia="zh-CN"/>
              </w:rPr>
              <w:t>（四）违反本条例第十四条规定，物料堆场经营管理者未采取扬尘污染防治措施的，责令改正，处一万元以上十万元以下罚款；拒不改正的，责令停工整治。</w:t>
            </w:r>
          </w:p>
        </w:tc>
        <w:tc>
          <w:tcPr>
            <w:tcW w:w="1274" w:type="dxa"/>
            <w:noWrap w:val="0"/>
            <w:vAlign w:val="center"/>
          </w:tcPr>
          <w:p w14:paraId="6FAEFD99">
            <w:pPr>
              <w:pStyle w:val="12"/>
              <w:kinsoku/>
              <w:spacing w:line="240" w:lineRule="exact"/>
              <w:jc w:val="center"/>
              <w:rPr>
                <w:rFonts w:hint="eastAsia" w:asciiTheme="majorEastAsia" w:hAnsiTheme="majorEastAsia" w:eastAsiaTheme="majorEastAsia" w:cstheme="majorEastAsia"/>
                <w:color w:val="auto"/>
                <w:sz w:val="21"/>
                <w:szCs w:val="21"/>
                <w:vertAlign w:val="baseline"/>
                <w:lang w:val="en-US" w:eastAsia="zh-CN" w:bidi="ar-SA"/>
              </w:rPr>
            </w:pPr>
            <w:r>
              <w:rPr>
                <w:rFonts w:hint="eastAsia" w:asciiTheme="majorEastAsia" w:hAnsiTheme="majorEastAsia" w:eastAsiaTheme="majorEastAsia" w:cstheme="majorEastAsia"/>
                <w:color w:val="auto"/>
                <w:spacing w:val="-4"/>
                <w:lang w:val="en-US" w:eastAsia="zh-CN"/>
              </w:rPr>
              <w:t>一个自然年度内在本市初次实施该条所列违法行为的，情节轻微，在限期内改正，尚未造成危害后果的</w:t>
            </w:r>
          </w:p>
        </w:tc>
        <w:tc>
          <w:tcPr>
            <w:tcW w:w="1785" w:type="dxa"/>
            <w:noWrap w:val="0"/>
            <w:vAlign w:val="center"/>
          </w:tcPr>
          <w:p w14:paraId="504FCE58">
            <w:pPr>
              <w:jc w:val="center"/>
              <w:rPr>
                <w:rFonts w:hint="eastAsia" w:asciiTheme="majorEastAsia" w:hAnsiTheme="majorEastAsia" w:eastAsiaTheme="majorEastAsia" w:cstheme="majorEastAsia"/>
                <w:color w:val="auto"/>
                <w:sz w:val="21"/>
                <w:szCs w:val="21"/>
                <w:vertAlign w:val="baseline"/>
                <w:lang w:val="en-US" w:eastAsia="zh-CN" w:bidi="ar-SA"/>
              </w:rPr>
            </w:pPr>
            <w:r>
              <w:rPr>
                <w:rFonts w:hint="eastAsia" w:asciiTheme="majorEastAsia" w:hAnsiTheme="majorEastAsia" w:eastAsiaTheme="majorEastAsia" w:cstheme="majorEastAsia"/>
                <w:snapToGrid w:val="0"/>
                <w:color w:val="auto"/>
                <w:spacing w:val="-4"/>
                <w:kern w:val="0"/>
                <w:sz w:val="18"/>
                <w:szCs w:val="18"/>
                <w:lang w:val="en-US" w:eastAsia="zh-CN" w:bidi="ar-SA"/>
              </w:rPr>
              <w:t>不予处罚</w:t>
            </w:r>
          </w:p>
        </w:tc>
      </w:tr>
    </w:tbl>
    <w:p w14:paraId="6C3CFA5D">
      <w:pPr>
        <w:pStyle w:val="5"/>
        <w:ind w:left="0" w:leftChars="0" w:firstLine="0" w:firstLineChars="0"/>
        <w:rPr>
          <w:rFonts w:hint="eastAsia"/>
          <w:lang w:val="en-US" w:eastAsia="zh-CN"/>
        </w:rPr>
      </w:pPr>
    </w:p>
    <w:sectPr>
      <w:footerReference r:id="rId3" w:type="default"/>
      <w:pgSz w:w="16838" w:h="11906" w:orient="landscape"/>
      <w:pgMar w:top="1434" w:right="1701" w:bottom="1134"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58A50">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C8EEB">
                          <w:pPr>
                            <w:pStyle w:val="2"/>
                          </w:pPr>
                          <w:r>
                            <w:t xml:space="preserve">— </w:t>
                          </w:r>
                          <w:r>
                            <w:fldChar w:fldCharType="begin"/>
                          </w:r>
                          <w:r>
                            <w:instrText xml:space="preserve"> PAGE  \* MERGEFORMAT </w:instrText>
                          </w:r>
                          <w:r>
                            <w:fldChar w:fldCharType="separate"/>
                          </w:r>
                          <w:r>
                            <w:t>- 3 -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AC8EEB">
                    <w:pPr>
                      <w:pStyle w:val="2"/>
                    </w:pPr>
                    <w:r>
                      <w:t xml:space="preserve">— </w:t>
                    </w:r>
                    <w:r>
                      <w:fldChar w:fldCharType="begin"/>
                    </w:r>
                    <w:r>
                      <w:instrText xml:space="preserve"> PAGE  \* MERGEFORMAT </w:instrText>
                    </w:r>
                    <w:r>
                      <w:fldChar w:fldCharType="separate"/>
                    </w:r>
                    <w:r>
                      <w:t>- 3 -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OTllMTE0NTU4OTFlNzhhZTQyYWEyYjQzOWQyMGQifQ=="/>
  </w:docVars>
  <w:rsids>
    <w:rsidRoot w:val="32C344EC"/>
    <w:rsid w:val="07487DCD"/>
    <w:rsid w:val="137E5002"/>
    <w:rsid w:val="22DE4344"/>
    <w:rsid w:val="32C344EC"/>
    <w:rsid w:val="430F28A9"/>
    <w:rsid w:val="433C187A"/>
    <w:rsid w:val="462D14AE"/>
    <w:rsid w:val="55B01DA5"/>
    <w:rsid w:val="59150018"/>
    <w:rsid w:val="76CC762C"/>
    <w:rsid w:val="7D6310FB"/>
    <w:rsid w:val="EDD48CB0"/>
    <w:rsid w:val="FCBFE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next w:val="3"/>
    <w:qFormat/>
    <w:uiPriority w:val="0"/>
    <w:pPr>
      <w:widowControl/>
      <w:spacing w:before="100" w:beforeAutospacing="1" w:after="100" w:afterAutospacing="1"/>
      <w:jc w:val="left"/>
    </w:pPr>
    <w:rPr>
      <w:rFonts w:ascii="宋体" w:cs="宋体"/>
      <w:color w:val="000000"/>
      <w:kern w:val="0"/>
      <w:sz w:val="24"/>
      <w:szCs w:val="20"/>
      <w:lang w:bidi="ar-SA"/>
    </w:rPr>
  </w:style>
  <w:style w:type="paragraph" w:styleId="5">
    <w:name w:val="Body Text First Indent 2"/>
    <w:basedOn w:val="1"/>
    <w:qFormat/>
    <w:uiPriority w:val="0"/>
    <w:pPr>
      <w:spacing w:before="100" w:beforeAutospacing="1" w:after="0"/>
      <w:ind w:firstLine="200" w:firstLineChars="200"/>
    </w:pPr>
    <w:rPr>
      <w:rFonts w:ascii="Times New Roman" w:hAnsi="Times New Roman" w:eastAsia="宋体" w:cs="Times New Roman"/>
      <w:lang w:bidi="ar-SA"/>
    </w:rPr>
  </w:style>
  <w:style w:type="paragraph" w:customStyle="1" w:styleId="8">
    <w:name w:val="Table Paragraph"/>
    <w:basedOn w:val="1"/>
    <w:qFormat/>
    <w:uiPriority w:val="0"/>
    <w:rPr>
      <w:rFonts w:ascii="仿宋" w:eastAsia="仿宋" w:cs="仿宋"/>
      <w:szCs w:val="20"/>
      <w:lang w:val="zh-CN" w:eastAsia="zh-CN" w:bidi="zh-CN"/>
    </w:rPr>
  </w:style>
  <w:style w:type="paragraph" w:customStyle="1" w:styleId="9">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0"/>
      <w:lang w:val="en-US" w:eastAsia="zh-CN" w:bidi="ar-SA"/>
    </w:rPr>
  </w:style>
  <w:style w:type="paragraph" w:customStyle="1" w:styleId="10">
    <w:name w:val="Other|1"/>
    <w:basedOn w:val="1"/>
    <w:qFormat/>
    <w:uiPriority w:val="0"/>
    <w:pPr>
      <w:spacing w:line="200" w:lineRule="exact"/>
      <w:jc w:val="left"/>
    </w:pPr>
    <w:rPr>
      <w:rFonts w:ascii="宋体" w:cs="宋体"/>
      <w:kern w:val="0"/>
      <w:sz w:val="14"/>
      <w:szCs w:val="14"/>
      <w:lang w:val="zh-TW" w:eastAsia="zh-TW" w:bidi="zh-TW"/>
    </w:rPr>
  </w:style>
  <w:style w:type="paragraph" w:customStyle="1" w:styleId="11">
    <w:name w:val="Other|2"/>
    <w:basedOn w:val="1"/>
    <w:qFormat/>
    <w:uiPriority w:val="0"/>
    <w:pPr>
      <w:jc w:val="center"/>
    </w:pPr>
    <w:rPr>
      <w:rFonts w:ascii="宋体" w:cs="宋体"/>
      <w:kern w:val="0"/>
      <w:sz w:val="16"/>
      <w:szCs w:val="16"/>
      <w:lang w:val="zh-TW" w:eastAsia="zh-TW" w:bidi="zh-TW"/>
    </w:rPr>
  </w:style>
  <w:style w:type="paragraph" w:customStyle="1" w:styleId="12">
    <w:name w:val="Table Text"/>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3403</Words>
  <Characters>3403</Characters>
  <Lines>0</Lines>
  <Paragraphs>0</Paragraphs>
  <TotalTime>1</TotalTime>
  <ScaleCrop>false</ScaleCrop>
  <LinksUpToDate>false</LinksUpToDate>
  <CharactersWithSpaces>3421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2024-10-18T12:06:00Z</dcterms:created>
  <dc:creator>Administrator</dc:creator>
  <cp:lastModifiedBy>Ayo</cp:lastModifiedBy>
  <dcterms:modified xsi:type="dcterms:W3CDTF">2025-08-11T09:46:45Z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DD459926090A4B6D891C239F83ED26FF_13</vt:lpwstr>
  </property>
  <property fmtid="{D5CDD505-2E9C-101B-9397-08002B2CF9AE}" pid="4" name="KSOTemplateDocerSaveRecord">
    <vt:lpwstr>eyJoZGlkIjoiMmM0YTE5YTliNDM5M2I2NmI1ZGEzOTA2YTBjNTIwMTciLCJ1c2VySWQiOiIxMTAwMzA0NjYyIn0=</vt:lpwstr>
  </property>
</Properties>
</file>