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DFCC99">
      <w:pPr>
        <w:pStyle w:val="8"/>
        <w:spacing w:after="0" w:line="500" w:lineRule="exact"/>
        <w:ind w:left="0" w:leftChars="0" w:firstLine="0" w:firstLineChars="0"/>
        <w:rPr>
          <w:rFonts w:ascii="方正小标宋简体" w:hAnsi="Times New Roman" w:eastAsia="方正小标宋简体"/>
          <w:bCs/>
          <w:color w:val="000000"/>
          <w:sz w:val="44"/>
          <w:szCs w:val="44"/>
        </w:rPr>
      </w:pPr>
      <w:bookmarkStart w:id="0" w:name="OLE_LINK4"/>
      <w:bookmarkStart w:id="1" w:name="OLE_LINK3"/>
      <w:bookmarkStart w:id="8" w:name="_GoBack"/>
      <w:bookmarkEnd w:id="8"/>
    </w:p>
    <w:p w14:paraId="020C2141">
      <w:pPr>
        <w:pStyle w:val="8"/>
        <w:spacing w:after="0" w:line="500" w:lineRule="exact"/>
        <w:ind w:left="0" w:leftChars="0" w:firstLine="0" w:firstLineChars="0"/>
        <w:jc w:val="center"/>
        <w:rPr>
          <w:rFonts w:hint="eastAsia" w:ascii="方正小标宋简体" w:hAnsi="Times New Roman" w:eastAsia="方正小标宋简体"/>
          <w:bCs/>
          <w:color w:val="000000"/>
          <w:sz w:val="44"/>
          <w:szCs w:val="44"/>
        </w:rPr>
      </w:pPr>
      <w:r>
        <w:rPr>
          <w:rFonts w:hint="eastAsia" w:ascii="方正小标宋简体" w:hAnsi="Times New Roman" w:eastAsia="方正小标宋简体"/>
          <w:bCs/>
          <w:color w:val="000000"/>
          <w:sz w:val="44"/>
          <w:szCs w:val="44"/>
        </w:rPr>
        <w:t>衡阳长宇生物科技有限公司“12·18”</w:t>
      </w:r>
    </w:p>
    <w:p w14:paraId="65DD37CD">
      <w:pPr>
        <w:pStyle w:val="8"/>
        <w:spacing w:after="0" w:line="500" w:lineRule="exact"/>
        <w:ind w:left="0" w:leftChars="0" w:firstLine="0" w:firstLineChars="0"/>
        <w:jc w:val="center"/>
        <w:rPr>
          <w:rFonts w:hint="eastAsia" w:ascii="方正小标宋简体" w:hAnsi="Times New Roman" w:eastAsia="方正小标宋简体"/>
          <w:bCs/>
          <w:color w:val="000000"/>
          <w:sz w:val="44"/>
          <w:szCs w:val="44"/>
        </w:rPr>
      </w:pPr>
      <w:r>
        <w:rPr>
          <w:rFonts w:hint="eastAsia" w:ascii="方正小标宋简体" w:hAnsi="Times New Roman" w:eastAsia="方正小标宋简体"/>
          <w:bCs/>
          <w:color w:val="000000"/>
          <w:sz w:val="44"/>
          <w:szCs w:val="44"/>
        </w:rPr>
        <w:t>一般中毒事故防范和整改措施落实情况</w:t>
      </w:r>
    </w:p>
    <w:p w14:paraId="6F4791AE">
      <w:pPr>
        <w:pStyle w:val="8"/>
        <w:spacing w:after="0" w:line="500" w:lineRule="exact"/>
        <w:ind w:left="0" w:leftChars="0" w:firstLine="0" w:firstLineChars="0"/>
        <w:jc w:val="center"/>
        <w:rPr>
          <w:rFonts w:ascii="方正小标宋简体" w:hAnsi="Times New Roman" w:eastAsia="方正小标宋简体"/>
          <w:bCs/>
          <w:color w:val="000000"/>
          <w:sz w:val="44"/>
          <w:szCs w:val="44"/>
        </w:rPr>
      </w:pPr>
      <w:r>
        <w:rPr>
          <w:rFonts w:hint="eastAsia" w:ascii="方正小标宋简体" w:hAnsi="Times New Roman" w:eastAsia="方正小标宋简体"/>
          <w:bCs/>
          <w:color w:val="000000"/>
          <w:sz w:val="44"/>
          <w:szCs w:val="44"/>
        </w:rPr>
        <w:t>评估报告</w:t>
      </w:r>
      <w:bookmarkEnd w:id="0"/>
      <w:bookmarkEnd w:id="1"/>
    </w:p>
    <w:p w14:paraId="09222795">
      <w:pPr>
        <w:pStyle w:val="8"/>
        <w:spacing w:after="0" w:line="400" w:lineRule="exact"/>
        <w:ind w:left="0" w:leftChars="0" w:firstLine="0" w:firstLineChars="0"/>
        <w:jc w:val="center"/>
        <w:rPr>
          <w:rFonts w:ascii="方正小标宋简体" w:hAnsi="Times New Roman" w:eastAsia="方正小标宋简体"/>
          <w:bCs/>
          <w:color w:val="000000"/>
          <w:sz w:val="44"/>
          <w:szCs w:val="44"/>
        </w:rPr>
      </w:pPr>
    </w:p>
    <w:p w14:paraId="7BB9DD3A">
      <w:pPr>
        <w:pStyle w:val="8"/>
        <w:spacing w:after="0" w:line="400" w:lineRule="exact"/>
        <w:ind w:left="0" w:leftChars="0" w:firstLine="0" w:firstLineChars="0"/>
        <w:jc w:val="center"/>
        <w:rPr>
          <w:rFonts w:ascii="方正小标宋简体" w:hAnsi="Times New Roman" w:eastAsia="方正小标宋简体"/>
          <w:bCs/>
          <w:color w:val="000000"/>
          <w:sz w:val="44"/>
          <w:szCs w:val="44"/>
        </w:rPr>
      </w:pPr>
    </w:p>
    <w:p w14:paraId="7263C7AD">
      <w:pPr>
        <w:adjustRightInd w:val="0"/>
        <w:snapToGrid w:val="0"/>
        <w:spacing w:line="580" w:lineRule="exact"/>
        <w:ind w:firstLine="640" w:firstLineChars="200"/>
        <w:rPr>
          <w:rFonts w:ascii="仿宋_GB2312" w:hAnsi="宋体" w:eastAsia="仿宋_GB2312" w:cs="宋体"/>
          <w:sz w:val="32"/>
          <w:szCs w:val="32"/>
        </w:rPr>
      </w:pPr>
      <w:bookmarkStart w:id="2" w:name="OLE_LINK1"/>
      <w:r>
        <w:rPr>
          <w:rFonts w:hint="eastAsia" w:ascii="仿宋_GB2312" w:eastAsia="仿宋_GB2312"/>
          <w:sz w:val="32"/>
          <w:szCs w:val="30"/>
        </w:rPr>
        <w:t>2023年12月18日上午11时许,祁东县衡阳长宇生物科技有限公司作业人员在</w:t>
      </w:r>
      <w:r>
        <w:rPr>
          <w:rFonts w:hint="eastAsia" w:ascii="仿宋_GB2312" w:hAnsi="仿宋" w:eastAsia="仿宋_GB2312"/>
          <w:kern w:val="0"/>
          <w:sz w:val="32"/>
          <w:szCs w:val="32"/>
        </w:rPr>
        <w:t>有限空间（</w:t>
      </w:r>
      <w:r>
        <w:rPr>
          <w:rFonts w:hint="eastAsia" w:ascii="仿宋_GB2312" w:eastAsia="仿宋_GB2312"/>
          <w:sz w:val="32"/>
          <w:szCs w:val="30"/>
        </w:rPr>
        <w:t>反应釜</w:t>
      </w:r>
      <w:r>
        <w:rPr>
          <w:rFonts w:hint="eastAsia" w:ascii="仿宋_GB2312" w:hAnsi="仿宋" w:eastAsia="仿宋_GB2312"/>
          <w:kern w:val="0"/>
          <w:sz w:val="32"/>
          <w:szCs w:val="32"/>
        </w:rPr>
        <w:t>）内作业过程中，</w:t>
      </w:r>
      <w:r>
        <w:rPr>
          <w:rFonts w:hint="eastAsia" w:ascii="仿宋_GB2312" w:eastAsia="仿宋_GB2312"/>
          <w:sz w:val="32"/>
          <w:szCs w:val="30"/>
        </w:rPr>
        <w:t>发生一起中毒事故，造成2人死亡</w:t>
      </w:r>
      <w:r>
        <w:rPr>
          <w:rFonts w:hint="eastAsia" w:ascii="仿宋_GB2312" w:hAnsi="仿宋" w:eastAsia="仿宋_GB2312"/>
          <w:kern w:val="0"/>
          <w:sz w:val="32"/>
          <w:szCs w:val="32"/>
        </w:rPr>
        <w:t>，直接经济损失262万元</w:t>
      </w:r>
      <w:r>
        <w:rPr>
          <w:rFonts w:hint="eastAsia" w:ascii="仿宋_GB2312" w:hAnsi="宋体" w:eastAsia="仿宋_GB2312" w:cs="宋体"/>
          <w:sz w:val="32"/>
          <w:szCs w:val="32"/>
        </w:rPr>
        <w:t>，无其他受伤人员。</w:t>
      </w:r>
      <w:bookmarkEnd w:id="2"/>
    </w:p>
    <w:p w14:paraId="63634F4B">
      <w:pPr>
        <w:adjustRightInd w:val="0"/>
        <w:snapToGrid w:val="0"/>
        <w:spacing w:line="580" w:lineRule="exact"/>
        <w:ind w:firstLine="640" w:firstLineChars="200"/>
        <w:rPr>
          <w:rFonts w:ascii="仿宋_GB2312" w:hAnsi="仿宋" w:eastAsia="仿宋_GB2312"/>
          <w:kern w:val="0"/>
          <w:sz w:val="32"/>
          <w:szCs w:val="32"/>
        </w:rPr>
      </w:pPr>
      <w:r>
        <w:rPr>
          <w:rFonts w:hint="eastAsia" w:ascii="仿宋_GB2312" w:hAnsi="仿宋" w:eastAsia="仿宋_GB2312"/>
          <w:kern w:val="0"/>
          <w:sz w:val="32"/>
          <w:szCs w:val="32"/>
        </w:rPr>
        <w:t>事故发生后，经衡阳市人民政府批准，成立了由</w:t>
      </w:r>
      <w:r>
        <w:rPr>
          <w:rFonts w:hint="eastAsia" w:ascii="仿宋_GB2312" w:eastAsia="仿宋_GB2312"/>
          <w:sz w:val="32"/>
          <w:szCs w:val="30"/>
        </w:rPr>
        <w:t>市应急局、市总工会、市公安局、市发改委、市市场监督管理局、市工信局、市自然资源和规划局及祁东县政府</w:t>
      </w:r>
      <w:r>
        <w:rPr>
          <w:rFonts w:hint="eastAsia" w:ascii="仿宋_GB2312" w:hAnsi="仿宋" w:eastAsia="仿宋_GB2312"/>
          <w:kern w:val="0"/>
          <w:sz w:val="32"/>
          <w:szCs w:val="32"/>
        </w:rPr>
        <w:t>为成员单位，并邀请市纪委监委派员参加组成的</w:t>
      </w:r>
      <w:r>
        <w:rPr>
          <w:rFonts w:hint="eastAsia" w:ascii="仿宋_GB2312" w:eastAsia="仿宋_GB2312"/>
          <w:sz w:val="32"/>
          <w:szCs w:val="30"/>
        </w:rPr>
        <w:t>祁东县衡阳长宇生物科技有限公司“12·18”一般中毒事故</w:t>
      </w:r>
      <w:r>
        <w:rPr>
          <w:rFonts w:hint="eastAsia" w:ascii="仿宋_GB2312" w:hAnsi="仿宋" w:eastAsia="仿宋_GB2312"/>
          <w:kern w:val="0"/>
          <w:sz w:val="32"/>
          <w:szCs w:val="32"/>
        </w:rPr>
        <w:t>调查组（以下简称“事故调查组”），对该起事故开展提级调查。2024年5月27日，衡阳市人民政府批复了事故调查报告。</w:t>
      </w:r>
    </w:p>
    <w:p w14:paraId="69971677">
      <w:pPr>
        <w:adjustRightInd w:val="0"/>
        <w:snapToGrid w:val="0"/>
        <w:spacing w:line="580" w:lineRule="exact"/>
        <w:ind w:firstLine="640" w:firstLineChars="200"/>
        <w:rPr>
          <w:rFonts w:ascii="仿宋_GB2312" w:eastAsia="仿宋_GB2312"/>
          <w:color w:val="000000"/>
          <w:sz w:val="32"/>
          <w:szCs w:val="32"/>
        </w:rPr>
      </w:pPr>
      <w:r>
        <w:rPr>
          <w:rFonts w:hint="eastAsia" w:ascii="仿宋_GB2312" w:eastAsia="仿宋_GB2312"/>
          <w:color w:val="000000"/>
          <w:sz w:val="32"/>
          <w:szCs w:val="32"/>
        </w:rPr>
        <w:t>按照《国务院安委会办公室关于印发生产安全事故责任追究及整改措施落实情况评估办法的通知》(安委办〔2021〕4号）和《湖南省安委会办公室关于做好生产安全事故防范和整改措施落实情况工作的通知》（湘安办发〔2022〕2号），2025年4月，衡阳市应安委办组织评估组对</w:t>
      </w:r>
      <w:r>
        <w:rPr>
          <w:rFonts w:hint="eastAsia" w:ascii="仿宋_GB2312" w:eastAsia="仿宋_GB2312"/>
          <w:sz w:val="32"/>
          <w:szCs w:val="30"/>
        </w:rPr>
        <w:t>祁东县衡阳长宇生物科技有限公司“12·18”一般中毒事故</w:t>
      </w:r>
      <w:r>
        <w:rPr>
          <w:rFonts w:hint="eastAsia" w:ascii="仿宋_GB2312" w:eastAsia="仿宋_GB2312"/>
          <w:color w:val="000000"/>
          <w:sz w:val="32"/>
          <w:szCs w:val="32"/>
        </w:rPr>
        <w:t>责任追究及整改措施落实情况进行评估。现将评估情况报告如下：</w:t>
      </w:r>
    </w:p>
    <w:p w14:paraId="027C6E0B">
      <w:pPr>
        <w:widowControl/>
        <w:adjustRightInd w:val="0"/>
        <w:snapToGrid w:val="0"/>
        <w:spacing w:line="580" w:lineRule="exact"/>
        <w:ind w:firstLine="645"/>
        <w:jc w:val="left"/>
        <w:rPr>
          <w:rFonts w:ascii="黑体" w:hAnsi="黑体" w:eastAsia="黑体" w:cs="宋体"/>
          <w:color w:val="000000"/>
          <w:kern w:val="0"/>
          <w:sz w:val="32"/>
          <w:szCs w:val="32"/>
        </w:rPr>
      </w:pPr>
      <w:r>
        <w:rPr>
          <w:rFonts w:hint="eastAsia" w:ascii="黑体" w:hAnsi="黑体" w:eastAsia="黑体" w:cs="宋体"/>
          <w:color w:val="000000"/>
          <w:kern w:val="0"/>
          <w:sz w:val="32"/>
          <w:szCs w:val="32"/>
        </w:rPr>
        <w:t>一、总体情况</w:t>
      </w:r>
    </w:p>
    <w:p w14:paraId="1CFD498C">
      <w:pPr>
        <w:widowControl/>
        <w:adjustRightInd w:val="0"/>
        <w:snapToGrid w:val="0"/>
        <w:spacing w:line="580" w:lineRule="exact"/>
        <w:ind w:firstLine="645"/>
        <w:jc w:val="left"/>
        <w:rPr>
          <w:rFonts w:ascii="宋体" w:hAnsi="宋体" w:eastAsia="宋体" w:cs="宋体"/>
          <w:kern w:val="0"/>
          <w:sz w:val="24"/>
        </w:rPr>
      </w:pPr>
      <w:r>
        <w:rPr>
          <w:rFonts w:hint="eastAsia" w:ascii="仿宋_GB2312" w:hAnsi="宋体" w:eastAsia="仿宋_GB2312" w:cs="宋体"/>
          <w:color w:val="000000"/>
          <w:kern w:val="0"/>
          <w:sz w:val="32"/>
          <w:szCs w:val="32"/>
        </w:rPr>
        <w:t>2025年4月，衡阳市应安委办牵头组织成立了事故评估组。事故评估组对照衡阳市人民政府批复的《</w:t>
      </w:r>
      <w:r>
        <w:rPr>
          <w:rFonts w:hint="eastAsia" w:ascii="仿宋_GB2312" w:eastAsia="仿宋_GB2312"/>
          <w:sz w:val="32"/>
          <w:szCs w:val="30"/>
        </w:rPr>
        <w:t>祁东县衡阳长宇生物科技有限公司“12·18”一般中毒事故</w:t>
      </w:r>
      <w:r>
        <w:rPr>
          <w:rFonts w:hint="eastAsia" w:ascii="仿宋_GB2312" w:hAnsi="宋体" w:eastAsia="仿宋_GB2312" w:cs="宋体"/>
          <w:color w:val="000000"/>
          <w:kern w:val="0"/>
          <w:sz w:val="32"/>
          <w:szCs w:val="32"/>
        </w:rPr>
        <w:t>调查报告》，采取查阅相关文件资料、座谈问询、现场核查、听取汇报等方式，对事故防范措施及责任追究、行政处罚等落实情况进行了逐项检查评估。经事故评估组的全面检查评估，认为该事故相关责任单位和责任人员处理（处罚）到位，各相关单位组织开展了一系列的汲取事故教训的教育和培训，并按要求采取了针对性的事故防范和整改措施，整改效果较好。</w:t>
      </w:r>
    </w:p>
    <w:p w14:paraId="69578DBA">
      <w:pPr>
        <w:widowControl/>
        <w:adjustRightInd w:val="0"/>
        <w:snapToGrid w:val="0"/>
        <w:spacing w:line="580" w:lineRule="exact"/>
        <w:ind w:firstLine="645"/>
        <w:jc w:val="left"/>
        <w:rPr>
          <w:rFonts w:ascii="宋体" w:hAnsi="宋体" w:eastAsia="宋体" w:cs="宋体"/>
          <w:kern w:val="0"/>
          <w:sz w:val="24"/>
        </w:rPr>
      </w:pPr>
      <w:r>
        <w:rPr>
          <w:rFonts w:hint="eastAsia" w:ascii="黑体" w:hAnsi="黑体" w:eastAsia="黑体" w:cs="宋体"/>
          <w:color w:val="000000"/>
          <w:kern w:val="0"/>
          <w:sz w:val="32"/>
          <w:szCs w:val="32"/>
        </w:rPr>
        <w:t>二、事故责任追究落实情况</w:t>
      </w:r>
    </w:p>
    <w:p w14:paraId="0A1F0556">
      <w:pPr>
        <w:widowControl/>
        <w:adjustRightInd w:val="0"/>
        <w:snapToGrid w:val="0"/>
        <w:spacing w:line="580" w:lineRule="exact"/>
        <w:ind w:firstLine="645"/>
        <w:jc w:val="left"/>
        <w:outlineLvl w:val="3"/>
        <w:rPr>
          <w:rFonts w:ascii="宋体" w:hAnsi="宋体" w:eastAsia="宋体" w:cs="宋体"/>
          <w:b/>
          <w:bCs/>
          <w:kern w:val="0"/>
          <w:sz w:val="24"/>
        </w:rPr>
      </w:pPr>
      <w:r>
        <w:rPr>
          <w:rFonts w:hint="eastAsia" w:ascii="楷体" w:hAnsi="楷体" w:eastAsia="楷体" w:cs="宋体"/>
          <w:b/>
          <w:bCs/>
          <w:color w:val="000000"/>
          <w:kern w:val="0"/>
          <w:sz w:val="32"/>
          <w:szCs w:val="32"/>
        </w:rPr>
        <w:t>（一）免于追究责任人员</w:t>
      </w:r>
    </w:p>
    <w:p w14:paraId="2D2BDDAE">
      <w:pPr>
        <w:adjustRightInd w:val="0"/>
        <w:snapToGrid w:val="0"/>
        <w:spacing w:line="580" w:lineRule="exact"/>
        <w:ind w:firstLine="640" w:firstLineChars="200"/>
        <w:rPr>
          <w:rFonts w:ascii="仿宋_GB2312" w:eastAsia="仿宋_GB2312"/>
          <w:sz w:val="32"/>
          <w:szCs w:val="30"/>
        </w:rPr>
      </w:pPr>
      <w:r>
        <w:rPr>
          <w:rFonts w:hint="eastAsia" w:ascii="仿宋_GB2312" w:eastAsia="仿宋_GB2312"/>
          <w:sz w:val="32"/>
          <w:szCs w:val="30"/>
        </w:rPr>
        <w:t>1.伍</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雄，男，46岁，身份证号432930</w:t>
      </w:r>
      <w:r>
        <w:rPr>
          <w:rFonts w:hint="eastAsia" w:ascii="汉仪细圆B5" w:hAnsi="汉仪细圆B5" w:eastAsia="汉仪细圆B5" w:cs="汉仪细圆B5"/>
          <w:sz w:val="32"/>
          <w:szCs w:val="30"/>
        </w:rPr>
        <w:t>××××××××</w:t>
      </w:r>
      <w:r>
        <w:rPr>
          <w:rFonts w:hint="eastAsia" w:ascii="仿宋_GB2312" w:eastAsia="仿宋_GB2312"/>
          <w:sz w:val="32"/>
          <w:szCs w:val="30"/>
        </w:rPr>
        <w:t>7618，长宇公司经理（实际负责人），主持公司管理工作。不具备相应的安全生产知识和管理能力，违规安排安装调试设备，违规进入有限空间施救，对本次事故负有主要安全管理责任，鉴于本人在事故中已死亡，不予追究责任。</w:t>
      </w:r>
    </w:p>
    <w:p w14:paraId="3FFE660C">
      <w:pPr>
        <w:adjustRightInd w:val="0"/>
        <w:snapToGrid w:val="0"/>
        <w:spacing w:line="580" w:lineRule="exact"/>
        <w:ind w:firstLine="640" w:firstLineChars="200"/>
        <w:rPr>
          <w:rFonts w:ascii="仿宋_GB2312" w:eastAsia="仿宋_GB2312"/>
          <w:sz w:val="32"/>
          <w:szCs w:val="30"/>
        </w:rPr>
      </w:pPr>
      <w:r>
        <w:rPr>
          <w:rFonts w:hint="eastAsia" w:ascii="仿宋_GB2312" w:eastAsia="仿宋_GB2312"/>
          <w:sz w:val="32"/>
          <w:szCs w:val="30"/>
        </w:rPr>
        <w:t>2.张</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，男，25岁，身份证号430426</w:t>
      </w:r>
      <w:r>
        <w:rPr>
          <w:rFonts w:hint="eastAsia" w:ascii="汉仪细圆B5" w:hAnsi="汉仪细圆B5" w:eastAsia="汉仪细圆B5" w:cs="汉仪细圆B5"/>
          <w:sz w:val="32"/>
          <w:szCs w:val="30"/>
        </w:rPr>
        <w:t>××××××××</w:t>
      </w:r>
      <w:r>
        <w:rPr>
          <w:rFonts w:hint="eastAsia" w:ascii="仿宋_GB2312" w:eastAsia="仿宋_GB2312"/>
          <w:sz w:val="32"/>
          <w:szCs w:val="30"/>
        </w:rPr>
        <w:t>5018，长宇公司员工，未经安全教育培训，违规进入有限空间作业，对本次事故负有直接责任，鉴于本人在事故中已死亡，不予追究责任。</w:t>
      </w:r>
    </w:p>
    <w:p w14:paraId="4EEF1ED5">
      <w:pPr>
        <w:widowControl/>
        <w:adjustRightInd w:val="0"/>
        <w:snapToGrid w:val="0"/>
        <w:spacing w:line="580" w:lineRule="exact"/>
        <w:ind w:firstLine="645"/>
        <w:jc w:val="left"/>
        <w:outlineLvl w:val="3"/>
        <w:rPr>
          <w:rFonts w:ascii="宋体" w:hAnsi="宋体" w:eastAsia="宋体" w:cs="宋体"/>
          <w:b/>
          <w:bCs/>
          <w:kern w:val="0"/>
          <w:sz w:val="24"/>
        </w:rPr>
      </w:pPr>
      <w:r>
        <w:rPr>
          <w:rFonts w:hint="eastAsia" w:ascii="楷体" w:hAnsi="楷体" w:eastAsia="楷体" w:cs="宋体"/>
          <w:b/>
          <w:bCs/>
          <w:color w:val="000000"/>
          <w:kern w:val="0"/>
          <w:sz w:val="32"/>
          <w:szCs w:val="32"/>
        </w:rPr>
        <w:t>（二）事故追责问责人员处理情况</w:t>
      </w:r>
    </w:p>
    <w:p w14:paraId="0B20A377">
      <w:pPr>
        <w:widowControl/>
        <w:adjustRightInd w:val="0"/>
        <w:snapToGrid w:val="0"/>
        <w:spacing w:line="580" w:lineRule="exact"/>
        <w:ind w:firstLine="645"/>
        <w:jc w:val="left"/>
        <w:outlineLvl w:val="3"/>
        <w:rPr>
          <w:rFonts w:ascii="宋体" w:hAnsi="宋体" w:eastAsia="宋体" w:cs="宋体"/>
          <w:b/>
          <w:bCs/>
          <w:kern w:val="0"/>
          <w:sz w:val="24"/>
        </w:rPr>
      </w:pPr>
      <w:r>
        <w:rPr>
          <w:rFonts w:hint="eastAsia" w:ascii="仿宋_GB2312" w:hAnsi="宋体" w:eastAsia="仿宋_GB2312" w:cs="宋体"/>
          <w:color w:val="000000"/>
          <w:kern w:val="0"/>
          <w:sz w:val="32"/>
          <w:szCs w:val="32"/>
        </w:rPr>
        <w:t>1.</w:t>
      </w:r>
      <w:r>
        <w:rPr>
          <w:rFonts w:hint="eastAsia" w:ascii="仿宋_GB2312" w:eastAsia="仿宋_GB2312"/>
          <w:sz w:val="32"/>
          <w:szCs w:val="30"/>
        </w:rPr>
        <w:t>周</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锋，中共党员，祁东高新区管理委员会产业发展局（安全生产监管局）局长。2023年12月被免职，祁东县监察委员会已于2024年4月18日给予其政务警告处分（祁监【2024】23号）</w:t>
      </w:r>
      <w:r>
        <w:rPr>
          <w:rFonts w:hint="eastAsia" w:ascii="仿宋_GB2312" w:hAnsi="宋体" w:eastAsia="仿宋_GB2312" w:cs="宋体"/>
          <w:color w:val="000000"/>
          <w:kern w:val="0"/>
          <w:sz w:val="32"/>
          <w:szCs w:val="32"/>
        </w:rPr>
        <w:t>。</w:t>
      </w:r>
    </w:p>
    <w:p w14:paraId="4888AAAD">
      <w:pPr>
        <w:widowControl/>
        <w:adjustRightInd w:val="0"/>
        <w:snapToGrid w:val="0"/>
        <w:spacing w:line="580" w:lineRule="exact"/>
        <w:ind w:firstLine="645"/>
        <w:jc w:val="left"/>
        <w:rPr>
          <w:rFonts w:ascii="仿宋_GB2312" w:hAnsi="宋体" w:eastAsia="仿宋_GB2312" w:cs="宋体"/>
          <w:kern w:val="0"/>
          <w:sz w:val="24"/>
        </w:rPr>
      </w:pPr>
      <w:r>
        <w:rPr>
          <w:rFonts w:hint="eastAsia" w:ascii="仿宋_GB2312" w:hAnsi="宋体" w:eastAsia="仿宋_GB2312" w:cs="宋体"/>
          <w:color w:val="000000"/>
          <w:kern w:val="0"/>
          <w:sz w:val="32"/>
          <w:szCs w:val="32"/>
        </w:rPr>
        <w:t>2.</w:t>
      </w:r>
      <w:r>
        <w:rPr>
          <w:rFonts w:hint="eastAsia" w:ascii="仿宋_GB2312" w:eastAsia="仿宋_GB2312"/>
          <w:sz w:val="32"/>
          <w:szCs w:val="30"/>
        </w:rPr>
        <w:t>张</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，中共党员，祁东高新区管理委员会开发建设局局长</w:t>
      </w:r>
      <w:r>
        <w:rPr>
          <w:rFonts w:hint="eastAsia" w:ascii="仿宋_GB2312" w:hAnsi="宋体" w:eastAsia="仿宋_GB2312" w:cs="宋体"/>
          <w:color w:val="000000"/>
          <w:kern w:val="0"/>
          <w:sz w:val="32"/>
          <w:szCs w:val="32"/>
        </w:rPr>
        <w:t>。</w:t>
      </w:r>
      <w:r>
        <w:rPr>
          <w:rFonts w:hint="eastAsia" w:ascii="仿宋_GB2312" w:eastAsia="仿宋_GB2312"/>
          <w:sz w:val="32"/>
          <w:szCs w:val="30"/>
        </w:rPr>
        <w:t>祁东县监察委员会已于2024年4月18日给予其政务警告处分（祁监【2024】24号）</w:t>
      </w:r>
      <w:r>
        <w:rPr>
          <w:rFonts w:hint="eastAsia" w:ascii="仿宋_GB2312" w:hAnsi="宋体" w:eastAsia="仿宋_GB2312" w:cs="宋体"/>
          <w:color w:val="000000"/>
          <w:kern w:val="0"/>
          <w:sz w:val="32"/>
          <w:szCs w:val="32"/>
        </w:rPr>
        <w:t>。</w:t>
      </w:r>
    </w:p>
    <w:p w14:paraId="5EBE43E8">
      <w:pPr>
        <w:adjustRightInd w:val="0"/>
        <w:snapToGrid w:val="0"/>
        <w:spacing w:line="580" w:lineRule="exact"/>
        <w:ind w:firstLine="646"/>
        <w:jc w:val="left"/>
        <w:rPr>
          <w:rFonts w:ascii="仿宋_GB2312" w:hAnsi="宋体" w:eastAsia="仿宋_GB2312" w:cs="宋体"/>
          <w:kern w:val="0"/>
          <w:sz w:val="24"/>
        </w:rPr>
      </w:pPr>
      <w:r>
        <w:rPr>
          <w:rFonts w:hint="eastAsia" w:ascii="仿宋_GB2312" w:hAnsi="宋体" w:eastAsia="仿宋_GB2312" w:cs="宋体"/>
          <w:color w:val="000000"/>
          <w:kern w:val="0"/>
          <w:sz w:val="32"/>
          <w:szCs w:val="32"/>
        </w:rPr>
        <w:t>3.</w:t>
      </w:r>
      <w:bookmarkStart w:id="3" w:name="OLE_LINK14"/>
      <w:bookmarkStart w:id="4" w:name="OLE_LINK15"/>
      <w:r>
        <w:rPr>
          <w:rFonts w:hint="eastAsia" w:ascii="仿宋_GB2312" w:eastAsia="仿宋_GB2312"/>
          <w:sz w:val="32"/>
          <w:szCs w:val="30"/>
        </w:rPr>
        <w:t>王</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兰，中共党员，祁东县城市管理综合行政执法局执法大队园区执法中队中队长。</w:t>
      </w:r>
      <w:bookmarkEnd w:id="3"/>
      <w:bookmarkEnd w:id="4"/>
      <w:r>
        <w:rPr>
          <w:rFonts w:hint="eastAsia" w:ascii="仿宋_GB2312" w:eastAsia="仿宋_GB2312"/>
          <w:sz w:val="32"/>
          <w:szCs w:val="30"/>
        </w:rPr>
        <w:t>祁东县监察委员会已于2024年4月18日给予其政务警告处分（祁监【2024】25号）</w:t>
      </w:r>
      <w:r>
        <w:rPr>
          <w:rFonts w:hint="eastAsia" w:ascii="仿宋_GB2312" w:hAnsi="宋体" w:eastAsia="仿宋_GB2312" w:cs="宋体"/>
          <w:color w:val="000000"/>
          <w:kern w:val="0"/>
          <w:sz w:val="32"/>
          <w:szCs w:val="32"/>
        </w:rPr>
        <w:t>。</w:t>
      </w:r>
    </w:p>
    <w:p w14:paraId="5F5563FE">
      <w:pPr>
        <w:widowControl/>
        <w:adjustRightInd w:val="0"/>
        <w:snapToGrid w:val="0"/>
        <w:spacing w:line="580" w:lineRule="exact"/>
        <w:ind w:firstLine="645"/>
        <w:jc w:val="left"/>
        <w:rPr>
          <w:rFonts w:ascii="仿宋_GB2312" w:eastAsia="仿宋_GB2312"/>
          <w:sz w:val="32"/>
          <w:szCs w:val="30"/>
        </w:rPr>
      </w:pPr>
      <w:r>
        <w:rPr>
          <w:rFonts w:hint="eastAsia" w:ascii="仿宋_GB2312" w:hAnsi="宋体" w:eastAsia="仿宋_GB2312" w:cs="宋体"/>
          <w:color w:val="000000"/>
          <w:kern w:val="0"/>
          <w:sz w:val="32"/>
          <w:szCs w:val="32"/>
        </w:rPr>
        <w:t>4.</w:t>
      </w:r>
      <w:r>
        <w:rPr>
          <w:rFonts w:hint="eastAsia" w:ascii="仿宋_GB2312" w:eastAsia="仿宋_GB2312"/>
          <w:sz w:val="32"/>
          <w:szCs w:val="30"/>
        </w:rPr>
        <w:t>邱</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鹏，中共党员，祁东高新区管理委员会副主任，祁东县监察委员会已于2024年4月10对其进行提醒谈话。</w:t>
      </w:r>
    </w:p>
    <w:p w14:paraId="270F478B">
      <w:pPr>
        <w:widowControl/>
        <w:adjustRightInd w:val="0"/>
        <w:snapToGrid w:val="0"/>
        <w:spacing w:line="580" w:lineRule="exact"/>
        <w:ind w:firstLine="645"/>
        <w:jc w:val="left"/>
        <w:rPr>
          <w:rFonts w:ascii="仿宋_GB2312" w:eastAsia="仿宋_GB2312"/>
          <w:sz w:val="32"/>
          <w:szCs w:val="30"/>
        </w:rPr>
      </w:pPr>
      <w:r>
        <w:rPr>
          <w:rFonts w:hint="eastAsia" w:ascii="仿宋_GB2312" w:hAnsi="宋体" w:eastAsia="仿宋_GB2312" w:cs="宋体"/>
          <w:color w:val="000000"/>
          <w:kern w:val="0"/>
          <w:sz w:val="32"/>
          <w:szCs w:val="32"/>
        </w:rPr>
        <w:t>5.</w:t>
      </w:r>
      <w:r>
        <w:rPr>
          <w:rFonts w:hint="eastAsia" w:ascii="仿宋_GB2312" w:eastAsia="仿宋_GB2312"/>
          <w:sz w:val="32"/>
          <w:szCs w:val="30"/>
        </w:rPr>
        <w:t>谭</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华，中共党员，祁东高新区管理委员会副主任，祁东县监察委员会已于2024年4月10对其进行提醒谈话。</w:t>
      </w:r>
    </w:p>
    <w:p w14:paraId="44F0E4F6">
      <w:pPr>
        <w:widowControl/>
        <w:adjustRightInd w:val="0"/>
        <w:snapToGrid w:val="0"/>
        <w:spacing w:line="580" w:lineRule="exact"/>
        <w:ind w:firstLine="645"/>
        <w:jc w:val="left"/>
        <w:rPr>
          <w:rFonts w:ascii="仿宋_GB2312" w:eastAsia="仿宋_GB2312"/>
          <w:sz w:val="32"/>
          <w:szCs w:val="30"/>
        </w:rPr>
      </w:pPr>
      <w:r>
        <w:rPr>
          <w:rFonts w:hint="eastAsia" w:ascii="仿宋_GB2312" w:hAnsi="宋体" w:eastAsia="仿宋_GB2312" w:cs="宋体"/>
          <w:color w:val="000000"/>
          <w:kern w:val="0"/>
          <w:sz w:val="32"/>
          <w:szCs w:val="32"/>
        </w:rPr>
        <w:t>6.</w:t>
      </w:r>
      <w:r>
        <w:rPr>
          <w:rFonts w:hint="eastAsia" w:ascii="仿宋_GB2312" w:eastAsia="仿宋_GB2312"/>
          <w:sz w:val="32"/>
          <w:szCs w:val="30"/>
        </w:rPr>
        <w:t>周</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清，祁东县城市管理和综合行政执法局二级主任科员，祁东县监察委员会已于2024年4月10对其进行提醒谈话。</w:t>
      </w:r>
      <w:r>
        <w:rPr>
          <w:rFonts w:hint="eastAsia" w:ascii="仿宋_GB2312" w:hAnsi="宋体" w:eastAsia="仿宋_GB2312" w:cs="宋体"/>
          <w:color w:val="000000"/>
          <w:kern w:val="0"/>
          <w:sz w:val="32"/>
          <w:szCs w:val="32"/>
        </w:rPr>
        <w:t>（</w:t>
      </w:r>
      <w:r>
        <w:rPr>
          <w:rFonts w:hint="eastAsia" w:ascii="仿宋_GB2312" w:hAnsi="宋体" w:eastAsia="仿宋_GB2312" w:cs="宋体"/>
          <w:color w:val="000000"/>
          <w:kern w:val="0"/>
          <w:sz w:val="32"/>
          <w:szCs w:val="32"/>
          <w:lang w:eastAsia="zh-CN"/>
        </w:rPr>
        <w:t>以上</w:t>
      </w:r>
      <w:r>
        <w:rPr>
          <w:rFonts w:hint="eastAsia" w:ascii="仿宋_GB2312" w:hAnsi="宋体" w:eastAsia="仿宋_GB2312" w:cs="宋体"/>
          <w:color w:val="000000"/>
          <w:kern w:val="0"/>
          <w:sz w:val="32"/>
          <w:szCs w:val="32"/>
          <w:lang w:val="en-US" w:eastAsia="zh-CN"/>
        </w:rPr>
        <w:t>6人责任追究相关材料详</w:t>
      </w:r>
      <w:r>
        <w:rPr>
          <w:rFonts w:hint="eastAsia" w:ascii="仿宋_GB2312" w:hAnsi="宋体" w:eastAsia="仿宋_GB2312" w:cs="宋体"/>
          <w:color w:val="000000"/>
          <w:kern w:val="0"/>
          <w:sz w:val="32"/>
          <w:szCs w:val="32"/>
        </w:rPr>
        <w:t>见附件一）</w:t>
      </w:r>
    </w:p>
    <w:p w14:paraId="7DA2905D">
      <w:pPr>
        <w:widowControl/>
        <w:adjustRightInd w:val="0"/>
        <w:snapToGrid w:val="0"/>
        <w:spacing w:line="580" w:lineRule="exact"/>
        <w:ind w:firstLine="645"/>
        <w:jc w:val="left"/>
        <w:outlineLvl w:val="3"/>
        <w:rPr>
          <w:rFonts w:ascii="宋体" w:hAnsi="宋体" w:eastAsia="宋体" w:cs="宋体"/>
          <w:b/>
          <w:bCs/>
          <w:kern w:val="0"/>
          <w:sz w:val="24"/>
        </w:rPr>
      </w:pPr>
      <w:r>
        <w:rPr>
          <w:rFonts w:hint="eastAsia" w:ascii="楷体" w:hAnsi="楷体" w:eastAsia="楷体" w:cs="宋体"/>
          <w:b/>
          <w:bCs/>
          <w:color w:val="000000"/>
          <w:kern w:val="0"/>
          <w:sz w:val="32"/>
          <w:szCs w:val="32"/>
        </w:rPr>
        <w:t>（三）行政处罚人员处理情况</w:t>
      </w:r>
    </w:p>
    <w:p w14:paraId="0D281952">
      <w:pPr>
        <w:widowControl/>
        <w:adjustRightInd w:val="0"/>
        <w:snapToGrid w:val="0"/>
        <w:spacing w:line="580" w:lineRule="exact"/>
        <w:ind w:firstLine="645"/>
        <w:jc w:val="left"/>
        <w:rPr>
          <w:rFonts w:ascii="仿宋_GB2312" w:eastAsia="仿宋_GB2312"/>
          <w:sz w:val="32"/>
          <w:szCs w:val="30"/>
        </w:rPr>
      </w:pPr>
      <w:r>
        <w:rPr>
          <w:rFonts w:hint="eastAsia" w:ascii="仿宋_GB2312" w:eastAsia="仿宋_GB2312"/>
          <w:sz w:val="32"/>
          <w:szCs w:val="30"/>
        </w:rPr>
        <w:t>1. 何</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柏，男，47岁，群众，长宇公司法定代表人。祁东县应急管理局已于2024年7月1日给予其撤职的行政处罚。</w:t>
      </w:r>
    </w:p>
    <w:p w14:paraId="6CFF936D">
      <w:pPr>
        <w:widowControl/>
        <w:adjustRightInd w:val="0"/>
        <w:snapToGrid w:val="0"/>
        <w:spacing w:line="580" w:lineRule="exact"/>
        <w:ind w:firstLine="645"/>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2.</w:t>
      </w:r>
      <w:r>
        <w:rPr>
          <w:rFonts w:hint="eastAsia" w:ascii="仿宋_GB2312" w:eastAsia="仿宋_GB2312"/>
          <w:sz w:val="32"/>
          <w:szCs w:val="30"/>
        </w:rPr>
        <w:t>龙</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辉，中共党员，</w:t>
      </w:r>
      <w:r>
        <w:rPr>
          <w:rFonts w:hint="eastAsia" w:eastAsia="仿宋"/>
          <w:sz w:val="32"/>
          <w:szCs w:val="30"/>
        </w:rPr>
        <w:t>祁东县湖南长城科技有限公司</w:t>
      </w:r>
      <w:r>
        <w:rPr>
          <w:rFonts w:hint="eastAsia" w:ascii="仿宋_GB2312" w:eastAsia="仿宋_GB2312"/>
          <w:sz w:val="32"/>
          <w:szCs w:val="30"/>
        </w:rPr>
        <w:t>技术及安全主管</w:t>
      </w:r>
      <w:r>
        <w:rPr>
          <w:rFonts w:hint="eastAsia" w:ascii="仿宋_GB2312" w:hAnsi="宋体" w:eastAsia="仿宋_GB2312" w:cs="宋体"/>
          <w:color w:val="000000"/>
          <w:kern w:val="0"/>
          <w:sz w:val="32"/>
          <w:szCs w:val="32"/>
        </w:rPr>
        <w:t>，已于2024年7月5日向祁东县财政局非税收入汇缴结算户缴纳罚款5000元。（</w:t>
      </w:r>
      <w:r>
        <w:rPr>
          <w:rFonts w:hint="eastAsia" w:ascii="仿宋_GB2312" w:hAnsi="宋体" w:eastAsia="仿宋_GB2312" w:cs="宋体"/>
          <w:color w:val="000000"/>
          <w:kern w:val="0"/>
          <w:sz w:val="32"/>
          <w:szCs w:val="32"/>
          <w:lang w:eastAsia="zh-CN"/>
        </w:rPr>
        <w:t>以上</w:t>
      </w:r>
      <w:r>
        <w:rPr>
          <w:rFonts w:hint="eastAsia" w:ascii="仿宋_GB2312" w:hAnsi="宋体" w:eastAsia="仿宋_GB2312" w:cs="宋体"/>
          <w:color w:val="000000"/>
          <w:kern w:val="0"/>
          <w:sz w:val="32"/>
          <w:szCs w:val="32"/>
          <w:lang w:val="en-US" w:eastAsia="zh-CN"/>
        </w:rPr>
        <w:t>2人行政处罚相关材料详</w:t>
      </w:r>
      <w:r>
        <w:rPr>
          <w:rFonts w:hint="eastAsia" w:ascii="仿宋_GB2312" w:hAnsi="宋体" w:eastAsia="仿宋_GB2312" w:cs="宋体"/>
          <w:color w:val="000000"/>
          <w:kern w:val="0"/>
          <w:sz w:val="32"/>
          <w:szCs w:val="32"/>
        </w:rPr>
        <w:t>见附件二）</w:t>
      </w:r>
    </w:p>
    <w:p w14:paraId="5E6DCD4B">
      <w:pPr>
        <w:widowControl/>
        <w:adjustRightInd w:val="0"/>
        <w:snapToGrid w:val="0"/>
        <w:spacing w:line="580" w:lineRule="exact"/>
        <w:ind w:firstLine="645"/>
        <w:jc w:val="left"/>
        <w:outlineLvl w:val="3"/>
        <w:rPr>
          <w:rFonts w:ascii="宋体" w:hAnsi="宋体" w:eastAsia="宋体" w:cs="宋体"/>
          <w:b/>
          <w:bCs/>
          <w:kern w:val="0"/>
          <w:sz w:val="24"/>
        </w:rPr>
      </w:pPr>
      <w:r>
        <w:rPr>
          <w:rFonts w:hint="eastAsia" w:ascii="楷体" w:hAnsi="楷体" w:eastAsia="楷体" w:cs="宋体"/>
          <w:b/>
          <w:bCs/>
          <w:color w:val="000000"/>
          <w:kern w:val="0"/>
          <w:sz w:val="32"/>
          <w:szCs w:val="32"/>
        </w:rPr>
        <w:t>（三）行政处罚单位处理情况</w:t>
      </w:r>
    </w:p>
    <w:p w14:paraId="647094A6">
      <w:pPr>
        <w:widowControl/>
        <w:adjustRightInd w:val="0"/>
        <w:snapToGrid w:val="0"/>
        <w:spacing w:line="580" w:lineRule="exact"/>
        <w:ind w:firstLine="645"/>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1.祁东县衡阳长宇生物科技有限公司。该公司已于2024年11月20日注销（见附件三），且公司实际管理人</w:t>
      </w:r>
      <w:r>
        <w:rPr>
          <w:rFonts w:hint="eastAsia" w:ascii="仿宋_GB2312" w:eastAsia="仿宋_GB2312"/>
          <w:sz w:val="32"/>
          <w:szCs w:val="30"/>
        </w:rPr>
        <w:t>伍</w:t>
      </w:r>
      <w:r>
        <w:rPr>
          <w:rFonts w:hint="eastAsia" w:ascii="仿宋_GB2312" w:hAnsi="仿宋_GB2312" w:eastAsia="仿宋_GB2312" w:cs="仿宋_GB2312"/>
          <w:color w:val="000000"/>
          <w:sz w:val="32"/>
          <w:szCs w:val="32"/>
          <w:lang w:val="en-US" w:eastAsia="zh-CN"/>
        </w:rPr>
        <w:t>某</w:t>
      </w:r>
      <w:r>
        <w:rPr>
          <w:rFonts w:hint="eastAsia" w:ascii="仿宋_GB2312" w:eastAsia="仿宋_GB2312"/>
          <w:sz w:val="32"/>
          <w:szCs w:val="30"/>
        </w:rPr>
        <w:t>雄</w:t>
      </w:r>
      <w:r>
        <w:rPr>
          <w:rFonts w:hint="eastAsia" w:ascii="仿宋_GB2312" w:hAnsi="宋体" w:eastAsia="仿宋_GB2312" w:cs="宋体"/>
          <w:color w:val="000000"/>
          <w:kern w:val="0"/>
          <w:sz w:val="32"/>
          <w:szCs w:val="32"/>
        </w:rPr>
        <w:t>在事故中已死亡，公司资产清算后全部用于事故死者相关赔偿，鉴于此，决定对其免予处罚。</w:t>
      </w:r>
    </w:p>
    <w:p w14:paraId="0B3E92CB">
      <w:pPr>
        <w:widowControl/>
        <w:adjustRightInd w:val="0"/>
        <w:snapToGrid w:val="0"/>
        <w:spacing w:line="580" w:lineRule="exact"/>
        <w:ind w:firstLine="645"/>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2.</w:t>
      </w:r>
      <w:r>
        <w:rPr>
          <w:rFonts w:hint="eastAsia" w:eastAsia="仿宋"/>
          <w:sz w:val="32"/>
          <w:szCs w:val="30"/>
        </w:rPr>
        <w:t>祁东县湖南长城科技有限公司</w:t>
      </w:r>
      <w:r>
        <w:rPr>
          <w:rFonts w:hint="eastAsia" w:ascii="仿宋_GB2312" w:hAnsi="宋体" w:eastAsia="仿宋_GB2312" w:cs="宋体"/>
          <w:color w:val="000000"/>
          <w:kern w:val="0"/>
          <w:sz w:val="32"/>
          <w:szCs w:val="32"/>
        </w:rPr>
        <w:t>，已于2024年7月5日向祁东县财政局非税收入汇缴结算户缴纳罚款20000元。（见附件二）</w:t>
      </w:r>
    </w:p>
    <w:p w14:paraId="1BB0350A">
      <w:pPr>
        <w:widowControl/>
        <w:adjustRightInd w:val="0"/>
        <w:snapToGrid w:val="0"/>
        <w:spacing w:line="580" w:lineRule="exact"/>
        <w:ind w:firstLine="645"/>
        <w:jc w:val="left"/>
        <w:outlineLvl w:val="3"/>
        <w:rPr>
          <w:rFonts w:ascii="宋体" w:hAnsi="宋体" w:eastAsia="宋体" w:cs="宋体"/>
          <w:b/>
          <w:bCs/>
          <w:kern w:val="0"/>
          <w:sz w:val="24"/>
        </w:rPr>
      </w:pPr>
      <w:r>
        <w:rPr>
          <w:rFonts w:hint="eastAsia" w:ascii="楷体" w:hAnsi="楷体" w:eastAsia="楷体" w:cs="宋体"/>
          <w:b/>
          <w:bCs/>
          <w:color w:val="000000"/>
          <w:kern w:val="0"/>
          <w:sz w:val="32"/>
          <w:szCs w:val="32"/>
        </w:rPr>
        <w:t>（四）事故相关单位处理情况</w:t>
      </w:r>
    </w:p>
    <w:p w14:paraId="231CB789">
      <w:pPr>
        <w:widowControl/>
        <w:adjustRightInd w:val="0"/>
        <w:snapToGrid w:val="0"/>
        <w:spacing w:line="580" w:lineRule="exact"/>
        <w:ind w:firstLine="645"/>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1.祁东县高新区管理委员会已于2024年6月20日向祁东县人民政府作出书面检查。</w:t>
      </w:r>
    </w:p>
    <w:p w14:paraId="4679350F">
      <w:pPr>
        <w:widowControl/>
        <w:adjustRightInd w:val="0"/>
        <w:snapToGrid w:val="0"/>
        <w:spacing w:line="580" w:lineRule="exact"/>
        <w:ind w:firstLine="645"/>
        <w:jc w:val="left"/>
        <w:rPr>
          <w:rFonts w:hint="eastAsia"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2.祁东县城市管理综合行政执法局已于2024年6月16日向祁东县人民政府作出书面检查。</w:t>
      </w:r>
    </w:p>
    <w:p w14:paraId="1ED6B312">
      <w:pPr>
        <w:widowControl/>
        <w:adjustRightInd w:val="0"/>
        <w:snapToGrid w:val="0"/>
        <w:spacing w:line="580" w:lineRule="exact"/>
        <w:ind w:firstLine="645"/>
        <w:jc w:val="left"/>
        <w:rPr>
          <w:rFonts w:ascii="黑体" w:hAnsi="黑体" w:eastAsia="黑体"/>
          <w:color w:val="000000"/>
          <w:sz w:val="32"/>
          <w:szCs w:val="32"/>
        </w:rPr>
      </w:pPr>
      <w:r>
        <w:rPr>
          <w:rFonts w:hint="eastAsia" w:ascii="黑体" w:hAnsi="黑体" w:eastAsia="黑体"/>
          <w:color w:val="000000"/>
          <w:sz w:val="32"/>
          <w:szCs w:val="32"/>
        </w:rPr>
        <w:t>三</w:t>
      </w:r>
      <w:r>
        <w:rPr>
          <w:rFonts w:hint="eastAsia" w:ascii="黑体" w:hAnsi="黑体" w:eastAsia="黑体"/>
          <w:color w:val="000000"/>
          <w:sz w:val="32"/>
          <w:szCs w:val="32"/>
          <w:lang w:eastAsia="zh-CN"/>
        </w:rPr>
        <w:t>、</w:t>
      </w:r>
      <w:r>
        <w:rPr>
          <w:rFonts w:hint="eastAsia" w:ascii="黑体" w:hAnsi="黑体" w:eastAsia="黑体"/>
          <w:color w:val="000000"/>
          <w:sz w:val="32"/>
          <w:szCs w:val="32"/>
        </w:rPr>
        <w:t>事故防范和整改措施落实情况</w:t>
      </w:r>
    </w:p>
    <w:p w14:paraId="52CF8C39">
      <w:pPr>
        <w:pStyle w:val="7"/>
        <w:adjustRightInd w:val="0"/>
        <w:snapToGrid w:val="0"/>
        <w:spacing w:before="0" w:beforeAutospacing="0" w:after="0" w:afterAutospacing="0" w:line="580" w:lineRule="exact"/>
        <w:ind w:firstLine="360" w:firstLineChars="150"/>
        <w:rPr>
          <w:rFonts w:ascii="仿宋_GB2312" w:eastAsia="仿宋_GB2312"/>
          <w:color w:val="000000"/>
          <w:sz w:val="32"/>
          <w:szCs w:val="32"/>
        </w:rPr>
      </w:pPr>
      <w:r>
        <w:rPr>
          <w:rFonts w:hint="eastAsia"/>
        </w:rPr>
        <w:t xml:space="preserve"> </w:t>
      </w:r>
      <w:r>
        <w:rPr>
          <w:rFonts w:hint="eastAsia" w:ascii="仿宋_GB2312" w:eastAsia="仿宋_GB2312"/>
          <w:b/>
          <w:sz w:val="32"/>
          <w:szCs w:val="32"/>
        </w:rPr>
        <w:t xml:space="preserve">  一是压实安全生产责任。</w:t>
      </w:r>
      <w:r>
        <w:rPr>
          <w:rFonts w:hint="eastAsia" w:ascii="仿宋_GB2312" w:eastAsia="仿宋_GB2312"/>
          <w:sz w:val="32"/>
          <w:szCs w:val="32"/>
        </w:rPr>
        <w:t>2024年，</w:t>
      </w:r>
      <w:r>
        <w:rPr>
          <w:rFonts w:hint="eastAsia" w:ascii="仿宋_GB2312" w:eastAsia="仿宋_GB2312"/>
          <w:color w:val="000000"/>
          <w:sz w:val="32"/>
          <w:szCs w:val="32"/>
        </w:rPr>
        <w:t>县委常委会、县政府常务会先后</w:t>
      </w:r>
      <w:r>
        <w:rPr>
          <w:rFonts w:hint="eastAsia" w:ascii="仿宋_GB2312" w:eastAsia="仿宋_GB2312"/>
          <w:color w:val="000000" w:themeColor="text1"/>
          <w:sz w:val="32"/>
          <w:szCs w:val="32"/>
          <w14:textFill>
            <w14:solidFill>
              <w14:schemeClr w14:val="tx1"/>
            </w14:solidFill>
          </w14:textFill>
        </w:rPr>
        <w:t>7</w:t>
      </w:r>
      <w:r>
        <w:rPr>
          <w:rFonts w:hint="eastAsia" w:ascii="仿宋_GB2312" w:eastAsia="仿宋_GB2312"/>
          <w:color w:val="000000"/>
          <w:sz w:val="32"/>
          <w:szCs w:val="32"/>
        </w:rPr>
        <w:t>次听取安全生产工作情况汇报，召开县安委会全会</w:t>
      </w:r>
      <w:r>
        <w:rPr>
          <w:rFonts w:hint="eastAsia" w:ascii="仿宋_GB2312" w:eastAsia="仿宋_GB2312"/>
          <w:color w:val="000000" w:themeColor="text1"/>
          <w:sz w:val="32"/>
          <w:szCs w:val="32"/>
          <w14:textFill>
            <w14:solidFill>
              <w14:schemeClr w14:val="tx1"/>
            </w14:solidFill>
          </w14:textFill>
        </w:rPr>
        <w:t>4</w:t>
      </w:r>
      <w:r>
        <w:rPr>
          <w:rFonts w:hint="eastAsia" w:ascii="仿宋_GB2312" w:eastAsia="仿宋_GB2312"/>
          <w:color w:val="000000"/>
          <w:sz w:val="32"/>
          <w:szCs w:val="32"/>
        </w:rPr>
        <w:t>次、专题会议</w:t>
      </w:r>
      <w:r>
        <w:rPr>
          <w:rFonts w:hint="eastAsia" w:ascii="仿宋_GB2312" w:eastAsia="仿宋_GB2312"/>
          <w:color w:val="000000" w:themeColor="text1"/>
          <w:sz w:val="32"/>
          <w:szCs w:val="32"/>
          <w14:textFill>
            <w14:solidFill>
              <w14:schemeClr w14:val="tx1"/>
            </w14:solidFill>
          </w14:textFill>
        </w:rPr>
        <w:t>9</w:t>
      </w:r>
      <w:r>
        <w:rPr>
          <w:rFonts w:hint="eastAsia" w:ascii="仿宋_GB2312" w:eastAsia="仿宋_GB2312"/>
          <w:color w:val="000000"/>
          <w:sz w:val="32"/>
          <w:szCs w:val="32"/>
        </w:rPr>
        <w:t>次研究部署安全生产工作，为全县压实安全生产工作责任提供了领导保障。书记、县长多次带队深入基层、深入企业一线督导调研安全生产工作，常务副县长定期听取汇报，调度解决安全生产、应急管理工作的重点、难点、堵点问题，其他相关县级领导每月带队到分管的行业领域、联系的乡镇（街道、管理处）督导检查，各级党政领导干部严格落实安全生产“党政同责、一岗双责”，带队检查安全生产工作，深入联点单位安全生产现场和一线督导检查</w:t>
      </w:r>
      <w:r>
        <w:rPr>
          <w:rFonts w:hint="eastAsia" w:ascii="仿宋_GB2312" w:eastAsia="仿宋_GB2312"/>
          <w:color w:val="000000" w:themeColor="text1"/>
          <w:sz w:val="32"/>
          <w:szCs w:val="32"/>
          <w14:textFill>
            <w14:solidFill>
              <w14:schemeClr w14:val="tx1"/>
            </w14:solidFill>
          </w14:textFill>
        </w:rPr>
        <w:t>2885余次</w:t>
      </w:r>
      <w:r>
        <w:rPr>
          <w:rFonts w:hint="eastAsia" w:ascii="仿宋_GB2312" w:eastAsia="仿宋_GB2312"/>
          <w:color w:val="000000"/>
          <w:sz w:val="32"/>
          <w:szCs w:val="32"/>
        </w:rPr>
        <w:t>。</w:t>
      </w:r>
    </w:p>
    <w:p w14:paraId="761380F0">
      <w:pPr>
        <w:pStyle w:val="7"/>
        <w:adjustRightInd w:val="0"/>
        <w:snapToGrid w:val="0"/>
        <w:spacing w:before="0" w:beforeAutospacing="0" w:after="0" w:afterAutospacing="0" w:line="580" w:lineRule="exact"/>
        <w:ind w:firstLine="482" w:firstLineChars="150"/>
        <w:rPr>
          <w:rFonts w:ascii="仿宋_GB2312" w:hAnsi="仿宋" w:eastAsia="仿宋_GB2312" w:cs="仿宋"/>
          <w:color w:val="333333"/>
          <w:sz w:val="32"/>
          <w:szCs w:val="32"/>
        </w:rPr>
      </w:pPr>
      <w:r>
        <w:rPr>
          <w:rFonts w:hint="eastAsia" w:ascii="仿宋_GB2312" w:eastAsia="仿宋_GB2312"/>
          <w:b/>
          <w:color w:val="000000"/>
          <w:sz w:val="32"/>
          <w:szCs w:val="32"/>
        </w:rPr>
        <w:t>二是严抓隐患排查。</w:t>
      </w:r>
      <w:r>
        <w:rPr>
          <w:rFonts w:hint="eastAsia" w:ascii="仿宋_GB2312" w:eastAsia="仿宋_GB2312"/>
          <w:color w:val="000000"/>
          <w:spacing w:val="-4"/>
          <w:sz w:val="32"/>
          <w:szCs w:val="32"/>
        </w:rPr>
        <w:t>聘请专家开展“安全管家”服务助力，扎实推进重点行业领域重大事故隐患排查整治，实时更新“重大风险”“重大隐患”两个清单。</w:t>
      </w:r>
      <w:r>
        <w:rPr>
          <w:rFonts w:hint="eastAsia" w:ascii="仿宋_GB2312" w:eastAsia="仿宋_GB2312"/>
          <w:color w:val="000000" w:themeColor="text1"/>
          <w:spacing w:val="-4"/>
          <w:sz w:val="32"/>
          <w:szCs w:val="32"/>
          <w14:textFill>
            <w14:solidFill>
              <w14:schemeClr w14:val="tx1"/>
            </w14:solidFill>
          </w14:textFill>
        </w:rPr>
        <w:t>2024年</w:t>
      </w:r>
      <w:r>
        <w:rPr>
          <w:rFonts w:hint="eastAsia" w:ascii="仿宋_GB2312" w:eastAsia="仿宋_GB2312"/>
          <w:color w:val="000000"/>
          <w:spacing w:val="-4"/>
          <w:sz w:val="32"/>
          <w:szCs w:val="32"/>
        </w:rPr>
        <w:t>录入全国系统的重大事故隐患501条，录入整改率排名全市第一</w:t>
      </w:r>
      <w:r>
        <w:rPr>
          <w:rFonts w:hint="eastAsia" w:ascii="仿宋_GB2312" w:eastAsia="仿宋_GB2312"/>
          <w:color w:val="000000" w:themeColor="text1"/>
          <w:spacing w:val="-4"/>
          <w:sz w:val="32"/>
          <w:szCs w:val="32"/>
          <w14:textFill>
            <w14:solidFill>
              <w14:schemeClr w14:val="tx1"/>
            </w14:solidFill>
          </w14:textFill>
        </w:rPr>
        <w:t>。</w:t>
      </w:r>
      <w:r>
        <w:rPr>
          <w:rFonts w:hint="eastAsia" w:ascii="仿宋_GB2312" w:eastAsia="仿宋_GB2312"/>
          <w:color w:val="000000"/>
          <w:sz w:val="32"/>
          <w:szCs w:val="32"/>
        </w:rPr>
        <w:t>在</w:t>
      </w:r>
      <w:r>
        <w:rPr>
          <w:rFonts w:hint="eastAsia" w:ascii="仿宋_GB2312" w:hAnsi="黑体" w:eastAsia="仿宋_GB2312"/>
          <w:sz w:val="32"/>
          <w:szCs w:val="32"/>
        </w:rPr>
        <w:t>非煤矿山、烟花爆竹、危险化学品、工贸行业领域，</w:t>
      </w:r>
      <w:r>
        <w:rPr>
          <w:rFonts w:hint="eastAsia" w:ascii="仿宋_GB2312" w:eastAsia="仿宋_GB2312"/>
          <w:color w:val="000000"/>
          <w:sz w:val="32"/>
          <w:szCs w:val="32"/>
        </w:rPr>
        <w:t>全年</w:t>
      </w:r>
      <w:r>
        <w:rPr>
          <w:rFonts w:hint="eastAsia" w:ascii="仿宋_GB2312" w:hAnsi="仿宋" w:eastAsia="仿宋_GB2312" w:cs="仿宋"/>
          <w:color w:val="333333"/>
          <w:sz w:val="32"/>
          <w:szCs w:val="32"/>
        </w:rPr>
        <w:t>共查处企业各类安全隐患1727处。</w:t>
      </w:r>
    </w:p>
    <w:p w14:paraId="2F133DC9">
      <w:pPr>
        <w:pStyle w:val="11"/>
        <w:adjustRightInd w:val="0"/>
        <w:snapToGrid w:val="0"/>
        <w:spacing w:line="580" w:lineRule="exact"/>
        <w:ind w:firstLine="643" w:firstLineChars="200"/>
        <w:rPr>
          <w:rFonts w:ascii="仿宋" w:hAnsi="仿宋" w:eastAsia="仿宋" w:cs="仿宋"/>
          <w:sz w:val="32"/>
          <w:szCs w:val="32"/>
        </w:rPr>
      </w:pPr>
      <w:r>
        <w:rPr>
          <w:rFonts w:hint="eastAsia" w:ascii="仿宋_GB2312" w:hAnsi="仿宋" w:eastAsia="仿宋_GB2312" w:cs="仿宋"/>
          <w:b/>
          <w:color w:val="333333"/>
          <w:sz w:val="32"/>
          <w:szCs w:val="32"/>
        </w:rPr>
        <w:t>三是强化宣传教育培训。</w:t>
      </w:r>
      <w:r>
        <w:rPr>
          <w:rFonts w:hint="eastAsia" w:ascii="仿宋_GB2312" w:eastAsia="仿宋_GB2312"/>
          <w:color w:val="000000"/>
          <w:kern w:val="0"/>
          <w:sz w:val="32"/>
          <w:szCs w:val="32"/>
        </w:rPr>
        <w:t>以全国防灾减灾日、全国安全生产月、消防宣传月活动主题，县减灾委、县安委办分别组织相关县直单位在县政府广场集中开展了“5.12全国防灾减灾日”“6.16”安全宣传咨询日活动，摆放安全知识展板80块,发放宣传海报20000余张、宣传图纸30000多张，宣传册8000多本，悬挂横幅100多条，接受群众咨询15000多人次。邀请省、市、县行政执法方面的专家、领导深入开展2024年度县乡安全生产行政执法业务能力培训，培训人数达100余人。在2024年科级干部培训班开展安全生产知识专题讲座，邀请市应急管理局专家专题授课辅导。4次举办企业主要负责人和安全管理人员安全培训班，338名工贸、危化、非煤企业主要负责人和安全管理人员参与培训。并专题组织工贸企业主要负责人、有限空间监护人员和一线监管执法人员，宣贯《工贸企业有限空间作业安全规定》《工贸企业有限空间重点监管目录》，开展典型事故警示教育，提高企业从业人员、一线监管人员发现问题和解决问题的强烈意愿和能力水平。</w:t>
      </w:r>
    </w:p>
    <w:p w14:paraId="2FB5A7D4">
      <w:pPr>
        <w:adjustRightInd w:val="0"/>
        <w:snapToGrid w:val="0"/>
        <w:spacing w:line="580" w:lineRule="exact"/>
        <w:ind w:firstLine="643" w:firstLineChars="200"/>
        <w:rPr>
          <w:rFonts w:ascii="仿宋_GB2312" w:hAnsi="仿宋" w:eastAsia="仿宋_GB2312" w:cs="仿宋"/>
          <w:b/>
          <w:bCs/>
          <w:sz w:val="32"/>
          <w:szCs w:val="32"/>
        </w:rPr>
      </w:pPr>
      <w:r>
        <w:rPr>
          <w:rFonts w:hint="eastAsia" w:ascii="仿宋_GB2312" w:eastAsia="仿宋_GB2312"/>
          <w:b/>
          <w:sz w:val="32"/>
          <w:szCs w:val="32"/>
        </w:rPr>
        <w:t>四是不断完善园区安全监管。</w:t>
      </w:r>
      <w:r>
        <w:rPr>
          <w:rFonts w:hint="eastAsia" w:ascii="仿宋_GB2312" w:hAnsi="仿宋" w:eastAsia="仿宋_GB2312" w:cs="仿宋"/>
          <w:bCs/>
          <w:sz w:val="32"/>
          <w:szCs w:val="32"/>
        </w:rPr>
        <w:t>祁东县高新区聘</w:t>
      </w:r>
      <w:r>
        <w:rPr>
          <w:rFonts w:hint="eastAsia" w:ascii="仿宋_GB2312" w:hAnsi="仿宋" w:eastAsia="仿宋_GB2312" w:cs="仿宋"/>
          <w:sz w:val="32"/>
          <w:szCs w:val="32"/>
        </w:rPr>
        <w:t>请专家对新入园项目进行安全生产、环保准入条件进行评估，强化入园审批。</w:t>
      </w:r>
      <w:r>
        <w:rPr>
          <w:rFonts w:hint="eastAsia" w:ascii="仿宋_GB2312" w:hAnsi="仿宋" w:eastAsia="仿宋_GB2312" w:cs="仿宋"/>
          <w:bCs/>
          <w:sz w:val="32"/>
          <w:szCs w:val="32"/>
        </w:rPr>
        <w:t>2024年，祁东县高新区联合有关部门</w:t>
      </w:r>
      <w:r>
        <w:rPr>
          <w:rFonts w:hint="eastAsia" w:ascii="仿宋_GB2312" w:hAnsi="仿宋" w:eastAsia="仿宋_GB2312" w:cs="仿宋"/>
          <w:sz w:val="32"/>
          <w:szCs w:val="32"/>
        </w:rPr>
        <w:t>对辖区重点检查企业安全生产、消防安全、特种设备、规划建设、建筑安全、食品安全、交通安全、生态环境、手续办理等方面进行隐患大排查、大整治，共开展专项排查47次，整改隐患200余条。针对有限空间作业、电气焊作业、“钢八条铝七条粉尘六条”、危化品使用及存储、消防安全等重点内容开展日常隐患排查，摸排企业燃气使用、工贸“十九条”、应急演练开展、防雷检测、上级督办隐患整改、“起底式”隐患排查整改落实情况，全年共完成领导带队下企开展工作127次，联合消防站督促企业开展应急演练58次，指导企业整改隐患307条。</w:t>
      </w:r>
    </w:p>
    <w:p w14:paraId="654E6AA0">
      <w:pPr>
        <w:adjustRightInd w:val="0"/>
        <w:snapToGrid w:val="0"/>
        <w:spacing w:line="580" w:lineRule="exact"/>
        <w:ind w:firstLine="643" w:firstLineChars="200"/>
        <w:rPr>
          <w:rFonts w:ascii="仿宋_GB2312" w:eastAsia="仿宋_GB2312"/>
          <w:sz w:val="32"/>
          <w:szCs w:val="30"/>
        </w:rPr>
      </w:pPr>
      <w:bookmarkStart w:id="5" w:name="OLE_LINK35"/>
      <w:r>
        <w:rPr>
          <w:rFonts w:hint="eastAsia" w:ascii="仿宋_GB2312" w:hAnsi="仿宋" w:eastAsia="仿宋_GB2312" w:cs="仿宋"/>
          <w:b/>
          <w:bCs/>
          <w:sz w:val="32"/>
          <w:szCs w:val="32"/>
        </w:rPr>
        <w:t>五是落实企业主体责任。</w:t>
      </w:r>
      <w:bookmarkStart w:id="6" w:name="OLE_LINK32"/>
      <w:bookmarkStart w:id="7" w:name="OLE_LINK33"/>
      <w:r>
        <w:rPr>
          <w:rFonts w:hint="eastAsia" w:ascii="仿宋_GB2312" w:hAnsi="仿宋" w:eastAsia="仿宋_GB2312" w:cs="仿宋"/>
          <w:sz w:val="32"/>
          <w:szCs w:val="32"/>
        </w:rPr>
        <w:t>事故发生后，</w:t>
      </w:r>
      <w:r>
        <w:rPr>
          <w:rFonts w:hint="eastAsia" w:ascii="仿宋_GB2312" w:eastAsia="仿宋_GB2312"/>
          <w:sz w:val="32"/>
          <w:szCs w:val="30"/>
        </w:rPr>
        <w:t>湖南长城科技有限公司立即拆除了违规搭建的铁棚，举一反三，全方位落实企业安全主体责任，取得了显著成效。2024年，召开了10次安全生产专题会议，为各项安全工作的推进提供了有力指导与决策支持。隐患排查整改方面，公司建立常态化机制，全年累计开展安全隐患自查自纠行动达10余次，覆盖生产车间、仓储区域、办公场地等各个区域。通过细致排查，共识别出安全隐患30余处，已全部完成整改。在厂区新增限速标志，在有限空间出入口、化学品储存区等醒目位置，新增设了40余块警示标志，确保员工及外来人员能第一时间识别危险区域。在重点危险区域，如焚烧炉车间，安装了有毒有害气体报警装置4余处，设置隔离栏长度超过30米，防护网面积达120平方米，切实起到了物理隔离和防护作用，阻挡无关人员靠近危险区域。严格规范执行作业审批流程。2024年全年，公司共受理各类作业审批申请10余项，包括动火作业、高处作业等危险作业类型。在审批过程中，严格遵循既定流程，对作业环境、人员资质、安全措施等进行细致审核，确保每项作业在安全条件满足的情况下才予以批准，有效杜绝了不安全作业行为的发生。在应急预案与演练工作上，公司制定了详细全面的演练方案，涵盖火灾、泄漏等多种可能发生的安全事故类型。同时，定期组织演练，全年共开展综合应急演练2次，专项应急演练5次，参与演练的员工人数达60余人次。</w:t>
      </w:r>
      <w:bookmarkEnd w:id="6"/>
      <w:bookmarkEnd w:id="7"/>
    </w:p>
    <w:p w14:paraId="67442C24">
      <w:pPr>
        <w:widowControl/>
        <w:shd w:val="clear" w:color="auto" w:fill="FFFFFF"/>
        <w:adjustRightInd w:val="0"/>
        <w:snapToGrid w:val="0"/>
        <w:spacing w:line="580" w:lineRule="exact"/>
        <w:ind w:firstLine="640"/>
        <w:jc w:val="left"/>
        <w:rPr>
          <w:rFonts w:ascii="宋体" w:hAnsi="宋体" w:eastAsia="宋体" w:cs="宋体"/>
          <w:kern w:val="0"/>
          <w:sz w:val="24"/>
        </w:rPr>
      </w:pPr>
      <w:r>
        <w:rPr>
          <w:rFonts w:hint="eastAsia" w:ascii="黑体" w:hAnsi="黑体" w:eastAsia="黑体" w:cs="宋体"/>
          <w:color w:val="000000"/>
          <w:kern w:val="0"/>
          <w:sz w:val="32"/>
          <w:szCs w:val="32"/>
          <w:shd w:val="clear" w:color="auto" w:fill="FFFFFF"/>
        </w:rPr>
        <w:t>四</w:t>
      </w:r>
      <w:r>
        <w:rPr>
          <w:rFonts w:hint="eastAsia" w:ascii="黑体" w:hAnsi="黑体" w:eastAsia="黑体" w:cs="宋体"/>
          <w:color w:val="000000"/>
          <w:kern w:val="0"/>
          <w:sz w:val="32"/>
          <w:szCs w:val="32"/>
          <w:shd w:val="clear" w:color="auto" w:fill="FFFFFF"/>
          <w:lang w:eastAsia="zh-CN"/>
        </w:rPr>
        <w:t>、</w:t>
      </w:r>
      <w:r>
        <w:rPr>
          <w:rFonts w:hint="eastAsia" w:ascii="黑体" w:hAnsi="黑体" w:eastAsia="黑体" w:cs="宋体"/>
          <w:color w:val="000000"/>
          <w:kern w:val="0"/>
          <w:sz w:val="32"/>
          <w:szCs w:val="32"/>
          <w:shd w:val="clear" w:color="auto" w:fill="FFFFFF"/>
        </w:rPr>
        <w:t>评估建议</w:t>
      </w:r>
    </w:p>
    <w:bookmarkEnd w:id="5"/>
    <w:p w14:paraId="3C3EB616">
      <w:pPr>
        <w:widowControl/>
        <w:adjustRightInd w:val="0"/>
        <w:snapToGrid w:val="0"/>
        <w:spacing w:line="580" w:lineRule="exact"/>
        <w:ind w:firstLine="640"/>
        <w:jc w:val="left"/>
        <w:rPr>
          <w:rFonts w:ascii="宋体" w:hAnsi="宋体" w:eastAsia="宋体" w:cs="宋体"/>
          <w:kern w:val="0"/>
          <w:sz w:val="24"/>
        </w:rPr>
      </w:pPr>
      <w:r>
        <w:rPr>
          <w:rFonts w:hint="eastAsia" w:ascii="楷体" w:hAnsi="楷体" w:eastAsia="楷体" w:cs="宋体"/>
          <w:color w:val="000000"/>
          <w:kern w:val="0"/>
          <w:sz w:val="32"/>
          <w:szCs w:val="32"/>
        </w:rPr>
        <w:t>（一）切实提高政治站位。</w:t>
      </w:r>
      <w:r>
        <w:rPr>
          <w:rFonts w:hint="eastAsia" w:ascii="仿宋_GB2312" w:hAnsi="宋体" w:eastAsia="仿宋_GB2312" w:cs="宋体"/>
          <w:color w:val="000000"/>
          <w:kern w:val="0"/>
          <w:sz w:val="32"/>
          <w:szCs w:val="32"/>
        </w:rPr>
        <w:t>始终把安全工作作为头等大事抓实抓牢，深入开展学习贯彻落实习近平总书记关于安全生产的重要论述，进一步强化政治意识和责任意识，进一步强化红线意识和责任意识，坚持人民至上、生命至上的理念，以安全生产治本攻坚三年行动为契机，进一步强化属地管理责任落实，行业监管责任落实，企业主体责任落实，真正全面落实全员安全生产责任制，切实维护人民群众生命财产安全。</w:t>
      </w:r>
    </w:p>
    <w:p w14:paraId="656D3B0C">
      <w:pPr>
        <w:widowControl/>
        <w:adjustRightInd w:val="0"/>
        <w:snapToGrid w:val="0"/>
        <w:spacing w:line="580" w:lineRule="exact"/>
        <w:ind w:firstLine="640"/>
        <w:rPr>
          <w:rFonts w:ascii="宋体" w:hAnsi="宋体" w:eastAsia="宋体" w:cs="宋体"/>
          <w:kern w:val="0"/>
          <w:sz w:val="24"/>
        </w:rPr>
      </w:pPr>
      <w:r>
        <w:rPr>
          <w:rFonts w:hint="eastAsia" w:ascii="楷体" w:hAnsi="楷体" w:eastAsia="楷体" w:cs="宋体"/>
          <w:color w:val="000000"/>
          <w:kern w:val="0"/>
          <w:sz w:val="32"/>
          <w:szCs w:val="32"/>
        </w:rPr>
        <w:t>（二）严格隐患排查整治和有限空间作业安全管控。</w:t>
      </w:r>
      <w:r>
        <w:rPr>
          <w:rFonts w:hint="eastAsia" w:ascii="仿宋_GB2312" w:hAnsi="宋体" w:eastAsia="仿宋_GB2312" w:cs="宋体"/>
          <w:color w:val="000000"/>
          <w:kern w:val="0"/>
          <w:sz w:val="32"/>
          <w:szCs w:val="32"/>
        </w:rPr>
        <w:t>深刻汲取事故教训，严格执行“四不放过”原则，举一反三开展经常性安全生产隐患排查整治和有限空间作业安全操作规程学习，切实夯实安全生产基础，采取有效措施加大管理力度，加强有限空间作业安全措施落实，消除安全盲区和死角漏洞，保证作业现场及各生产系统真正达到安全作业的条件。</w:t>
      </w:r>
    </w:p>
    <w:p w14:paraId="3793A8F7">
      <w:pPr>
        <w:widowControl/>
        <w:adjustRightInd w:val="0"/>
        <w:snapToGrid w:val="0"/>
        <w:spacing w:line="580" w:lineRule="exact"/>
        <w:ind w:firstLine="640"/>
        <w:jc w:val="left"/>
        <w:rPr>
          <w:rFonts w:ascii="仿宋_GB2312" w:hAnsi="宋体" w:eastAsia="仿宋_GB2312" w:cs="宋体"/>
          <w:color w:val="000000"/>
          <w:kern w:val="0"/>
          <w:sz w:val="32"/>
          <w:szCs w:val="32"/>
        </w:rPr>
      </w:pPr>
      <w:r>
        <w:rPr>
          <w:rFonts w:hint="eastAsia" w:ascii="楷体" w:hAnsi="楷体" w:eastAsia="楷体" w:cs="宋体"/>
          <w:color w:val="000000"/>
          <w:kern w:val="0"/>
          <w:sz w:val="32"/>
          <w:szCs w:val="32"/>
        </w:rPr>
        <w:t>（三）全面开展教育培训。</w:t>
      </w:r>
      <w:r>
        <w:rPr>
          <w:rFonts w:hint="eastAsia" w:ascii="仿宋_GB2312" w:hAnsi="宋体" w:eastAsia="仿宋_GB2312" w:cs="宋体"/>
          <w:color w:val="000000"/>
          <w:kern w:val="0"/>
          <w:sz w:val="32"/>
          <w:szCs w:val="32"/>
        </w:rPr>
        <w:t>切实提升全员的安全意识、安全技能。扎实开展有针对性的、以班组为单位的公司全员大培训及考试，对有限空间作业人员开展专题性的安全培训，强化人员的安全意识，提高安全风险辨识能力，以现场风险和隐患排查、处理技能提升为主，一对一帮扶，现身说法，切实提高作业人员发现问题、处理问题的能力。</w:t>
      </w:r>
    </w:p>
    <w:p w14:paraId="25630840">
      <w:pPr>
        <w:widowControl/>
        <w:adjustRightInd w:val="0"/>
        <w:snapToGrid w:val="0"/>
        <w:spacing w:line="580" w:lineRule="exact"/>
        <w:ind w:firstLine="640"/>
        <w:jc w:val="left"/>
        <w:rPr>
          <w:rFonts w:ascii="仿宋_GB2312" w:eastAsia="仿宋_GB2312"/>
          <w:color w:val="3D3D3D"/>
          <w:sz w:val="32"/>
          <w:szCs w:val="32"/>
        </w:rPr>
      </w:pPr>
      <w:r>
        <w:rPr>
          <w:rFonts w:hint="eastAsia" w:ascii="楷体" w:hAnsi="楷体" w:eastAsia="楷体" w:cs="宋体"/>
          <w:color w:val="000000"/>
          <w:kern w:val="0"/>
          <w:sz w:val="32"/>
          <w:szCs w:val="32"/>
        </w:rPr>
        <w:t>（四）</w:t>
      </w:r>
      <w:r>
        <w:rPr>
          <w:rFonts w:hint="eastAsia" w:ascii="楷体" w:hAnsi="楷体" w:eastAsia="楷体"/>
          <w:color w:val="3D3D3D"/>
          <w:sz w:val="32"/>
          <w:szCs w:val="32"/>
        </w:rPr>
        <w:t>严格落实主体责任。</w:t>
      </w:r>
      <w:r>
        <w:rPr>
          <w:rFonts w:hint="eastAsia" w:ascii="仿宋_GB2312" w:eastAsia="仿宋_GB2312"/>
          <w:color w:val="3D3D3D"/>
          <w:sz w:val="32"/>
          <w:szCs w:val="32"/>
        </w:rPr>
        <w:t>各企业要深刻汲取事故教训，举一反三，切实提高安全生产意识、健全安全管理机构，完善安全生产管理制度，加强有限空间作业安全生产管理，加强对有限空间作业的风险辨识，制定安全生产规章制度和作业规程，加强作业审批，配齐防护装备，做到安全制度到位、安全培训到位、防护装备到位、应急救援到位。</w:t>
      </w:r>
    </w:p>
    <w:p w14:paraId="5A048C1C">
      <w:pPr>
        <w:widowControl/>
        <w:adjustRightInd w:val="0"/>
        <w:snapToGrid w:val="0"/>
        <w:spacing w:line="580" w:lineRule="exact"/>
        <w:ind w:firstLine="480" w:firstLineChars="150"/>
        <w:jc w:val="left"/>
        <w:rPr>
          <w:rFonts w:ascii="仿宋_GB2312" w:eastAsia="仿宋_GB2312"/>
          <w:color w:val="3D3D3D"/>
          <w:sz w:val="32"/>
          <w:szCs w:val="32"/>
        </w:rPr>
      </w:pPr>
      <w:r>
        <w:rPr>
          <w:rFonts w:hint="eastAsia" w:ascii="楷体" w:hAnsi="楷体" w:eastAsia="楷体" w:cs="宋体"/>
          <w:color w:val="000000"/>
          <w:kern w:val="0"/>
          <w:sz w:val="32"/>
          <w:szCs w:val="32"/>
        </w:rPr>
        <w:t>（五）强化园区监管责任。</w:t>
      </w:r>
      <w:r>
        <w:rPr>
          <w:rFonts w:hint="eastAsia" w:ascii="仿宋_GB2312" w:hAnsi="楷体" w:eastAsia="仿宋_GB2312" w:cs="宋体"/>
          <w:b/>
          <w:color w:val="000000"/>
          <w:kern w:val="0"/>
          <w:sz w:val="32"/>
          <w:szCs w:val="32"/>
        </w:rPr>
        <w:t>一是</w:t>
      </w:r>
      <w:r>
        <w:rPr>
          <w:rFonts w:hint="eastAsia" w:ascii="仿宋_GB2312" w:eastAsia="仿宋_GB2312"/>
          <w:color w:val="3D3D3D"/>
          <w:sz w:val="32"/>
          <w:szCs w:val="32"/>
        </w:rPr>
        <w:t>进一步完善和实施基础安全管理、监督检查等安全生产各项监管工作制度。定期组织安全生产监督检查，建立园区企业监督检查基础</w:t>
      </w:r>
      <w:r>
        <w:rPr>
          <w:rFonts w:hint="eastAsia" w:ascii="仿宋_GB2312" w:eastAsia="仿宋_GB2312"/>
          <w:color w:val="3D3D3D"/>
          <w:sz w:val="32"/>
          <w:szCs w:val="32"/>
          <w:lang w:eastAsia="zh-CN"/>
        </w:rPr>
        <w:t>台账</w:t>
      </w:r>
      <w:r>
        <w:rPr>
          <w:rFonts w:hint="eastAsia" w:ascii="仿宋_GB2312" w:eastAsia="仿宋_GB2312"/>
          <w:color w:val="3D3D3D"/>
          <w:sz w:val="32"/>
          <w:szCs w:val="32"/>
        </w:rPr>
        <w:t>，高危行业企业等重点企业应当实行“一企一档”。对园区内重大危险源进行登记建档，实行“一源一档”，加强对企业重大危险源监控情况的监督检查。</w:t>
      </w:r>
      <w:r>
        <w:rPr>
          <w:rFonts w:hint="eastAsia" w:ascii="仿宋_GB2312" w:eastAsia="仿宋_GB2312"/>
          <w:b/>
          <w:color w:val="3D3D3D"/>
          <w:sz w:val="32"/>
          <w:szCs w:val="32"/>
        </w:rPr>
        <w:t>二是</w:t>
      </w:r>
      <w:r>
        <w:rPr>
          <w:rFonts w:hint="eastAsia" w:ascii="仿宋_GB2312" w:eastAsia="仿宋_GB2312"/>
          <w:color w:val="3D3D3D"/>
          <w:sz w:val="32"/>
          <w:szCs w:val="32"/>
        </w:rPr>
        <w:t>建立健全安全生产事故隐患排查治理工作制度，按要求做好园区企业隐患排查治理情况统计上报和分析。督促企业按规范建立完善企业自身隐患排查治理工作制度，定期排查安全生产事故隐患并及时进行整改。重大事故隐患要建立“一患一档”并依相关规定实行“挂牌督办”。</w:t>
      </w:r>
      <w:r>
        <w:rPr>
          <w:rFonts w:hint="eastAsia" w:ascii="仿宋_GB2312" w:eastAsia="仿宋_GB2312"/>
          <w:b/>
          <w:color w:val="3D3D3D"/>
          <w:sz w:val="32"/>
          <w:szCs w:val="32"/>
        </w:rPr>
        <w:t>三是</w:t>
      </w:r>
      <w:r>
        <w:rPr>
          <w:rFonts w:hint="eastAsia" w:ascii="仿宋_GB2312" w:eastAsia="仿宋_GB2312"/>
          <w:color w:val="3D3D3D"/>
          <w:sz w:val="32"/>
          <w:szCs w:val="32"/>
        </w:rPr>
        <w:t>督促园区内企业，尤其是高危行业企业，制定完善针对性、实效性强的安全生产事故应急预案，建立专兼职应急救援队伍并适时开展应急救援演练。并采取多种形式宣传安全生产法律法规和方针政策，对园区企业和人民群众进行安全意识和安全知识教育，营造良好的安全生产环境。</w:t>
      </w:r>
    </w:p>
    <w:p w14:paraId="6C89B69B">
      <w:pPr>
        <w:widowControl/>
        <w:adjustRightInd w:val="0"/>
        <w:snapToGrid w:val="0"/>
        <w:spacing w:line="580" w:lineRule="exact"/>
        <w:ind w:firstLine="480" w:firstLineChars="150"/>
        <w:jc w:val="left"/>
        <w:rPr>
          <w:rFonts w:ascii="仿宋_GB2312" w:eastAsia="仿宋_GB2312"/>
          <w:color w:val="3D3D3D"/>
          <w:sz w:val="32"/>
          <w:szCs w:val="32"/>
        </w:rPr>
      </w:pPr>
    </w:p>
    <w:p w14:paraId="63C4D5C9">
      <w:pPr>
        <w:widowControl/>
        <w:adjustRightInd w:val="0"/>
        <w:snapToGrid w:val="0"/>
        <w:spacing w:line="580" w:lineRule="exact"/>
        <w:ind w:firstLine="480" w:firstLineChars="150"/>
        <w:jc w:val="left"/>
        <w:outlineLvl w:val="3"/>
        <w:rPr>
          <w:rFonts w:ascii="仿宋_GB2312" w:eastAsia="仿宋_GB2312"/>
          <w:color w:val="3D3D3D"/>
          <w:sz w:val="32"/>
          <w:szCs w:val="32"/>
        </w:rPr>
      </w:pPr>
      <w:r>
        <w:rPr>
          <w:rFonts w:hint="eastAsia" w:ascii="仿宋_GB2312" w:eastAsia="仿宋_GB2312"/>
          <w:color w:val="3D3D3D"/>
          <w:sz w:val="32"/>
          <w:szCs w:val="32"/>
        </w:rPr>
        <w:t>附件一：事故追责问责人员处理情况</w:t>
      </w:r>
    </w:p>
    <w:p w14:paraId="0A504229">
      <w:pPr>
        <w:widowControl/>
        <w:adjustRightInd w:val="0"/>
        <w:snapToGrid w:val="0"/>
        <w:spacing w:line="580" w:lineRule="exact"/>
        <w:ind w:firstLine="480" w:firstLineChars="150"/>
        <w:jc w:val="left"/>
        <w:rPr>
          <w:rFonts w:ascii="仿宋_GB2312" w:eastAsia="仿宋_GB2312"/>
          <w:color w:val="3D3D3D"/>
          <w:sz w:val="32"/>
          <w:szCs w:val="32"/>
        </w:rPr>
      </w:pPr>
      <w:r>
        <w:rPr>
          <w:rFonts w:hint="eastAsia" w:ascii="仿宋_GB2312" w:eastAsia="仿宋_GB2312"/>
          <w:color w:val="3D3D3D"/>
          <w:sz w:val="32"/>
          <w:szCs w:val="32"/>
        </w:rPr>
        <w:t>附件二：相关责任人员和责任单位行政处罚情况</w:t>
      </w:r>
    </w:p>
    <w:p w14:paraId="7955A9FD">
      <w:pPr>
        <w:widowControl/>
        <w:adjustRightInd w:val="0"/>
        <w:snapToGrid w:val="0"/>
        <w:spacing w:line="580" w:lineRule="exact"/>
        <w:ind w:firstLine="480" w:firstLineChars="150"/>
        <w:jc w:val="left"/>
        <w:rPr>
          <w:rFonts w:ascii="仿宋_GB2312" w:hAnsi="宋体" w:eastAsia="仿宋_GB2312" w:cs="宋体"/>
          <w:color w:val="000000"/>
          <w:kern w:val="0"/>
          <w:sz w:val="32"/>
          <w:szCs w:val="32"/>
        </w:rPr>
      </w:pPr>
      <w:r>
        <w:rPr>
          <w:rFonts w:hint="eastAsia" w:ascii="仿宋_GB2312" w:eastAsia="仿宋_GB2312"/>
          <w:color w:val="3D3D3D"/>
          <w:sz w:val="32"/>
          <w:szCs w:val="32"/>
        </w:rPr>
        <w:t>附件三：</w:t>
      </w:r>
      <w:r>
        <w:rPr>
          <w:rFonts w:hint="eastAsia" w:ascii="仿宋_GB2312" w:hAnsi="宋体" w:eastAsia="仿宋_GB2312" w:cs="宋体"/>
          <w:color w:val="000000"/>
          <w:kern w:val="0"/>
          <w:sz w:val="32"/>
          <w:szCs w:val="32"/>
        </w:rPr>
        <w:t>祁东县衡阳长宇生物科技有限公司注销证明</w:t>
      </w:r>
    </w:p>
    <w:p w14:paraId="12C7B422">
      <w:pPr>
        <w:widowControl/>
        <w:adjustRightInd w:val="0"/>
        <w:snapToGrid w:val="0"/>
        <w:spacing w:line="580" w:lineRule="exact"/>
        <w:ind w:firstLine="480" w:firstLineChars="15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附件四：事故现场整改情况</w:t>
      </w:r>
    </w:p>
    <w:p w14:paraId="6F1928E9">
      <w:pPr>
        <w:widowControl/>
        <w:adjustRightInd w:val="0"/>
        <w:snapToGrid w:val="0"/>
        <w:spacing w:line="580" w:lineRule="exact"/>
        <w:ind w:firstLine="480" w:firstLineChars="150"/>
        <w:jc w:val="left"/>
        <w:rPr>
          <w:rFonts w:ascii="仿宋_GB2312" w:eastAsia="仿宋_GB2312"/>
          <w:color w:val="3D3D3D"/>
          <w:sz w:val="32"/>
          <w:szCs w:val="32"/>
        </w:rPr>
      </w:pPr>
      <w:r>
        <w:rPr>
          <w:rFonts w:hint="eastAsia" w:ascii="仿宋_GB2312" w:hAnsi="宋体" w:eastAsia="仿宋_GB2312" w:cs="宋体"/>
          <w:color w:val="000000"/>
          <w:kern w:val="0"/>
          <w:sz w:val="32"/>
          <w:szCs w:val="32"/>
        </w:rPr>
        <w:t>附件五：祁东县高新区管理委员、祁东县城市管理综合行政执法局书面检查材料</w:t>
      </w:r>
    </w:p>
    <w:p w14:paraId="568F0BD3">
      <w:pPr>
        <w:widowControl/>
        <w:adjustRightInd w:val="0"/>
        <w:snapToGrid w:val="0"/>
        <w:spacing w:line="580" w:lineRule="exact"/>
        <w:ind w:firstLine="640"/>
        <w:jc w:val="left"/>
        <w:rPr>
          <w:rFonts w:ascii="宋体" w:hAnsi="宋体" w:eastAsia="宋体" w:cs="宋体"/>
          <w:kern w:val="0"/>
          <w:sz w:val="24"/>
        </w:rPr>
      </w:pPr>
    </w:p>
    <w:p w14:paraId="607C8050">
      <w:pPr>
        <w:widowControl/>
        <w:adjustRightInd w:val="0"/>
        <w:snapToGrid w:val="0"/>
        <w:spacing w:line="580" w:lineRule="exact"/>
        <w:ind w:firstLine="3200" w:firstLineChars="1000"/>
        <w:jc w:val="left"/>
        <w:rPr>
          <w:rFonts w:hint="eastAsia" w:ascii="仿宋_GB2312" w:eastAsia="仿宋_GB2312"/>
          <w:sz w:val="32"/>
          <w:szCs w:val="30"/>
        </w:rPr>
      </w:pPr>
      <w:r>
        <w:rPr>
          <w:rFonts w:hint="eastAsia" w:ascii="仿宋_GB2312" w:eastAsia="仿宋_GB2312"/>
          <w:sz w:val="32"/>
          <w:szCs w:val="30"/>
        </w:rPr>
        <w:t>衡阳长宇生物科技有限公司</w:t>
      </w:r>
    </w:p>
    <w:p w14:paraId="48844C89">
      <w:pPr>
        <w:widowControl/>
        <w:adjustRightInd w:val="0"/>
        <w:snapToGrid w:val="0"/>
        <w:spacing w:line="580" w:lineRule="exact"/>
        <w:ind w:firstLine="3200" w:firstLineChars="1000"/>
        <w:jc w:val="left"/>
        <w:rPr>
          <w:rFonts w:hint="eastAsia" w:ascii="仿宋_GB2312" w:eastAsia="仿宋_GB2312"/>
          <w:sz w:val="32"/>
          <w:szCs w:val="30"/>
        </w:rPr>
      </w:pPr>
      <w:r>
        <w:rPr>
          <w:rFonts w:hint="eastAsia" w:ascii="仿宋_GB2312" w:eastAsia="仿宋_GB2312"/>
          <w:sz w:val="32"/>
          <w:szCs w:val="30"/>
        </w:rPr>
        <w:t>“12·18”一般中毒事故</w:t>
      </w:r>
    </w:p>
    <w:p w14:paraId="6E35AB27">
      <w:pPr>
        <w:widowControl/>
        <w:adjustRightInd w:val="0"/>
        <w:snapToGrid w:val="0"/>
        <w:spacing w:line="580" w:lineRule="exact"/>
        <w:ind w:firstLine="2880" w:firstLineChars="900"/>
        <w:jc w:val="left"/>
        <w:rPr>
          <w:rFonts w:hint="default" w:ascii="Times New Roman" w:hAnsi="Times New Roman" w:eastAsia="CESI仿宋-GB2312" w:cs="Times New Roman"/>
          <w:sz w:val="32"/>
          <w:szCs w:val="32"/>
          <w:highlight w:val="none"/>
          <w:lang w:val="en-US" w:eastAsia="zh-CN"/>
        </w:rPr>
      </w:pPr>
      <w:r>
        <w:rPr>
          <w:rFonts w:hint="eastAsia" w:ascii="仿宋_GB2312" w:eastAsia="仿宋_GB2312"/>
          <w:color w:val="000000"/>
          <w:sz w:val="32"/>
          <w:szCs w:val="32"/>
          <w:lang w:eastAsia="zh-CN"/>
        </w:rPr>
        <w:t>防范</w:t>
      </w:r>
      <w:r>
        <w:rPr>
          <w:rFonts w:hint="eastAsia" w:ascii="仿宋_GB2312" w:eastAsia="仿宋_GB2312"/>
          <w:color w:val="000000"/>
          <w:sz w:val="32"/>
          <w:szCs w:val="32"/>
        </w:rPr>
        <w:t>整改措施落实情况评估</w:t>
      </w:r>
      <w:r>
        <w:rPr>
          <w:rFonts w:hint="eastAsia" w:ascii="仿宋_GB2312" w:eastAsia="仿宋_GB2312"/>
          <w:color w:val="000000"/>
          <w:sz w:val="32"/>
          <w:szCs w:val="32"/>
          <w:lang w:eastAsia="zh-CN"/>
        </w:rPr>
        <w:t>组</w:t>
      </w:r>
      <w:r>
        <w:rPr>
          <w:rFonts w:hint="default" w:ascii="Times New Roman" w:hAnsi="Times New Roman" w:eastAsia="CESI仿宋-GB2312" w:cs="Times New Roman"/>
          <w:sz w:val="32"/>
          <w:szCs w:val="32"/>
          <w:highlight w:val="none"/>
          <w:lang w:val="en-US" w:eastAsia="zh-CN"/>
        </w:rPr>
        <w:t xml:space="preserve"> </w:t>
      </w:r>
    </w:p>
    <w:p w14:paraId="460B8720">
      <w:pPr>
        <w:widowControl/>
        <w:adjustRightInd w:val="0"/>
        <w:snapToGrid w:val="0"/>
        <w:spacing w:line="580" w:lineRule="exact"/>
        <w:ind w:firstLine="640"/>
        <w:jc w:val="left"/>
        <w:rPr>
          <w:rFonts w:ascii="宋体" w:hAnsi="宋体" w:eastAsia="宋体" w:cs="宋体"/>
          <w:kern w:val="0"/>
          <w:sz w:val="24"/>
        </w:rPr>
      </w:pPr>
      <w:r>
        <w:rPr>
          <w:rFonts w:hint="eastAsia" w:ascii="Times New Roman" w:hAnsi="Times New Roman" w:eastAsia="CESI仿宋-GB2312" w:cs="Times New Roman"/>
          <w:sz w:val="32"/>
          <w:szCs w:val="32"/>
          <w:highlight w:val="none"/>
          <w:lang w:val="en-US" w:eastAsia="zh-CN"/>
        </w:rPr>
        <w:t xml:space="preserve">                   </w:t>
      </w:r>
      <w:r>
        <w:rPr>
          <w:rFonts w:hint="default" w:ascii="Times New Roman" w:hAnsi="Times New Roman" w:eastAsia="CESI仿宋-GB2312" w:cs="Times New Roman"/>
          <w:sz w:val="32"/>
          <w:szCs w:val="32"/>
          <w:highlight w:val="none"/>
          <w:lang w:val="en-US" w:eastAsia="zh-CN"/>
        </w:rPr>
        <w:t>202</w:t>
      </w:r>
      <w:r>
        <w:rPr>
          <w:rFonts w:hint="eastAsia" w:ascii="Times New Roman" w:hAnsi="Times New Roman" w:eastAsia="CESI仿宋-GB2312" w:cs="Times New Roman"/>
          <w:sz w:val="32"/>
          <w:szCs w:val="32"/>
          <w:highlight w:val="none"/>
          <w:lang w:val="en-US" w:eastAsia="zh-CN"/>
        </w:rPr>
        <w:t>5</w:t>
      </w:r>
      <w:r>
        <w:rPr>
          <w:rFonts w:hint="default" w:ascii="Times New Roman" w:hAnsi="Times New Roman" w:eastAsia="CESI仿宋-GB2312" w:cs="Times New Roman"/>
          <w:sz w:val="32"/>
          <w:szCs w:val="32"/>
          <w:highlight w:val="none"/>
        </w:rPr>
        <w:t>年</w:t>
      </w:r>
      <w:r>
        <w:rPr>
          <w:rFonts w:hint="eastAsia" w:ascii="Times New Roman" w:hAnsi="Times New Roman" w:eastAsia="CESI仿宋-GB2312" w:cs="Times New Roman"/>
          <w:sz w:val="32"/>
          <w:szCs w:val="32"/>
          <w:highlight w:val="none"/>
          <w:lang w:val="en-US" w:eastAsia="zh-CN"/>
        </w:rPr>
        <w:t>6</w:t>
      </w:r>
      <w:r>
        <w:rPr>
          <w:rFonts w:hint="default" w:ascii="Times New Roman" w:hAnsi="Times New Roman" w:eastAsia="CESI仿宋-GB2312" w:cs="Times New Roman"/>
          <w:sz w:val="32"/>
          <w:szCs w:val="32"/>
          <w:highlight w:val="none"/>
        </w:rPr>
        <w:t>月</w:t>
      </w:r>
      <w:r>
        <w:rPr>
          <w:rFonts w:hint="eastAsia" w:ascii="Times New Roman" w:hAnsi="Times New Roman" w:eastAsia="CESI仿宋-GB2312" w:cs="Times New Roman"/>
          <w:sz w:val="32"/>
          <w:szCs w:val="32"/>
          <w:highlight w:val="none"/>
          <w:lang w:val="en-US" w:eastAsia="zh-CN"/>
        </w:rPr>
        <w:t>6</w:t>
      </w:r>
      <w:r>
        <w:rPr>
          <w:rFonts w:hint="default" w:ascii="Times New Roman" w:hAnsi="Times New Roman" w:eastAsia="CESI仿宋-GB2312" w:cs="Times New Roman"/>
          <w:sz w:val="32"/>
          <w:szCs w:val="32"/>
          <w:highlight w:val="none"/>
        </w:rPr>
        <w:t>日</w:t>
      </w:r>
      <w:r>
        <w:rPr>
          <w:rFonts w:hint="default" w:ascii="Times New Roman" w:hAnsi="Times New Roman" w:eastAsia="CESI仿宋-GB2312" w:cs="Times New Roman"/>
          <w:sz w:val="32"/>
          <w:szCs w:val="32"/>
          <w:highlight w:val="none"/>
          <w:lang w:val="en-US" w:eastAsia="zh-CN"/>
        </w:rPr>
        <w:t xml:space="preserve"> </w:t>
      </w:r>
    </w:p>
    <w:p w14:paraId="2D9C81A9">
      <w:pPr>
        <w:widowControl/>
        <w:adjustRightInd w:val="0"/>
        <w:snapToGrid w:val="0"/>
        <w:spacing w:line="580" w:lineRule="exact"/>
        <w:ind w:firstLine="640"/>
        <w:jc w:val="left"/>
        <w:rPr>
          <w:rFonts w:ascii="宋体" w:hAnsi="宋体" w:eastAsia="宋体" w:cs="宋体"/>
          <w:kern w:val="0"/>
          <w:sz w:val="24"/>
        </w:rPr>
      </w:pPr>
    </w:p>
    <w:p w14:paraId="0F665561">
      <w:pPr>
        <w:widowControl/>
        <w:shd w:val="clear" w:color="auto" w:fill="FFFFFF"/>
        <w:adjustRightInd w:val="0"/>
        <w:snapToGrid w:val="0"/>
        <w:spacing w:line="580" w:lineRule="exact"/>
        <w:jc w:val="left"/>
        <w:rPr>
          <w:rFonts w:ascii="仿宋" w:hAnsi="仿宋" w:eastAsia="仿宋" w:cs="仿宋"/>
          <w:color w:val="000000"/>
          <w:kern w:val="0"/>
          <w:sz w:val="32"/>
          <w:szCs w:val="32"/>
          <w:shd w:val="clear" w:color="auto" w:fill="FFFFFF"/>
        </w:rPr>
      </w:pPr>
      <w:r>
        <w:drawing>
          <wp:anchor distT="0" distB="0" distL="114300" distR="114300" simplePos="0" relativeHeight="251659264" behindDoc="0" locked="0" layoutInCell="1" allowOverlap="1">
            <wp:simplePos x="0" y="0"/>
            <wp:positionH relativeFrom="margin">
              <wp:posOffset>-52070</wp:posOffset>
            </wp:positionH>
            <wp:positionV relativeFrom="margin">
              <wp:posOffset>491490</wp:posOffset>
            </wp:positionV>
            <wp:extent cx="5274310" cy="7161530"/>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74310" cy="7161530"/>
                    </a:xfrm>
                    <a:prstGeom prst="rect">
                      <a:avLst/>
                    </a:prstGeom>
                  </pic:spPr>
                </pic:pic>
              </a:graphicData>
            </a:graphic>
          </wp:anchor>
        </w:drawing>
      </w:r>
      <w:r>
        <w:rPr>
          <w:rFonts w:hint="eastAsia" w:ascii="仿宋" w:hAnsi="仿宋" w:eastAsia="仿宋" w:cs="仿宋"/>
          <w:color w:val="000000"/>
          <w:kern w:val="0"/>
          <w:sz w:val="32"/>
          <w:szCs w:val="32"/>
          <w:shd w:val="clear" w:color="auto" w:fill="FFFFFF"/>
        </w:rPr>
        <w:t>附件一:</w:t>
      </w:r>
    </w:p>
    <w:p w14:paraId="2310B3AA">
      <w:pPr>
        <w:widowControl/>
        <w:shd w:val="clear" w:color="auto" w:fill="FFFFFF"/>
        <w:adjustRightInd w:val="0"/>
        <w:snapToGrid w:val="0"/>
        <w:spacing w:line="580" w:lineRule="exact"/>
        <w:jc w:val="left"/>
        <w:rPr>
          <w:rFonts w:ascii="仿宋" w:hAnsi="仿宋" w:eastAsia="仿宋" w:cs="仿宋"/>
          <w:color w:val="000000"/>
          <w:kern w:val="0"/>
          <w:sz w:val="32"/>
          <w:szCs w:val="32"/>
          <w:shd w:val="clear" w:color="auto" w:fill="FFFFFF"/>
        </w:rPr>
      </w:pPr>
    </w:p>
    <w:p w14:paraId="70452599">
      <w:pPr>
        <w:widowControl/>
        <w:shd w:val="clear" w:color="auto" w:fill="FFFFFF"/>
        <w:adjustRightInd w:val="0"/>
        <w:snapToGrid w:val="0"/>
        <w:spacing w:line="580" w:lineRule="exact"/>
        <w:jc w:val="left"/>
        <w:rPr>
          <w:rFonts w:ascii="仿宋" w:hAnsi="仿宋" w:eastAsia="仿宋" w:cs="仿宋"/>
          <w:color w:val="000000"/>
          <w:kern w:val="0"/>
          <w:sz w:val="32"/>
          <w:szCs w:val="32"/>
          <w:shd w:val="clear" w:color="auto" w:fill="FFFFFF"/>
        </w:rPr>
      </w:pPr>
    </w:p>
    <w:p w14:paraId="55A510B1">
      <w:pPr>
        <w:widowControl/>
        <w:shd w:val="clear" w:color="auto" w:fill="FFFFFF"/>
        <w:adjustRightInd w:val="0"/>
        <w:snapToGrid w:val="0"/>
        <w:spacing w:line="580" w:lineRule="exact"/>
        <w:jc w:val="left"/>
        <w:rPr>
          <w:rFonts w:ascii="仿宋" w:hAnsi="仿宋" w:eastAsia="仿宋" w:cs="仿宋"/>
          <w:color w:val="000000"/>
          <w:kern w:val="0"/>
          <w:sz w:val="32"/>
          <w:szCs w:val="32"/>
          <w:shd w:val="clear" w:color="auto" w:fill="FFFFFF"/>
        </w:rPr>
      </w:pPr>
    </w:p>
    <w:p w14:paraId="265451C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0288" behindDoc="0" locked="0" layoutInCell="1" allowOverlap="1">
            <wp:simplePos x="0" y="0"/>
            <wp:positionH relativeFrom="margin">
              <wp:align>left</wp:align>
            </wp:positionH>
            <wp:positionV relativeFrom="margin">
              <wp:align>top</wp:align>
            </wp:positionV>
            <wp:extent cx="5274310" cy="6920865"/>
            <wp:effectExtent l="0" t="0" r="0"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6920865"/>
                    </a:xfrm>
                    <a:prstGeom prst="rect">
                      <a:avLst/>
                    </a:prstGeom>
                  </pic:spPr>
                </pic:pic>
              </a:graphicData>
            </a:graphic>
          </wp:anchor>
        </w:drawing>
      </w:r>
      <w:r>
        <w:rPr>
          <w:rFonts w:hint="eastAsia" w:ascii="仿宋" w:hAnsi="仿宋" w:eastAsia="仿宋" w:cs="仿宋"/>
          <w:color w:val="000000"/>
          <w:kern w:val="0"/>
          <w:sz w:val="32"/>
          <w:szCs w:val="32"/>
          <w:shd w:val="clear" w:color="auto" w:fill="FFFFFF"/>
        </w:rPr>
        <w:t>关于给予周悬峰政务警告处分的决定</w:t>
      </w:r>
    </w:p>
    <w:p w14:paraId="18A424AA">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CF870A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DB8076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92C506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D16E45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1312" behindDoc="0" locked="0" layoutInCell="1" allowOverlap="1">
            <wp:simplePos x="0" y="0"/>
            <wp:positionH relativeFrom="margin">
              <wp:posOffset>-155575</wp:posOffset>
            </wp:positionH>
            <wp:positionV relativeFrom="margin">
              <wp:posOffset>232410</wp:posOffset>
            </wp:positionV>
            <wp:extent cx="5274310" cy="7019925"/>
            <wp:effectExtent l="0" t="0" r="0" b="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7019925"/>
                    </a:xfrm>
                    <a:prstGeom prst="rect">
                      <a:avLst/>
                    </a:prstGeom>
                  </pic:spPr>
                </pic:pic>
              </a:graphicData>
            </a:graphic>
          </wp:anchor>
        </w:drawing>
      </w:r>
    </w:p>
    <w:p w14:paraId="2EB7575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2409DB3">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E77457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E68D9B2">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关于给予王雄兰政务警告处分的决定</w:t>
      </w:r>
    </w:p>
    <w:p w14:paraId="1342C47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3360" behindDoc="0" locked="0" layoutInCell="1" allowOverlap="1">
            <wp:simplePos x="0" y="0"/>
            <wp:positionH relativeFrom="margin">
              <wp:align>left</wp:align>
            </wp:positionH>
            <wp:positionV relativeFrom="margin">
              <wp:align>top</wp:align>
            </wp:positionV>
            <wp:extent cx="5274310" cy="6640195"/>
            <wp:effectExtent l="0" t="0" r="0" b="0"/>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6640195"/>
                    </a:xfrm>
                    <a:prstGeom prst="rect">
                      <a:avLst/>
                    </a:prstGeom>
                  </pic:spPr>
                </pic:pic>
              </a:graphicData>
            </a:graphic>
          </wp:anchor>
        </w:drawing>
      </w:r>
    </w:p>
    <w:p w14:paraId="72956B0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9920023">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86F86D2">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CF4BD9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9499FFB">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4384" behindDoc="0" locked="0" layoutInCell="1" allowOverlap="1">
            <wp:simplePos x="0" y="0"/>
            <wp:positionH relativeFrom="margin">
              <wp:align>left</wp:align>
            </wp:positionH>
            <wp:positionV relativeFrom="margin">
              <wp:align>top</wp:align>
            </wp:positionV>
            <wp:extent cx="5274310" cy="6590665"/>
            <wp:effectExtent l="0" t="0" r="0" b="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6590665"/>
                    </a:xfrm>
                    <a:prstGeom prst="rect">
                      <a:avLst/>
                    </a:prstGeom>
                  </pic:spPr>
                </pic:pic>
              </a:graphicData>
            </a:graphic>
          </wp:anchor>
        </w:drawing>
      </w:r>
    </w:p>
    <w:p w14:paraId="151F0D7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C128A5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2F9F5B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39EEBD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066621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ECE64C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5408" behindDoc="0" locked="0" layoutInCell="1" allowOverlap="1">
            <wp:simplePos x="0" y="0"/>
            <wp:positionH relativeFrom="margin">
              <wp:align>left</wp:align>
            </wp:positionH>
            <wp:positionV relativeFrom="margin">
              <wp:align>top</wp:align>
            </wp:positionV>
            <wp:extent cx="5274310" cy="7485380"/>
            <wp:effectExtent l="0" t="0" r="0" b="0"/>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7485380"/>
                    </a:xfrm>
                    <a:prstGeom prst="rect">
                      <a:avLst/>
                    </a:prstGeom>
                  </pic:spPr>
                </pic:pic>
              </a:graphicData>
            </a:graphic>
          </wp:anchor>
        </w:drawing>
      </w:r>
    </w:p>
    <w:p w14:paraId="606314B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关于给予张亮政务警告处分的决定</w:t>
      </w:r>
    </w:p>
    <w:p w14:paraId="7CD0707A">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0A62C603">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6432" behindDoc="0" locked="0" layoutInCell="1" allowOverlap="1">
            <wp:simplePos x="0" y="0"/>
            <wp:positionH relativeFrom="margin">
              <wp:align>left</wp:align>
            </wp:positionH>
            <wp:positionV relativeFrom="margin">
              <wp:align>top</wp:align>
            </wp:positionV>
            <wp:extent cx="5274310" cy="6772910"/>
            <wp:effectExtent l="0" t="0" r="0" b="0"/>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6772910"/>
                    </a:xfrm>
                    <a:prstGeom prst="rect">
                      <a:avLst/>
                    </a:prstGeom>
                  </pic:spPr>
                </pic:pic>
              </a:graphicData>
            </a:graphic>
          </wp:anchor>
        </w:drawing>
      </w:r>
    </w:p>
    <w:p w14:paraId="38EEDDD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903A63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B509E2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098C800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5EBF80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7456" behindDoc="0" locked="0" layoutInCell="1" allowOverlap="1">
            <wp:simplePos x="0" y="0"/>
            <wp:positionH relativeFrom="margin">
              <wp:align>left</wp:align>
            </wp:positionH>
            <wp:positionV relativeFrom="margin">
              <wp:align>top</wp:align>
            </wp:positionV>
            <wp:extent cx="5274310" cy="7658735"/>
            <wp:effectExtent l="0" t="0" r="0" b="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7658735"/>
                    </a:xfrm>
                    <a:prstGeom prst="rect">
                      <a:avLst/>
                    </a:prstGeom>
                  </pic:spPr>
                </pic:pic>
              </a:graphicData>
            </a:graphic>
          </wp:anchor>
        </w:drawing>
      </w:r>
    </w:p>
    <w:p w14:paraId="42CC22F2">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89FAD9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C15D6E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69504" behindDoc="0" locked="0" layoutInCell="1" allowOverlap="1">
            <wp:simplePos x="0" y="0"/>
            <wp:positionH relativeFrom="margin">
              <wp:align>left</wp:align>
            </wp:positionH>
            <wp:positionV relativeFrom="margin">
              <wp:align>top</wp:align>
            </wp:positionV>
            <wp:extent cx="5274310" cy="7539990"/>
            <wp:effectExtent l="0" t="0" r="0" b="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7539990"/>
                    </a:xfrm>
                    <a:prstGeom prst="rect">
                      <a:avLst/>
                    </a:prstGeom>
                  </pic:spPr>
                </pic:pic>
              </a:graphicData>
            </a:graphic>
          </wp:anchor>
        </w:drawing>
      </w:r>
      <w:r>
        <w:rPr>
          <w:rFonts w:hint="eastAsia" w:ascii="仿宋" w:hAnsi="仿宋" w:eastAsia="仿宋" w:cs="仿宋"/>
          <w:color w:val="000000"/>
          <w:kern w:val="0"/>
          <w:sz w:val="32"/>
          <w:szCs w:val="32"/>
          <w:shd w:val="clear" w:color="auto" w:fill="FFFFFF"/>
        </w:rPr>
        <w:t>邱运鹏提醒谈话笔录</w:t>
      </w:r>
    </w:p>
    <w:p w14:paraId="462DB40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57B7FC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BA2B09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0528" behindDoc="0" locked="0" layoutInCell="1" allowOverlap="1">
            <wp:simplePos x="0" y="0"/>
            <wp:positionH relativeFrom="margin">
              <wp:align>left</wp:align>
            </wp:positionH>
            <wp:positionV relativeFrom="margin">
              <wp:align>top</wp:align>
            </wp:positionV>
            <wp:extent cx="5274310" cy="7354570"/>
            <wp:effectExtent l="0" t="0" r="0" b="0"/>
            <wp:wrapSquare wrapText="bothSides"/>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7354570"/>
                    </a:xfrm>
                    <a:prstGeom prst="rect">
                      <a:avLst/>
                    </a:prstGeom>
                  </pic:spPr>
                </pic:pic>
              </a:graphicData>
            </a:graphic>
          </wp:anchor>
        </w:drawing>
      </w:r>
    </w:p>
    <w:p w14:paraId="1EF38F4B">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4C08B7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80ABD6A">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A87D4A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1552" behindDoc="0" locked="0" layoutInCell="1" allowOverlap="1">
            <wp:simplePos x="0" y="0"/>
            <wp:positionH relativeFrom="margin">
              <wp:align>left</wp:align>
            </wp:positionH>
            <wp:positionV relativeFrom="margin">
              <wp:align>top</wp:align>
            </wp:positionV>
            <wp:extent cx="5274310" cy="7428230"/>
            <wp:effectExtent l="0" t="0" r="0" b="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7428230"/>
                    </a:xfrm>
                    <a:prstGeom prst="rect">
                      <a:avLst/>
                    </a:prstGeom>
                  </pic:spPr>
                </pic:pic>
              </a:graphicData>
            </a:graphic>
          </wp:anchor>
        </w:drawing>
      </w:r>
    </w:p>
    <w:p w14:paraId="2826384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2DDF20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378843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2576" behindDoc="0" locked="0" layoutInCell="1" allowOverlap="1">
            <wp:simplePos x="0" y="0"/>
            <wp:positionH relativeFrom="margin">
              <wp:align>left</wp:align>
            </wp:positionH>
            <wp:positionV relativeFrom="margin">
              <wp:align>top</wp:align>
            </wp:positionV>
            <wp:extent cx="5274310" cy="7508875"/>
            <wp:effectExtent l="0" t="0" r="0" b="0"/>
            <wp:wrapSquare wrapText="bothSides"/>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7508875"/>
                    </a:xfrm>
                    <a:prstGeom prst="rect">
                      <a:avLst/>
                    </a:prstGeom>
                  </pic:spPr>
                </pic:pic>
              </a:graphicData>
            </a:graphic>
          </wp:anchor>
        </w:drawing>
      </w:r>
      <w:r>
        <w:rPr>
          <w:rFonts w:hint="eastAsia" w:ascii="仿宋" w:hAnsi="仿宋" w:eastAsia="仿宋" w:cs="仿宋"/>
          <w:color w:val="000000"/>
          <w:kern w:val="0"/>
          <w:sz w:val="32"/>
          <w:szCs w:val="32"/>
          <w:shd w:val="clear" w:color="auto" w:fill="FFFFFF"/>
        </w:rPr>
        <w:t>谭国华谈话提醒笔录</w:t>
      </w:r>
    </w:p>
    <w:p w14:paraId="74D2816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A342DF3">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D67F803">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3600" behindDoc="0" locked="0" layoutInCell="1" allowOverlap="1">
            <wp:simplePos x="0" y="0"/>
            <wp:positionH relativeFrom="margin">
              <wp:align>left</wp:align>
            </wp:positionH>
            <wp:positionV relativeFrom="margin">
              <wp:align>top</wp:align>
            </wp:positionV>
            <wp:extent cx="5274310" cy="7468235"/>
            <wp:effectExtent l="0" t="0" r="0" b="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7468235"/>
                    </a:xfrm>
                    <a:prstGeom prst="rect">
                      <a:avLst/>
                    </a:prstGeom>
                  </pic:spPr>
                </pic:pic>
              </a:graphicData>
            </a:graphic>
          </wp:anchor>
        </w:drawing>
      </w:r>
    </w:p>
    <w:p w14:paraId="0E429E9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157A5D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2C56C33">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4624" behindDoc="0" locked="0" layoutInCell="1" allowOverlap="1">
            <wp:simplePos x="0" y="0"/>
            <wp:positionH relativeFrom="margin">
              <wp:align>left</wp:align>
            </wp:positionH>
            <wp:positionV relativeFrom="margin">
              <wp:align>top</wp:align>
            </wp:positionV>
            <wp:extent cx="5274310" cy="7508875"/>
            <wp:effectExtent l="0" t="0" r="0" b="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7508875"/>
                    </a:xfrm>
                    <a:prstGeom prst="rect">
                      <a:avLst/>
                    </a:prstGeom>
                  </pic:spPr>
                </pic:pic>
              </a:graphicData>
            </a:graphic>
          </wp:anchor>
        </w:drawing>
      </w:r>
    </w:p>
    <w:p w14:paraId="624A830B">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4D0DA5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E2C408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5648" behindDoc="0" locked="0" layoutInCell="1" allowOverlap="1">
            <wp:simplePos x="0" y="0"/>
            <wp:positionH relativeFrom="margin">
              <wp:align>left</wp:align>
            </wp:positionH>
            <wp:positionV relativeFrom="margin">
              <wp:align>top</wp:align>
            </wp:positionV>
            <wp:extent cx="5274310" cy="7227570"/>
            <wp:effectExtent l="0" t="0" r="0" b="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7227570"/>
                    </a:xfrm>
                    <a:prstGeom prst="rect">
                      <a:avLst/>
                    </a:prstGeom>
                  </pic:spPr>
                </pic:pic>
              </a:graphicData>
            </a:graphic>
          </wp:anchor>
        </w:drawing>
      </w:r>
    </w:p>
    <w:p w14:paraId="327D80A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周水清谈话提醒笔录</w:t>
      </w:r>
    </w:p>
    <w:p w14:paraId="3E1F3E8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F6B878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5D39E12">
      <w:pPr>
        <w:widowControl/>
        <w:shd w:val="clear" w:color="auto" w:fill="FFFFFF"/>
        <w:adjustRightInd w:val="0"/>
        <w:snapToGrid w:val="0"/>
        <w:spacing w:line="580" w:lineRule="exact"/>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附件二：</w:t>
      </w:r>
    </w:p>
    <w:p w14:paraId="5E21A86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A6A9A3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6672" behindDoc="0" locked="0" layoutInCell="1" allowOverlap="1">
            <wp:simplePos x="0" y="0"/>
            <wp:positionH relativeFrom="margin">
              <wp:align>left</wp:align>
            </wp:positionH>
            <wp:positionV relativeFrom="margin">
              <wp:posOffset>1242060</wp:posOffset>
            </wp:positionV>
            <wp:extent cx="5274310" cy="7407910"/>
            <wp:effectExtent l="0" t="0" r="0" b="0"/>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7407910"/>
                    </a:xfrm>
                    <a:prstGeom prst="rect">
                      <a:avLst/>
                    </a:prstGeom>
                  </pic:spPr>
                </pic:pic>
              </a:graphicData>
            </a:graphic>
          </wp:anchor>
        </w:drawing>
      </w:r>
    </w:p>
    <w:p w14:paraId="5DA9DAB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7696" behindDoc="0" locked="0" layoutInCell="1" allowOverlap="1">
            <wp:simplePos x="0" y="0"/>
            <wp:positionH relativeFrom="margin">
              <wp:align>left</wp:align>
            </wp:positionH>
            <wp:positionV relativeFrom="margin">
              <wp:align>top</wp:align>
            </wp:positionV>
            <wp:extent cx="5274310" cy="6997700"/>
            <wp:effectExtent l="0" t="0" r="0" b="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6997700"/>
                    </a:xfrm>
                    <a:prstGeom prst="rect">
                      <a:avLst/>
                    </a:prstGeom>
                  </pic:spPr>
                </pic:pic>
              </a:graphicData>
            </a:graphic>
          </wp:anchor>
        </w:drawing>
      </w:r>
    </w:p>
    <w:p w14:paraId="7588E76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何建柏行政处罚决定书</w:t>
      </w:r>
    </w:p>
    <w:p w14:paraId="3506EC1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121760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94ECCC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4C28D8C">
      <w:pPr>
        <w:widowControl/>
        <w:shd w:val="clear" w:color="auto" w:fill="FFFFFF"/>
        <w:adjustRightInd w:val="0"/>
        <w:snapToGrid w:val="0"/>
        <w:spacing w:line="580" w:lineRule="exact"/>
        <w:rPr>
          <w:rFonts w:ascii="仿宋" w:hAnsi="仿宋" w:eastAsia="仿宋" w:cs="仿宋"/>
          <w:color w:val="000000"/>
          <w:kern w:val="0"/>
          <w:sz w:val="32"/>
          <w:szCs w:val="32"/>
          <w:shd w:val="clear" w:color="auto" w:fill="FFFFFF"/>
        </w:rPr>
      </w:pPr>
      <w:r>
        <w:rPr>
          <w:rFonts w:ascii="仿宋" w:hAnsi="仿宋" w:eastAsia="仿宋" w:cs="仿宋"/>
          <w:color w:val="000000"/>
          <w:kern w:val="0"/>
          <w:sz w:val="32"/>
          <w:szCs w:val="32"/>
          <w:shd w:val="clear" w:color="auto" w:fill="FFFFFF"/>
        </w:rPr>
        <w:drawing>
          <wp:anchor distT="0" distB="0" distL="114300" distR="114300" simplePos="0" relativeHeight="251686912" behindDoc="0" locked="0" layoutInCell="1" allowOverlap="1">
            <wp:simplePos x="0" y="0"/>
            <wp:positionH relativeFrom="margin">
              <wp:align>left</wp:align>
            </wp:positionH>
            <wp:positionV relativeFrom="margin">
              <wp:posOffset>4112260</wp:posOffset>
            </wp:positionV>
            <wp:extent cx="5274310" cy="2966720"/>
            <wp:effectExtent l="0" t="0" r="0" b="0"/>
            <wp:wrapSquare wrapText="bothSides"/>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2966720"/>
                    </a:xfrm>
                    <a:prstGeom prst="rect">
                      <a:avLst/>
                    </a:prstGeom>
                  </pic:spPr>
                </pic:pic>
              </a:graphicData>
            </a:graphic>
          </wp:anchor>
        </w:drawing>
      </w:r>
      <w:r>
        <w:rPr>
          <w:rFonts w:ascii="仿宋" w:hAnsi="仿宋" w:eastAsia="仿宋" w:cs="仿宋"/>
          <w:color w:val="000000"/>
          <w:kern w:val="0"/>
          <w:sz w:val="32"/>
          <w:szCs w:val="32"/>
          <w:shd w:val="clear" w:color="auto" w:fill="FFFFFF"/>
        </w:rPr>
        <w:drawing>
          <wp:anchor distT="0" distB="0" distL="114300" distR="114300" simplePos="0" relativeHeight="251673600" behindDoc="0" locked="0" layoutInCell="1" allowOverlap="1">
            <wp:simplePos x="0" y="0"/>
            <wp:positionH relativeFrom="margin">
              <wp:align>left</wp:align>
            </wp:positionH>
            <wp:positionV relativeFrom="margin">
              <wp:align>top</wp:align>
            </wp:positionV>
            <wp:extent cx="5270500" cy="2820670"/>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2822749"/>
                    </a:xfrm>
                    <a:prstGeom prst="rect">
                      <a:avLst/>
                    </a:prstGeom>
                  </pic:spPr>
                </pic:pic>
              </a:graphicData>
            </a:graphic>
          </wp:anchor>
        </w:drawing>
      </w:r>
    </w:p>
    <w:p w14:paraId="3DAEA68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祁东县湖南长城科技有限公司缴款证明</w:t>
      </w:r>
    </w:p>
    <w:p w14:paraId="05FB230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0C7C9D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6E211A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龙礼辉缴款证明</w:t>
      </w:r>
    </w:p>
    <w:p w14:paraId="29F8527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26D9F9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36EC22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458210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BAC530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045AFC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74BD472">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3CF34B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DCE7E8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0A14E2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4D2F40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767DEC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D1A4958">
      <w:pPr>
        <w:widowControl/>
        <w:shd w:val="clear" w:color="auto" w:fill="FFFFFF"/>
        <w:adjustRightInd w:val="0"/>
        <w:snapToGrid w:val="0"/>
        <w:spacing w:line="580" w:lineRule="exact"/>
        <w:rPr>
          <w:rFonts w:ascii="仿宋" w:hAnsi="仿宋" w:eastAsia="仿宋" w:cs="仿宋"/>
          <w:color w:val="000000"/>
          <w:kern w:val="0"/>
          <w:sz w:val="32"/>
          <w:szCs w:val="32"/>
          <w:shd w:val="clear" w:color="auto" w:fill="FFFFFF"/>
        </w:rPr>
      </w:pPr>
    </w:p>
    <w:p w14:paraId="770FC27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26F88F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0EBA046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B41503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276365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7E7E06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ECBA15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9754A9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0200FE3">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203EE5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844BA7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195D57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9E89697">
      <w:pPr>
        <w:widowControl/>
        <w:shd w:val="clear" w:color="auto" w:fill="FFFFFF"/>
        <w:adjustRightInd w:val="0"/>
        <w:snapToGrid w:val="0"/>
        <w:spacing w:line="580" w:lineRule="exact"/>
        <w:rPr>
          <w:rFonts w:ascii="仿宋" w:hAnsi="仿宋" w:eastAsia="仿宋" w:cs="仿宋"/>
          <w:color w:val="000000"/>
          <w:kern w:val="0"/>
          <w:sz w:val="32"/>
          <w:szCs w:val="32"/>
          <w:shd w:val="clear" w:color="auto" w:fill="FFFFFF"/>
        </w:rPr>
      </w:pPr>
    </w:p>
    <w:p w14:paraId="621697D8">
      <w:pPr>
        <w:widowControl/>
        <w:shd w:val="clear" w:color="auto" w:fill="FFFFFF"/>
        <w:adjustRightInd w:val="0"/>
        <w:snapToGrid w:val="0"/>
        <w:spacing w:line="580" w:lineRule="exact"/>
        <w:rPr>
          <w:rFonts w:ascii="仿宋" w:hAnsi="仿宋" w:eastAsia="仿宋" w:cs="仿宋"/>
          <w:color w:val="000000"/>
          <w:kern w:val="0"/>
          <w:sz w:val="32"/>
          <w:szCs w:val="32"/>
          <w:shd w:val="clear" w:color="auto" w:fill="FFFFFF"/>
        </w:rPr>
      </w:pPr>
      <w:r>
        <w:rPr>
          <w:rFonts w:hint="eastAsia" w:ascii="仿宋_GB2312" w:eastAsia="仿宋_GB2312"/>
          <w:color w:val="3D3D3D"/>
          <w:sz w:val="32"/>
          <w:szCs w:val="32"/>
        </w:rPr>
        <w:t>附件三：</w:t>
      </w:r>
    </w:p>
    <w:p w14:paraId="14EFF2F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78720" behindDoc="0" locked="0" layoutInCell="1" allowOverlap="1">
            <wp:simplePos x="0" y="0"/>
            <wp:positionH relativeFrom="margin">
              <wp:align>left</wp:align>
            </wp:positionH>
            <wp:positionV relativeFrom="margin">
              <wp:posOffset>1233170</wp:posOffset>
            </wp:positionV>
            <wp:extent cx="5274310" cy="7084060"/>
            <wp:effectExtent l="0" t="0" r="0" b="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7084060"/>
                    </a:xfrm>
                    <a:prstGeom prst="rect">
                      <a:avLst/>
                    </a:prstGeom>
                  </pic:spPr>
                </pic:pic>
              </a:graphicData>
            </a:graphic>
          </wp:anchor>
        </w:drawing>
      </w:r>
    </w:p>
    <w:p w14:paraId="0FEC4EF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CC61D4A">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衡阳长宇生物科技有限公司注销证明</w:t>
      </w:r>
    </w:p>
    <w:p w14:paraId="40BF0452">
      <w:pPr>
        <w:widowControl/>
        <w:shd w:val="clear" w:color="auto" w:fill="FFFFFF"/>
        <w:adjustRightInd w:val="0"/>
        <w:snapToGrid w:val="0"/>
        <w:spacing w:line="580" w:lineRule="exact"/>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附件四：</w:t>
      </w:r>
    </w:p>
    <w:p w14:paraId="4CC8D2A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rPr>
        <w:drawing>
          <wp:anchor distT="0" distB="0" distL="114300" distR="114300" simplePos="0" relativeHeight="251662336" behindDoc="0" locked="0" layoutInCell="1" allowOverlap="1">
            <wp:simplePos x="0" y="0"/>
            <wp:positionH relativeFrom="column">
              <wp:posOffset>299720</wp:posOffset>
            </wp:positionH>
            <wp:positionV relativeFrom="paragraph">
              <wp:posOffset>146685</wp:posOffset>
            </wp:positionV>
            <wp:extent cx="3966210" cy="2673350"/>
            <wp:effectExtent l="0" t="0" r="0" b="0"/>
            <wp:wrapNone/>
            <wp:docPr id="20" name="图片 20" descr="af4841b018e58a4fbfd4bf342b0c9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f4841b018e58a4fbfd4bf342b0c99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966210" cy="2673350"/>
                    </a:xfrm>
                    <a:prstGeom prst="rect">
                      <a:avLst/>
                    </a:prstGeom>
                    <a:noFill/>
                    <a:ln>
                      <a:noFill/>
                    </a:ln>
                  </pic:spPr>
                </pic:pic>
              </a:graphicData>
            </a:graphic>
          </wp:anchor>
        </w:drawing>
      </w:r>
    </w:p>
    <w:p w14:paraId="30BE23D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F861A1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9374D9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F30BA1A">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3B30E8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6CAADA3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7407D62">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BA887B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现场整改前照片</w:t>
      </w:r>
    </w:p>
    <w:p w14:paraId="5B6365A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drawing>
          <wp:anchor distT="0" distB="0" distL="114300" distR="114300" simplePos="0" relativeHeight="251679744" behindDoc="0" locked="0" layoutInCell="1" allowOverlap="1">
            <wp:simplePos x="0" y="0"/>
            <wp:positionH relativeFrom="margin">
              <wp:posOffset>3143250</wp:posOffset>
            </wp:positionH>
            <wp:positionV relativeFrom="margin">
              <wp:posOffset>3993515</wp:posOffset>
            </wp:positionV>
            <wp:extent cx="2647950" cy="2587625"/>
            <wp:effectExtent l="0" t="0" r="0" b="0"/>
            <wp:wrapSquare wrapText="bothSides"/>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47950" cy="2587625"/>
                    </a:xfrm>
                    <a:prstGeom prst="rect">
                      <a:avLst/>
                    </a:prstGeom>
                  </pic:spPr>
                </pic:pic>
              </a:graphicData>
            </a:graphic>
          </wp:anchor>
        </w:drawing>
      </w:r>
    </w:p>
    <w:p w14:paraId="46F9C43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drawing>
          <wp:anchor distT="0" distB="0" distL="114300" distR="114300" simplePos="0" relativeHeight="251668480" behindDoc="0" locked="0" layoutInCell="1" allowOverlap="1">
            <wp:simplePos x="0" y="0"/>
            <wp:positionH relativeFrom="margin">
              <wp:posOffset>-504825</wp:posOffset>
            </wp:positionH>
            <wp:positionV relativeFrom="margin">
              <wp:posOffset>4079875</wp:posOffset>
            </wp:positionV>
            <wp:extent cx="3105150" cy="2328545"/>
            <wp:effectExtent l="0" t="0" r="0" b="0"/>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05150" cy="2328545"/>
                    </a:xfrm>
                    <a:prstGeom prst="rect">
                      <a:avLst/>
                    </a:prstGeom>
                  </pic:spPr>
                </pic:pic>
              </a:graphicData>
            </a:graphic>
          </wp:anchor>
        </w:drawing>
      </w:r>
    </w:p>
    <w:p w14:paraId="66D456E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982747E">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78C0B9D">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0D9BAA38">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F0F5D3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3B6753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6368E7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E20646C">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现场整改后照片</w:t>
      </w:r>
    </w:p>
    <w:p w14:paraId="09CE1D0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152809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5D4176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C7A49A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B571A12">
      <w:pPr>
        <w:widowControl/>
        <w:shd w:val="clear" w:color="auto" w:fill="FFFFFF"/>
        <w:adjustRightInd w:val="0"/>
        <w:snapToGrid w:val="0"/>
        <w:spacing w:line="580" w:lineRule="exact"/>
        <w:jc w:val="left"/>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附件五：</w:t>
      </w:r>
    </w:p>
    <w:p w14:paraId="221DF7A6">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0837616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80768" behindDoc="0" locked="0" layoutInCell="1" allowOverlap="1">
            <wp:simplePos x="0" y="0"/>
            <wp:positionH relativeFrom="margin">
              <wp:posOffset>-43180</wp:posOffset>
            </wp:positionH>
            <wp:positionV relativeFrom="margin">
              <wp:posOffset>904875</wp:posOffset>
            </wp:positionV>
            <wp:extent cx="5274310" cy="7066280"/>
            <wp:effectExtent l="0" t="0" r="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7066280"/>
                    </a:xfrm>
                    <a:prstGeom prst="rect">
                      <a:avLst/>
                    </a:prstGeom>
                  </pic:spPr>
                </pic:pic>
              </a:graphicData>
            </a:graphic>
          </wp:anchor>
        </w:drawing>
      </w:r>
    </w:p>
    <w:p w14:paraId="315D195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2130203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81792" behindDoc="0" locked="0" layoutInCell="1" allowOverlap="1">
            <wp:simplePos x="0" y="0"/>
            <wp:positionH relativeFrom="margin">
              <wp:align>left</wp:align>
            </wp:positionH>
            <wp:positionV relativeFrom="margin">
              <wp:align>top</wp:align>
            </wp:positionV>
            <wp:extent cx="5274310" cy="7665720"/>
            <wp:effectExtent l="0" t="0" r="0" b="0"/>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7665720"/>
                    </a:xfrm>
                    <a:prstGeom prst="rect">
                      <a:avLst/>
                    </a:prstGeom>
                  </pic:spPr>
                </pic:pic>
              </a:graphicData>
            </a:graphic>
          </wp:anchor>
        </w:drawing>
      </w:r>
    </w:p>
    <w:p w14:paraId="07B0326B">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8CE4797">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F70E71B">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82816" behindDoc="0" locked="0" layoutInCell="1" allowOverlap="1">
            <wp:simplePos x="0" y="0"/>
            <wp:positionH relativeFrom="margin">
              <wp:align>left</wp:align>
            </wp:positionH>
            <wp:positionV relativeFrom="margin">
              <wp:align>top</wp:align>
            </wp:positionV>
            <wp:extent cx="5274310" cy="6460490"/>
            <wp:effectExtent l="0" t="0" r="0" b="0"/>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6460490"/>
                    </a:xfrm>
                    <a:prstGeom prst="rect">
                      <a:avLst/>
                    </a:prstGeom>
                  </pic:spPr>
                </pic:pic>
              </a:graphicData>
            </a:graphic>
          </wp:anchor>
        </w:drawing>
      </w:r>
    </w:p>
    <w:p w14:paraId="63A2BC0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祁东县高新区书面检查材料</w:t>
      </w:r>
    </w:p>
    <w:p w14:paraId="5F5F871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3373CFC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EBD2A8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5FB99BB">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55CD33F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83840" behindDoc="0" locked="0" layoutInCell="1" allowOverlap="1">
            <wp:simplePos x="0" y="0"/>
            <wp:positionH relativeFrom="margin">
              <wp:align>left</wp:align>
            </wp:positionH>
            <wp:positionV relativeFrom="margin">
              <wp:align>top</wp:align>
            </wp:positionV>
            <wp:extent cx="5274310" cy="7628890"/>
            <wp:effectExtent l="0" t="0" r="0" b="0"/>
            <wp:wrapSquare wrapText="bothSides"/>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7628890"/>
                    </a:xfrm>
                    <a:prstGeom prst="rect">
                      <a:avLst/>
                    </a:prstGeom>
                  </pic:spPr>
                </pic:pic>
              </a:graphicData>
            </a:graphic>
          </wp:anchor>
        </w:drawing>
      </w:r>
    </w:p>
    <w:p w14:paraId="0A7887E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1A8F417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4E28E919">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84864" behindDoc="0" locked="0" layoutInCell="1" allowOverlap="1">
            <wp:simplePos x="0" y="0"/>
            <wp:positionH relativeFrom="margin">
              <wp:align>left</wp:align>
            </wp:positionH>
            <wp:positionV relativeFrom="margin">
              <wp:align>top</wp:align>
            </wp:positionV>
            <wp:extent cx="5274310" cy="7581900"/>
            <wp:effectExtent l="0" t="0" r="0" b="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7581900"/>
                    </a:xfrm>
                    <a:prstGeom prst="rect">
                      <a:avLst/>
                    </a:prstGeom>
                  </pic:spPr>
                </pic:pic>
              </a:graphicData>
            </a:graphic>
          </wp:anchor>
        </w:drawing>
      </w:r>
    </w:p>
    <w:p w14:paraId="0E7F705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7808B08F">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0660C4D0">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drawing>
          <wp:anchor distT="0" distB="0" distL="114300" distR="114300" simplePos="0" relativeHeight="251685888" behindDoc="0" locked="0" layoutInCell="1" allowOverlap="1">
            <wp:simplePos x="0" y="0"/>
            <wp:positionH relativeFrom="margin">
              <wp:align>left</wp:align>
            </wp:positionH>
            <wp:positionV relativeFrom="margin">
              <wp:align>top</wp:align>
            </wp:positionV>
            <wp:extent cx="5274310" cy="7338060"/>
            <wp:effectExtent l="0" t="0" r="0" b="0"/>
            <wp:wrapSquare wrapText="bothSides"/>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7338060"/>
                    </a:xfrm>
                    <a:prstGeom prst="rect">
                      <a:avLst/>
                    </a:prstGeom>
                  </pic:spPr>
                </pic:pic>
              </a:graphicData>
            </a:graphic>
          </wp:anchor>
        </w:drawing>
      </w:r>
    </w:p>
    <w:p w14:paraId="60025494">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r>
        <w:rPr>
          <w:rFonts w:hint="eastAsia" w:ascii="仿宋" w:hAnsi="仿宋" w:eastAsia="仿宋" w:cs="仿宋"/>
          <w:color w:val="000000"/>
          <w:kern w:val="0"/>
          <w:sz w:val="32"/>
          <w:szCs w:val="32"/>
          <w:shd w:val="clear" w:color="auto" w:fill="FFFFFF"/>
        </w:rPr>
        <w:t>祁东县城市管理和综合执法局书面检查材料</w:t>
      </w:r>
    </w:p>
    <w:p w14:paraId="44097251">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p w14:paraId="015F0FD5">
      <w:pPr>
        <w:widowControl/>
        <w:shd w:val="clear" w:color="auto" w:fill="FFFFFF"/>
        <w:adjustRightInd w:val="0"/>
        <w:snapToGrid w:val="0"/>
        <w:spacing w:line="580" w:lineRule="exact"/>
        <w:jc w:val="center"/>
        <w:rPr>
          <w:rFonts w:ascii="仿宋" w:hAnsi="仿宋" w:eastAsia="仿宋" w:cs="仿宋"/>
          <w:color w:val="000000"/>
          <w:kern w:val="0"/>
          <w:sz w:val="32"/>
          <w:szCs w:val="32"/>
          <w:shd w:val="clear" w:color="auto" w:fill="FFFFFF"/>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黑体"/>
    <w:panose1 w:val="02000000000000000000"/>
    <w:charset w:val="86"/>
    <w:family w:val="script"/>
    <w:pitch w:val="default"/>
    <w:sig w:usb0="00000000" w:usb1="00000000" w:usb2="00000012"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汉仪细圆B5">
    <w:altName w:val="仿宋"/>
    <w:panose1 w:val="00000000000000000000"/>
    <w:charset w:val="00"/>
    <w:family w:val="auto"/>
    <w:pitch w:val="default"/>
    <w:sig w:usb0="00000000" w:usb1="00000000" w:usb2="00000000" w:usb3="00000000" w:csb0="00000000" w:csb1="00000000"/>
  </w:font>
  <w:font w:name="CESI仿宋-GB2312">
    <w:altName w:val="仿宋"/>
    <w:panose1 w:val="02000500000000000000"/>
    <w:charset w:val="86"/>
    <w:family w:val="auto"/>
    <w:pitch w:val="default"/>
    <w:sig w:usb0="00000000" w:usb1="00000000" w:usb2="00000010"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247219"/>
      <w:docPartObj>
        <w:docPartGallery w:val="autotext"/>
      </w:docPartObj>
    </w:sdtPr>
    <w:sdtContent>
      <w:p w14:paraId="774456E3">
        <w:pPr>
          <w:pStyle w:val="5"/>
          <w:jc w:val="center"/>
        </w:pPr>
        <w:r>
          <w:fldChar w:fldCharType="begin"/>
        </w:r>
        <w:r>
          <w:instrText xml:space="preserve"> PAGE   \* MERGEFORMAT </w:instrText>
        </w:r>
        <w:r>
          <w:fldChar w:fldCharType="separate"/>
        </w:r>
        <w:r>
          <w:rPr>
            <w:lang w:val="zh-CN"/>
          </w:rPr>
          <w:t>2</w:t>
        </w:r>
        <w:r>
          <w:rPr>
            <w:lang w:val="zh-CN"/>
          </w:rPr>
          <w:fldChar w:fldCharType="end"/>
        </w:r>
      </w:p>
    </w:sdtContent>
  </w:sdt>
  <w:p w14:paraId="7B0FAAF1">
    <w:pPr>
      <w:pStyle w:val="5"/>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3E32"/>
    <w:rsid w:val="00056715"/>
    <w:rsid w:val="000722B2"/>
    <w:rsid w:val="00077ECA"/>
    <w:rsid w:val="000C5288"/>
    <w:rsid w:val="000E26F7"/>
    <w:rsid w:val="00100075"/>
    <w:rsid w:val="00113D60"/>
    <w:rsid w:val="00134276"/>
    <w:rsid w:val="001D49C9"/>
    <w:rsid w:val="0028352C"/>
    <w:rsid w:val="00294C12"/>
    <w:rsid w:val="002B5DB9"/>
    <w:rsid w:val="002F736A"/>
    <w:rsid w:val="00305364"/>
    <w:rsid w:val="0033430A"/>
    <w:rsid w:val="003417A9"/>
    <w:rsid w:val="0034474B"/>
    <w:rsid w:val="0034572B"/>
    <w:rsid w:val="003D68B8"/>
    <w:rsid w:val="004049E5"/>
    <w:rsid w:val="00425A4B"/>
    <w:rsid w:val="00436376"/>
    <w:rsid w:val="0049789C"/>
    <w:rsid w:val="004F0B24"/>
    <w:rsid w:val="0050253D"/>
    <w:rsid w:val="005141EB"/>
    <w:rsid w:val="00587C0A"/>
    <w:rsid w:val="00594D08"/>
    <w:rsid w:val="00594E71"/>
    <w:rsid w:val="005B559A"/>
    <w:rsid w:val="005E6790"/>
    <w:rsid w:val="0060252F"/>
    <w:rsid w:val="00640DF5"/>
    <w:rsid w:val="00655D43"/>
    <w:rsid w:val="0066402A"/>
    <w:rsid w:val="006C35BF"/>
    <w:rsid w:val="007129A7"/>
    <w:rsid w:val="007725AA"/>
    <w:rsid w:val="007B77EA"/>
    <w:rsid w:val="0086057E"/>
    <w:rsid w:val="00875626"/>
    <w:rsid w:val="008A0F77"/>
    <w:rsid w:val="008A62E2"/>
    <w:rsid w:val="008E1FF2"/>
    <w:rsid w:val="00944329"/>
    <w:rsid w:val="00960F51"/>
    <w:rsid w:val="00963E32"/>
    <w:rsid w:val="00964B6E"/>
    <w:rsid w:val="00993EC4"/>
    <w:rsid w:val="00A5302B"/>
    <w:rsid w:val="00A755FB"/>
    <w:rsid w:val="00A77F1C"/>
    <w:rsid w:val="00AD7D04"/>
    <w:rsid w:val="00AF3D8B"/>
    <w:rsid w:val="00B64595"/>
    <w:rsid w:val="00C151B2"/>
    <w:rsid w:val="00C63976"/>
    <w:rsid w:val="00CA0AB3"/>
    <w:rsid w:val="00CF0F28"/>
    <w:rsid w:val="00DC63C9"/>
    <w:rsid w:val="00DE6897"/>
    <w:rsid w:val="00DF71BD"/>
    <w:rsid w:val="00E22A7C"/>
    <w:rsid w:val="00E8151B"/>
    <w:rsid w:val="00EE292B"/>
    <w:rsid w:val="00F1100A"/>
    <w:rsid w:val="00F11AAF"/>
    <w:rsid w:val="00F11E58"/>
    <w:rsid w:val="00F12121"/>
    <w:rsid w:val="00F75993"/>
    <w:rsid w:val="00F9488E"/>
    <w:rsid w:val="00FA34DB"/>
    <w:rsid w:val="00FD5980"/>
    <w:rsid w:val="05F02A70"/>
    <w:rsid w:val="12AA3C30"/>
    <w:rsid w:val="2A57459A"/>
    <w:rsid w:val="4A572607"/>
    <w:rsid w:val="50D601CA"/>
    <w:rsid w:val="5DD60DF1"/>
    <w:rsid w:val="6F05629C"/>
    <w:rsid w:val="F9A7E3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link w:val="16"/>
    <w:qFormat/>
    <w:uiPriority w:val="9"/>
    <w:pPr>
      <w:widowControl/>
      <w:spacing w:before="100" w:beforeAutospacing="1" w:after="100" w:afterAutospacing="1"/>
      <w:jc w:val="left"/>
      <w:outlineLvl w:val="3"/>
    </w:pPr>
    <w:rPr>
      <w:rFonts w:ascii="宋体" w:hAnsi="宋体" w:eastAsia="宋体" w:cs="宋体"/>
      <w:b/>
      <w:bCs/>
      <w:kern w:val="0"/>
      <w:sz w:val="24"/>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3">
    <w:name w:val="Body Text Indent"/>
    <w:basedOn w:val="1"/>
    <w:link w:val="12"/>
    <w:qFormat/>
    <w:uiPriority w:val="0"/>
    <w:pPr>
      <w:spacing w:after="120"/>
      <w:ind w:left="420" w:leftChars="200"/>
    </w:pPr>
  </w:style>
  <w:style w:type="paragraph" w:styleId="4">
    <w:name w:val="Balloon Text"/>
    <w:basedOn w:val="1"/>
    <w:link w:val="18"/>
    <w:qFormat/>
    <w:uiPriority w:val="0"/>
    <w:rPr>
      <w:sz w:val="18"/>
      <w:szCs w:val="18"/>
    </w:rPr>
  </w:style>
  <w:style w:type="paragraph" w:styleId="5">
    <w:name w:val="footer"/>
    <w:basedOn w:val="1"/>
    <w:link w:val="15"/>
    <w:qFormat/>
    <w:uiPriority w:val="99"/>
    <w:pPr>
      <w:tabs>
        <w:tab w:val="center" w:pos="4153"/>
        <w:tab w:val="right" w:pos="8306"/>
      </w:tabs>
      <w:snapToGrid w:val="0"/>
      <w:jc w:val="left"/>
    </w:pPr>
    <w:rPr>
      <w:sz w:val="18"/>
      <w:szCs w:val="18"/>
    </w:rPr>
  </w:style>
  <w:style w:type="paragraph" w:styleId="6">
    <w:name w:val="header"/>
    <w:basedOn w:val="1"/>
    <w:link w:val="14"/>
    <w:qFormat/>
    <w:uiPriority w:val="0"/>
    <w:pPr>
      <w:pBdr>
        <w:bottom w:val="single" w:color="auto" w:sz="6" w:space="1"/>
      </w:pBdr>
      <w:tabs>
        <w:tab w:val="center" w:pos="4153"/>
        <w:tab w:val="right" w:pos="8306"/>
      </w:tabs>
      <w:snapToGrid w:val="0"/>
      <w:jc w:val="center"/>
    </w:pPr>
    <w:rPr>
      <w:sz w:val="18"/>
      <w:szCs w:val="18"/>
    </w:rPr>
  </w:style>
  <w:style w:type="paragraph" w:styleId="7">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paragraph" w:styleId="8">
    <w:name w:val="Body Text First Indent 2"/>
    <w:basedOn w:val="3"/>
    <w:link w:val="13"/>
    <w:qFormat/>
    <w:uiPriority w:val="0"/>
    <w:pPr>
      <w:ind w:firstLine="420" w:firstLineChars="200"/>
    </w:pPr>
    <w:rPr>
      <w:rFonts w:ascii="Calibri" w:hAnsi="Calibri" w:eastAsia="宋体" w:cs="Times New Roman"/>
      <w:szCs w:val="21"/>
    </w:rPr>
  </w:style>
  <w:style w:type="paragraph" w:styleId="11">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2">
    <w:name w:val="正文文本缩进 Char"/>
    <w:basedOn w:val="10"/>
    <w:link w:val="3"/>
    <w:qFormat/>
    <w:uiPriority w:val="0"/>
    <w:rPr>
      <w:rFonts w:asciiTheme="minorHAnsi" w:hAnsiTheme="minorHAnsi" w:eastAsiaTheme="minorEastAsia" w:cstheme="minorBidi"/>
      <w:kern w:val="2"/>
      <w:sz w:val="21"/>
      <w:szCs w:val="24"/>
    </w:rPr>
  </w:style>
  <w:style w:type="character" w:customStyle="1" w:styleId="13">
    <w:name w:val="正文首行缩进 2 Char"/>
    <w:basedOn w:val="12"/>
    <w:link w:val="8"/>
    <w:qFormat/>
    <w:uiPriority w:val="0"/>
    <w:rPr>
      <w:rFonts w:ascii="Calibri" w:hAnsi="Calibri" w:eastAsiaTheme="minorEastAsia" w:cstheme="minorBidi"/>
      <w:kern w:val="2"/>
      <w:sz w:val="21"/>
      <w:szCs w:val="21"/>
    </w:rPr>
  </w:style>
  <w:style w:type="character" w:customStyle="1" w:styleId="14">
    <w:name w:val="页眉 Char"/>
    <w:basedOn w:val="10"/>
    <w:link w:val="6"/>
    <w:qFormat/>
    <w:uiPriority w:val="0"/>
    <w:rPr>
      <w:rFonts w:asciiTheme="minorHAnsi" w:hAnsiTheme="minorHAnsi" w:eastAsiaTheme="minorEastAsia" w:cstheme="minorBidi"/>
      <w:kern w:val="2"/>
      <w:sz w:val="18"/>
      <w:szCs w:val="18"/>
    </w:rPr>
  </w:style>
  <w:style w:type="character" w:customStyle="1" w:styleId="15">
    <w:name w:val="页脚 Char"/>
    <w:basedOn w:val="10"/>
    <w:link w:val="5"/>
    <w:qFormat/>
    <w:uiPriority w:val="99"/>
    <w:rPr>
      <w:rFonts w:asciiTheme="minorHAnsi" w:hAnsiTheme="minorHAnsi" w:eastAsiaTheme="minorEastAsia" w:cstheme="minorBidi"/>
      <w:kern w:val="2"/>
      <w:sz w:val="18"/>
      <w:szCs w:val="18"/>
    </w:rPr>
  </w:style>
  <w:style w:type="character" w:customStyle="1" w:styleId="16">
    <w:name w:val="标题 4 Char"/>
    <w:basedOn w:val="10"/>
    <w:link w:val="2"/>
    <w:qFormat/>
    <w:uiPriority w:val="9"/>
    <w:rPr>
      <w:rFonts w:ascii="宋体" w:hAnsi="宋体" w:cs="宋体"/>
      <w:b/>
      <w:bCs/>
      <w:sz w:val="24"/>
      <w:szCs w:val="24"/>
    </w:rPr>
  </w:style>
  <w:style w:type="paragraph" w:styleId="17">
    <w:name w:val="List Paragraph"/>
    <w:basedOn w:val="1"/>
    <w:unhideWhenUsed/>
    <w:qFormat/>
    <w:uiPriority w:val="99"/>
    <w:pPr>
      <w:ind w:firstLine="420" w:firstLineChars="200"/>
    </w:pPr>
  </w:style>
  <w:style w:type="character" w:customStyle="1" w:styleId="18">
    <w:name w:val="批注框文本 Char"/>
    <w:basedOn w:val="10"/>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4" Type="http://schemas.openxmlformats.org/officeDocument/2006/relationships/fontTable" Target="fontTable.xml"/><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36</Pages>
  <Words>4789</Words>
  <Characters>5002</Characters>
  <Lines>36</Lines>
  <Paragraphs>10</Paragraphs>
  <TotalTime>1</TotalTime>
  <ScaleCrop>false</ScaleCrop>
  <LinksUpToDate>false</LinksUpToDate>
  <CharactersWithSpaces>5027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2025-07-07T08:53:00Z</dcterms:created>
  <dc:creator>01</dc:creator>
  <cp:lastModifiedBy>邓婷</cp:lastModifiedBy>
  <cp:lastPrinted>2025-07-07T09:11:00Z</cp:lastPrinted>
  <dcterms:modified xsi:type="dcterms:W3CDTF">2025-09-01T08:30:10Z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E7AB22607DF04E5DAAABF83F247616CD</vt:lpwstr>
  </property>
  <property fmtid="{D5CDD505-2E9C-101B-9397-08002B2CF9AE}" pid="4" name="KSOTemplateDocerSaveRecord">
    <vt:lpwstr>eyJoZGlkIjoiYzcyNzVkZGRhMDA5NzdlMGNiNTEyYzA3ODI0MWFmMmIiLCJ1c2VySWQiOiIxMDY5MjgzMDcxIn0=</vt:lpwstr>
  </property>
</Properties>
</file>