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rFonts w:hint="eastAsia" w:ascii="Times New Roman" w:hAnsi="Times New Roman" w:eastAsia="黑体"/>
          <w:sz w:val="32"/>
          <w:szCs w:val="32"/>
          <w:lang w:val="en-US" w:eastAsia="zh-CN"/>
        </w:rPr>
      </w:pPr>
      <w:r>
        <w:rPr>
          <w:rFonts w:ascii="Times New Roman" w:hAnsi="Times New Roman" w:eastAsia="黑体"/>
          <w:sz w:val="32"/>
          <w:szCs w:val="32"/>
        </w:rPr>
        <w:t>附件</w:t>
      </w:r>
      <w:r>
        <w:rPr>
          <w:rFonts w:hint="eastAsia" w:ascii="Times New Roman" w:hAnsi="Times New Roman" w:eastAsia="黑体"/>
          <w:sz w:val="32"/>
          <w:szCs w:val="32"/>
          <w:lang w:val="en-US" w:eastAsia="zh-CN"/>
        </w:rPr>
        <w:t>5</w:t>
      </w:r>
    </w:p>
    <w:p>
      <w:pPr>
        <w:ind w:firstLine="2880" w:firstLineChars="800"/>
        <w:rPr>
          <w:rFonts w:hint="eastAsia" w:ascii="Times New Roman" w:hAnsi="Times New Roman" w:eastAsia="黑体"/>
          <w:sz w:val="32"/>
          <w:szCs w:val="32"/>
          <w:lang w:val="en-US" w:eastAsia="zh-CN"/>
        </w:rPr>
      </w:pPr>
      <w:r>
        <w:rPr>
          <w:rFonts w:hint="eastAsia" w:ascii="方正小标宋简体" w:hAnsi="方正小标宋简体" w:eastAsia="方正小标宋简体" w:cs="方正小标宋简体"/>
          <w:color w:val="000000"/>
          <w:kern w:val="0"/>
          <w:sz w:val="36"/>
          <w:szCs w:val="36"/>
          <w:lang w:val="en-US" w:eastAsia="zh-CN"/>
        </w:rPr>
        <w:t>项目支出绩效自评表</w:t>
      </w:r>
    </w:p>
    <w:tbl>
      <w:tblPr>
        <w:tblpPr w:leftFromText="180" w:rightFromText="180" w:vertAnchor="text" w:horzAnchor="page" w:tblpX="1350" w:tblpY="830"/>
        <w:tblOverlap w:val="never"/>
        <w:tblW w:w="99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56"/>
        <w:gridCol w:w="1064"/>
        <w:gridCol w:w="1755"/>
        <w:gridCol w:w="1125"/>
        <w:gridCol w:w="1064"/>
        <w:gridCol w:w="964"/>
        <w:gridCol w:w="912"/>
        <w:gridCol w:w="825"/>
        <w:gridCol w:w="10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4" w:hRule="atLeast"/>
        </w:trPr>
        <w:tc>
          <w:tcPr>
            <w:tcW w:w="12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项目支出名称</w:t>
            </w:r>
          </w:p>
        </w:tc>
        <w:tc>
          <w:tcPr>
            <w:tcW w:w="8743" w:type="dxa"/>
            <w:gridSpan w:val="8"/>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市本级应急广播体系建设项目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4" w:hRule="atLeast"/>
        </w:trPr>
        <w:tc>
          <w:tcPr>
            <w:tcW w:w="12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主管部门</w:t>
            </w:r>
          </w:p>
        </w:tc>
        <w:tc>
          <w:tcPr>
            <w:tcW w:w="5008"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衡阳市文化旅游广电体育局</w:t>
            </w:r>
          </w:p>
        </w:tc>
        <w:tc>
          <w:tcPr>
            <w:tcW w:w="9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实施 单位</w:t>
            </w:r>
          </w:p>
        </w:tc>
        <w:tc>
          <w:tcPr>
            <w:tcW w:w="2771"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lang w:eastAsia="zh-CN"/>
              </w:rPr>
            </w:pPr>
            <w:r>
              <w:rPr>
                <w:rFonts w:hint="eastAsia" w:ascii="仿宋_GB2312" w:hAnsi="仿宋_GB2312" w:eastAsia="仿宋_GB2312" w:cs="仿宋_GB2312"/>
                <w:b w:val="0"/>
                <w:bCs w:val="0"/>
                <w:i w:val="0"/>
                <w:iCs w:val="0"/>
                <w:color w:val="000000"/>
                <w:sz w:val="22"/>
                <w:szCs w:val="22"/>
                <w:u w:val="none"/>
                <w:lang w:eastAsia="zh-CN"/>
              </w:rPr>
              <w:t>市文化旅游广电体育局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5" w:hRule="atLeast"/>
        </w:trPr>
        <w:tc>
          <w:tcPr>
            <w:tcW w:w="1256"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项目资金(万元)</w:t>
            </w:r>
          </w:p>
        </w:tc>
        <w:tc>
          <w:tcPr>
            <w:tcW w:w="28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 xml:space="preserve">     资金来源</w:t>
            </w:r>
          </w:p>
        </w:tc>
        <w:tc>
          <w:tcPr>
            <w:tcW w:w="11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年初预算数</w:t>
            </w:r>
          </w:p>
        </w:tc>
        <w:tc>
          <w:tcPr>
            <w:tcW w:w="10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全年预算数</w:t>
            </w:r>
          </w:p>
        </w:tc>
        <w:tc>
          <w:tcPr>
            <w:tcW w:w="9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全年执行数</w:t>
            </w:r>
          </w:p>
        </w:tc>
        <w:tc>
          <w:tcPr>
            <w:tcW w:w="91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分值</w:t>
            </w:r>
          </w:p>
        </w:tc>
        <w:tc>
          <w:tcPr>
            <w:tcW w:w="8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执行率</w:t>
            </w:r>
          </w:p>
        </w:tc>
        <w:tc>
          <w:tcPr>
            <w:tcW w:w="10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2" w:hRule="atLeast"/>
        </w:trPr>
        <w:tc>
          <w:tcPr>
            <w:tcW w:w="125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28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其中：当年财政拨款</w:t>
            </w:r>
          </w:p>
        </w:tc>
        <w:tc>
          <w:tcPr>
            <w:tcW w:w="11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545.18</w:t>
            </w:r>
          </w:p>
        </w:tc>
        <w:tc>
          <w:tcPr>
            <w:tcW w:w="96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465.6</w:t>
            </w:r>
          </w:p>
        </w:tc>
        <w:tc>
          <w:tcPr>
            <w:tcW w:w="9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10</w:t>
            </w:r>
          </w:p>
        </w:tc>
        <w:tc>
          <w:tcPr>
            <w:tcW w:w="8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85.4</w:t>
            </w:r>
          </w:p>
        </w:tc>
        <w:tc>
          <w:tcPr>
            <w:tcW w:w="103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2" w:hRule="atLeast"/>
        </w:trPr>
        <w:tc>
          <w:tcPr>
            <w:tcW w:w="125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28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上年结转资金</w:t>
            </w:r>
          </w:p>
        </w:tc>
        <w:tc>
          <w:tcPr>
            <w:tcW w:w="11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96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103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2" w:hRule="atLeast"/>
        </w:trPr>
        <w:tc>
          <w:tcPr>
            <w:tcW w:w="125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28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其他资金</w:t>
            </w:r>
          </w:p>
        </w:tc>
        <w:tc>
          <w:tcPr>
            <w:tcW w:w="11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96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8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103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3" w:hRule="atLeast"/>
        </w:trPr>
        <w:tc>
          <w:tcPr>
            <w:tcW w:w="125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28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年度资金总额</w:t>
            </w:r>
          </w:p>
        </w:tc>
        <w:tc>
          <w:tcPr>
            <w:tcW w:w="11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96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10</w:t>
            </w:r>
          </w:p>
        </w:tc>
        <w:tc>
          <w:tcPr>
            <w:tcW w:w="8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103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8" w:hRule="atLeast"/>
        </w:trPr>
        <w:tc>
          <w:tcPr>
            <w:tcW w:w="1256"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年度总体目标</w:t>
            </w:r>
          </w:p>
        </w:tc>
        <w:tc>
          <w:tcPr>
            <w:tcW w:w="5008"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预期目标</w:t>
            </w:r>
          </w:p>
        </w:tc>
        <w:tc>
          <w:tcPr>
            <w:tcW w:w="3735"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实际完成情况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2" w:hRule="atLeast"/>
        </w:trPr>
        <w:tc>
          <w:tcPr>
            <w:tcW w:w="125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5008"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b w:val="0"/>
                <w:bCs w:val="0"/>
                <w:i w:val="0"/>
                <w:iCs w:val="0"/>
                <w:color w:val="000000"/>
                <w:sz w:val="22"/>
                <w:szCs w:val="22"/>
                <w:u w:val="none"/>
              </w:rPr>
            </w:pPr>
            <w:r>
              <w:rPr>
                <w:rFonts w:hint="eastAsia" w:ascii="仿宋" w:hAnsi="仿宋" w:eastAsia="仿宋" w:cs="仿宋"/>
                <w:color w:val="000000"/>
                <w:kern w:val="0"/>
                <w:sz w:val="22"/>
                <w:szCs w:val="22"/>
                <w:lang w:val="en-US" w:eastAsia="zh-CN"/>
              </w:rPr>
              <w:t>建设 1 个具备省、市应急预警信息发布接入、应急节目制作播发、辖区内资源管理、发布流程控制、发布资源调度、值守监看、消息分发传输、应急指挥调度等主要功能的统一调度指挥和管理的市级应急广播平台。</w:t>
            </w:r>
          </w:p>
        </w:tc>
        <w:tc>
          <w:tcPr>
            <w:tcW w:w="3735" w:type="dxa"/>
            <w:gridSpan w:val="4"/>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b w:val="0"/>
                <w:bCs w:val="0"/>
                <w:i w:val="0"/>
                <w:iCs w:val="0"/>
                <w:color w:val="000000"/>
                <w:sz w:val="22"/>
                <w:szCs w:val="22"/>
                <w:u w:val="none"/>
              </w:rPr>
            </w:pPr>
            <w:r>
              <w:rPr>
                <w:rFonts w:hint="eastAsia" w:ascii="仿宋" w:hAnsi="仿宋" w:eastAsia="仿宋" w:cs="仿宋"/>
                <w:b w:val="0"/>
                <w:bCs w:val="0"/>
                <w:sz w:val="22"/>
                <w:szCs w:val="22"/>
                <w:lang w:val="en-US" w:eastAsia="zh-CN"/>
              </w:rPr>
              <w:t>建设完成一个</w:t>
            </w:r>
            <w:r>
              <w:rPr>
                <w:rFonts w:hint="eastAsia" w:ascii="仿宋" w:hAnsi="仿宋" w:eastAsia="仿宋" w:cs="仿宋"/>
                <w:sz w:val="22"/>
                <w:szCs w:val="22"/>
                <w:lang w:val="en-US" w:eastAsia="zh-CN"/>
              </w:rPr>
              <w:t>遵循国家应急广播体系建设标准，集成先进软件、高性能服务器、稳固网络架构及全面安全防护设备，确保信息传输的安全性与高效性的</w:t>
            </w:r>
            <w:r>
              <w:rPr>
                <w:rFonts w:hint="eastAsia" w:ascii="仿宋" w:hAnsi="仿宋" w:eastAsia="仿宋" w:cs="仿宋"/>
                <w:b w:val="0"/>
                <w:bCs w:val="0"/>
                <w:sz w:val="22"/>
                <w:szCs w:val="22"/>
                <w:lang w:val="en-US" w:eastAsia="zh-CN"/>
              </w:rPr>
              <w:t>市级应急广播平台。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0" w:hRule="atLeast"/>
        </w:trPr>
        <w:tc>
          <w:tcPr>
            <w:tcW w:w="1256"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绩效指标</w:t>
            </w:r>
          </w:p>
        </w:tc>
        <w:tc>
          <w:tcPr>
            <w:tcW w:w="10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一级指标</w:t>
            </w:r>
          </w:p>
        </w:tc>
        <w:tc>
          <w:tcPr>
            <w:tcW w:w="17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二级指标</w:t>
            </w:r>
          </w:p>
        </w:tc>
        <w:tc>
          <w:tcPr>
            <w:tcW w:w="11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三级指标</w:t>
            </w:r>
          </w:p>
        </w:tc>
        <w:tc>
          <w:tcPr>
            <w:tcW w:w="10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年度指标值</w:t>
            </w:r>
          </w:p>
        </w:tc>
        <w:tc>
          <w:tcPr>
            <w:tcW w:w="9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实际完成值</w:t>
            </w:r>
          </w:p>
        </w:tc>
        <w:tc>
          <w:tcPr>
            <w:tcW w:w="91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分值</w:t>
            </w:r>
          </w:p>
        </w:tc>
        <w:tc>
          <w:tcPr>
            <w:tcW w:w="8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得分</w:t>
            </w:r>
          </w:p>
        </w:tc>
        <w:tc>
          <w:tcPr>
            <w:tcW w:w="10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25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1064"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产出指标（20分）</w:t>
            </w:r>
          </w:p>
        </w:tc>
        <w:tc>
          <w:tcPr>
            <w:tcW w:w="17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数量指标</w:t>
            </w:r>
          </w:p>
        </w:tc>
        <w:tc>
          <w:tcPr>
            <w:tcW w:w="1125"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b w:val="0"/>
                <w:bCs w:val="0"/>
                <w:i w:val="0"/>
                <w:iCs w:val="0"/>
                <w:color w:val="000000"/>
                <w:sz w:val="22"/>
                <w:szCs w:val="22"/>
                <w:u w:val="none"/>
              </w:rPr>
            </w:pPr>
            <w:r>
              <w:rPr>
                <w:rFonts w:hint="eastAsia" w:ascii="仿宋" w:hAnsi="仿宋" w:eastAsia="仿宋" w:cs="仿宋"/>
                <w:b w:val="0"/>
                <w:bCs w:val="0"/>
                <w:sz w:val="22"/>
                <w:szCs w:val="22"/>
                <w:lang w:val="en-US" w:eastAsia="zh-CN"/>
              </w:rPr>
              <w:t>建设完成1个市级应急广播系统</w:t>
            </w: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b w:val="0"/>
                <w:bCs w:val="0"/>
                <w:i w:val="0"/>
                <w:iCs w:val="0"/>
                <w:color w:val="000000"/>
                <w:kern w:val="2"/>
                <w:sz w:val="22"/>
                <w:szCs w:val="22"/>
                <w:u w:val="none"/>
                <w:lang w:val="en-US" w:eastAsia="zh-CN"/>
              </w:rPr>
            </w:pPr>
            <w:r>
              <w:rPr>
                <w:rFonts w:hint="default" w:ascii="Arial" w:hAnsi="Arial" w:eastAsia="仿宋_GB2312" w:cs="Arial"/>
                <w:b w:val="0"/>
                <w:bCs w:val="0"/>
                <w:i w:val="0"/>
                <w:iCs w:val="0"/>
                <w:color w:val="000000"/>
                <w:sz w:val="22"/>
                <w:szCs w:val="22"/>
                <w:u w:val="none"/>
              </w:rPr>
              <w:t>≥</w:t>
            </w:r>
          </w:p>
        </w:tc>
        <w:tc>
          <w:tcPr>
            <w:tcW w:w="96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b w:val="0"/>
                <w:bCs w:val="0"/>
                <w:i w:val="0"/>
                <w:iCs w:val="0"/>
                <w:color w:val="000000"/>
                <w:kern w:val="2"/>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100%</w:t>
            </w:r>
          </w:p>
        </w:tc>
        <w:tc>
          <w:tcPr>
            <w:tcW w:w="91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10</w:t>
            </w:r>
          </w:p>
        </w:tc>
        <w:tc>
          <w:tcPr>
            <w:tcW w:w="82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10</w:t>
            </w:r>
          </w:p>
        </w:tc>
        <w:tc>
          <w:tcPr>
            <w:tcW w:w="103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lang w:eastAsia="zh-CN"/>
              </w:rPr>
            </w:pPr>
            <w:r>
              <w:rPr>
                <w:rFonts w:hint="eastAsia" w:ascii="仿宋_GB2312" w:hAnsi="仿宋_GB2312" w:eastAsia="仿宋_GB2312" w:cs="仿宋_GB2312"/>
                <w:b w:val="0"/>
                <w:bCs w:val="0"/>
                <w:i w:val="0"/>
                <w:iCs w:val="0"/>
                <w:color w:val="000000"/>
                <w:sz w:val="22"/>
                <w:szCs w:val="22"/>
                <w:u w:val="none"/>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25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106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17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质量指标</w:t>
            </w:r>
          </w:p>
        </w:tc>
        <w:tc>
          <w:tcPr>
            <w:tcW w:w="1125"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b w:val="0"/>
                <w:bCs w:val="0"/>
                <w:i w:val="0"/>
                <w:iCs w:val="0"/>
                <w:color w:val="000000"/>
                <w:sz w:val="22"/>
                <w:szCs w:val="22"/>
                <w:u w:val="none"/>
              </w:rPr>
            </w:pPr>
            <w:r>
              <w:rPr>
                <w:rFonts w:hint="eastAsia" w:ascii="仿宋" w:hAnsi="仿宋" w:eastAsia="仿宋" w:cs="仿宋"/>
                <w:color w:val="000000"/>
                <w:kern w:val="0"/>
                <w:sz w:val="22"/>
                <w:szCs w:val="22"/>
                <w:lang w:val="en-US" w:eastAsia="zh-CN"/>
              </w:rPr>
              <w:t>实现对全衡阳地区应急广播统一调度指挥和管理</w:t>
            </w: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r>
              <w:rPr>
                <w:rFonts w:hint="default" w:ascii="Arial" w:hAnsi="Arial" w:eastAsia="仿宋_GB2312" w:cs="Arial"/>
                <w:b w:val="0"/>
                <w:bCs w:val="0"/>
                <w:i w:val="0"/>
                <w:iCs w:val="0"/>
                <w:color w:val="000000"/>
                <w:sz w:val="22"/>
                <w:szCs w:val="22"/>
                <w:u w:val="none"/>
              </w:rPr>
              <w:t>≥</w:t>
            </w:r>
          </w:p>
        </w:tc>
        <w:tc>
          <w:tcPr>
            <w:tcW w:w="96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100%</w:t>
            </w:r>
          </w:p>
        </w:tc>
        <w:tc>
          <w:tcPr>
            <w:tcW w:w="9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5</w:t>
            </w:r>
          </w:p>
        </w:tc>
        <w:tc>
          <w:tcPr>
            <w:tcW w:w="8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5</w:t>
            </w:r>
          </w:p>
        </w:tc>
        <w:tc>
          <w:tcPr>
            <w:tcW w:w="103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25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106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17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时效指标</w:t>
            </w:r>
          </w:p>
        </w:tc>
        <w:tc>
          <w:tcPr>
            <w:tcW w:w="1125"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b w:val="0"/>
                <w:bCs w:val="0"/>
                <w:i w:val="0"/>
                <w:iCs w:val="0"/>
                <w:color w:val="000000"/>
                <w:sz w:val="22"/>
                <w:szCs w:val="22"/>
                <w:u w:val="none"/>
              </w:rPr>
            </w:pPr>
            <w:r>
              <w:rPr>
                <w:rFonts w:hint="eastAsia" w:ascii="Times New Roman" w:hAnsi="Times New Roman" w:eastAsia="仿宋_GB2312"/>
                <w:color w:val="000000"/>
                <w:kern w:val="0"/>
                <w:szCs w:val="21"/>
                <w:lang w:eastAsia="zh-CN"/>
              </w:rPr>
              <w:t>任务完成时间</w:t>
            </w: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lang w:eastAsia="zh-CN"/>
              </w:rPr>
            </w:pPr>
            <w:r>
              <w:rPr>
                <w:rFonts w:hint="eastAsia" w:ascii="仿宋_GB2312" w:hAnsi="仿宋_GB2312" w:eastAsia="仿宋_GB2312" w:cs="仿宋_GB2312"/>
                <w:b w:val="0"/>
                <w:bCs w:val="0"/>
                <w:i w:val="0"/>
                <w:iCs w:val="0"/>
                <w:color w:val="000000"/>
                <w:sz w:val="22"/>
                <w:szCs w:val="22"/>
                <w:u w:val="none"/>
                <w:lang w:eastAsia="zh-CN"/>
              </w:rPr>
              <w:t>定性</w:t>
            </w:r>
          </w:p>
        </w:tc>
        <w:tc>
          <w:tcPr>
            <w:tcW w:w="96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2024年</w:t>
            </w:r>
          </w:p>
        </w:tc>
        <w:tc>
          <w:tcPr>
            <w:tcW w:w="9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5</w:t>
            </w:r>
          </w:p>
        </w:tc>
        <w:tc>
          <w:tcPr>
            <w:tcW w:w="8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5</w:t>
            </w:r>
          </w:p>
        </w:tc>
        <w:tc>
          <w:tcPr>
            <w:tcW w:w="103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25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1064"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效益指标（40分）</w:t>
            </w:r>
          </w:p>
        </w:tc>
        <w:tc>
          <w:tcPr>
            <w:tcW w:w="17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社会效益指标</w:t>
            </w:r>
          </w:p>
        </w:tc>
        <w:tc>
          <w:tcPr>
            <w:tcW w:w="1125"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imes New Roman" w:hAnsi="Times New Roman" w:eastAsia="仿宋_GB2312"/>
                <w:color w:val="000000"/>
                <w:kern w:val="0"/>
                <w:sz w:val="21"/>
                <w:szCs w:val="21"/>
                <w:lang w:val="en-US" w:eastAsia="zh-CN"/>
              </w:rPr>
            </w:pPr>
            <w:r>
              <w:rPr>
                <w:rFonts w:hint="eastAsia" w:ascii="仿宋" w:hAnsi="仿宋" w:eastAsia="仿宋" w:cs="仿宋"/>
                <w:sz w:val="22"/>
                <w:szCs w:val="22"/>
                <w:lang w:eastAsia="zh-CN"/>
              </w:rPr>
              <w:t>打通应急信息“最后一公里”，</w:t>
            </w:r>
            <w:r>
              <w:rPr>
                <w:rFonts w:hint="eastAsia" w:ascii="仿宋" w:hAnsi="仿宋" w:eastAsia="仿宋" w:cs="仿宋"/>
                <w:color w:val="000000"/>
                <w:kern w:val="0"/>
                <w:sz w:val="22"/>
                <w:szCs w:val="22"/>
                <w:lang w:val="en-US" w:eastAsia="zh-CN"/>
              </w:rPr>
              <w:t>从根本上提高社会对各种突发事件、自然灾害的应急处置能力。</w:t>
            </w:r>
          </w:p>
        </w:tc>
        <w:tc>
          <w:tcPr>
            <w:tcW w:w="1064"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ind w:firstLine="420" w:firstLineChars="200"/>
              <w:rPr>
                <w:rFonts w:hint="eastAsia" w:ascii="Times New Roman" w:hAnsi="Times New Roman" w:eastAsia="仿宋_GB2312"/>
                <w:color w:val="000000"/>
                <w:kern w:val="0"/>
                <w:sz w:val="21"/>
                <w:szCs w:val="21"/>
                <w:lang w:val="en-US" w:eastAsia="zh-CN"/>
              </w:rPr>
            </w:pPr>
            <w:r>
              <w:rPr>
                <w:rFonts w:hint="eastAsia" w:ascii="仿宋" w:hAnsi="仿宋" w:eastAsia="仿宋"/>
                <w:color w:val="000000"/>
                <w:kern w:val="0"/>
                <w:szCs w:val="21"/>
              </w:rPr>
              <w:t>≥</w:t>
            </w:r>
          </w:p>
        </w:tc>
        <w:tc>
          <w:tcPr>
            <w:tcW w:w="964"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Times New Roman" w:hAnsi="Times New Roman" w:eastAsia="仿宋_GB2312"/>
                <w:color w:val="000000"/>
                <w:kern w:val="0"/>
                <w:sz w:val="21"/>
                <w:szCs w:val="21"/>
                <w:lang w:val="en-US" w:eastAsia="zh-CN"/>
              </w:rPr>
            </w:pPr>
            <w:r>
              <w:rPr>
                <w:rFonts w:hint="eastAsia" w:ascii="Times New Roman" w:hAnsi="Times New Roman" w:eastAsia="仿宋_GB2312"/>
                <w:color w:val="000000"/>
                <w:kern w:val="0"/>
                <w:szCs w:val="21"/>
              </w:rPr>
              <w:t>100%</w:t>
            </w:r>
          </w:p>
        </w:tc>
        <w:tc>
          <w:tcPr>
            <w:tcW w:w="91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20</w:t>
            </w:r>
          </w:p>
        </w:tc>
        <w:tc>
          <w:tcPr>
            <w:tcW w:w="82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20</w:t>
            </w:r>
          </w:p>
        </w:tc>
        <w:tc>
          <w:tcPr>
            <w:tcW w:w="103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25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106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17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经济效益指标</w:t>
            </w:r>
          </w:p>
        </w:tc>
        <w:tc>
          <w:tcPr>
            <w:tcW w:w="1125"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imes New Roman" w:hAnsi="Times New Roman" w:eastAsia="仿宋_GB2312"/>
                <w:color w:val="000000"/>
                <w:kern w:val="0"/>
                <w:sz w:val="21"/>
                <w:szCs w:val="21"/>
                <w:lang w:val="en-US" w:eastAsia="zh-CN"/>
              </w:rPr>
            </w:pPr>
            <w:r>
              <w:rPr>
                <w:rFonts w:hint="eastAsia" w:ascii="仿宋" w:hAnsi="仿宋" w:eastAsia="仿宋" w:cs="仿宋"/>
                <w:color w:val="000000"/>
                <w:kern w:val="0"/>
                <w:sz w:val="22"/>
                <w:szCs w:val="22"/>
                <w:lang w:val="en-US" w:eastAsia="zh-CN"/>
              </w:rPr>
              <w:t xml:space="preserve">有效减少突发事件所造成的经济损失和人员伤亡，为 衡阳市经济的全面、健康、有序、稳定提供有力的保障。 </w:t>
            </w:r>
          </w:p>
        </w:tc>
        <w:tc>
          <w:tcPr>
            <w:tcW w:w="1064"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ind w:firstLine="420" w:firstLineChars="200"/>
              <w:rPr>
                <w:rFonts w:hint="eastAsia" w:ascii="Times New Roman" w:hAnsi="Times New Roman" w:eastAsia="仿宋_GB2312"/>
                <w:color w:val="000000"/>
                <w:kern w:val="0"/>
                <w:sz w:val="21"/>
                <w:szCs w:val="21"/>
                <w:lang w:val="en-US" w:eastAsia="zh-CN"/>
              </w:rPr>
            </w:pPr>
            <w:r>
              <w:rPr>
                <w:rFonts w:hint="eastAsia" w:ascii="仿宋" w:hAnsi="仿宋" w:eastAsia="仿宋"/>
                <w:color w:val="000000"/>
                <w:kern w:val="0"/>
                <w:szCs w:val="21"/>
              </w:rPr>
              <w:t>≥</w:t>
            </w:r>
          </w:p>
        </w:tc>
        <w:tc>
          <w:tcPr>
            <w:tcW w:w="964"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Times New Roman" w:hAnsi="Times New Roman" w:eastAsia="仿宋_GB2312"/>
                <w:color w:val="000000"/>
                <w:kern w:val="0"/>
                <w:sz w:val="21"/>
                <w:szCs w:val="21"/>
                <w:lang w:val="en-US" w:eastAsia="zh-CN"/>
              </w:rPr>
            </w:pPr>
            <w:r>
              <w:rPr>
                <w:rFonts w:hint="eastAsia" w:ascii="Times New Roman" w:hAnsi="Times New Roman" w:eastAsia="仿宋_GB2312"/>
                <w:color w:val="000000"/>
                <w:kern w:val="0"/>
                <w:szCs w:val="21"/>
              </w:rPr>
              <w:t>100%</w:t>
            </w:r>
          </w:p>
        </w:tc>
        <w:tc>
          <w:tcPr>
            <w:tcW w:w="91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10</w:t>
            </w:r>
          </w:p>
        </w:tc>
        <w:tc>
          <w:tcPr>
            <w:tcW w:w="82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10</w:t>
            </w:r>
          </w:p>
        </w:tc>
        <w:tc>
          <w:tcPr>
            <w:tcW w:w="103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25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106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17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生态效益指标</w:t>
            </w:r>
          </w:p>
        </w:tc>
        <w:tc>
          <w:tcPr>
            <w:tcW w:w="1125"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Times New Roman" w:hAnsi="Times New Roman" w:eastAsia="仿宋_GB2312"/>
                <w:color w:val="000000"/>
                <w:kern w:val="0"/>
                <w:sz w:val="21"/>
                <w:szCs w:val="21"/>
                <w:lang w:val="en-US" w:eastAsia="zh-CN"/>
              </w:rPr>
            </w:pPr>
            <w:r>
              <w:rPr>
                <w:rFonts w:hint="eastAsia" w:ascii="Times New Roman" w:hAnsi="Times New Roman" w:eastAsia="仿宋_GB2312"/>
                <w:color w:val="000000"/>
                <w:kern w:val="0"/>
                <w:szCs w:val="21"/>
                <w:lang w:eastAsia="zh-CN"/>
              </w:rPr>
              <w:t>不适用</w:t>
            </w:r>
          </w:p>
        </w:tc>
        <w:tc>
          <w:tcPr>
            <w:tcW w:w="1064"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ind w:firstLine="420" w:firstLineChars="200"/>
              <w:rPr>
                <w:rFonts w:hint="eastAsia" w:ascii="Times New Roman" w:hAnsi="Times New Roman" w:eastAsia="仿宋_GB2312"/>
                <w:color w:val="000000"/>
                <w:kern w:val="0"/>
                <w:sz w:val="21"/>
                <w:szCs w:val="21"/>
                <w:lang w:val="en-US" w:eastAsia="zh-CN"/>
              </w:rPr>
            </w:pPr>
            <w:r>
              <w:rPr>
                <w:rFonts w:hint="eastAsia" w:ascii="仿宋" w:hAnsi="仿宋" w:eastAsia="仿宋"/>
                <w:color w:val="000000"/>
                <w:kern w:val="0"/>
                <w:szCs w:val="21"/>
                <w:lang w:val="en-US" w:eastAsia="zh-CN"/>
              </w:rPr>
              <w:t>0</w:t>
            </w:r>
          </w:p>
        </w:tc>
        <w:tc>
          <w:tcPr>
            <w:tcW w:w="964"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Times New Roman" w:hAnsi="Times New Roman" w:eastAsia="仿宋_GB2312"/>
                <w:color w:val="000000"/>
                <w:kern w:val="0"/>
                <w:sz w:val="21"/>
                <w:szCs w:val="21"/>
                <w:lang w:val="en-US" w:eastAsia="zh-CN"/>
              </w:rPr>
            </w:pPr>
            <w:r>
              <w:rPr>
                <w:rFonts w:hint="eastAsia" w:ascii="Times New Roman" w:hAnsi="Times New Roman" w:eastAsia="仿宋_GB2312"/>
                <w:color w:val="000000"/>
                <w:kern w:val="0"/>
                <w:szCs w:val="21"/>
                <w:lang w:val="en-US" w:eastAsia="zh-CN"/>
              </w:rPr>
              <w:t>0</w:t>
            </w:r>
          </w:p>
        </w:tc>
        <w:tc>
          <w:tcPr>
            <w:tcW w:w="91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0</w:t>
            </w:r>
          </w:p>
        </w:tc>
        <w:tc>
          <w:tcPr>
            <w:tcW w:w="82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0</w:t>
            </w:r>
          </w:p>
        </w:tc>
        <w:tc>
          <w:tcPr>
            <w:tcW w:w="103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25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106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1755" w:type="dxa"/>
            <w:tcBorders>
              <w:top w:val="single" w:color="000000" w:sz="4" w:space="0"/>
              <w:left w:val="single" w:color="000000" w:sz="4" w:space="0"/>
              <w:bottom w:val="single" w:color="000000" w:sz="4" w:space="0"/>
              <w:right w:val="single" w:color="000000" w:sz="4" w:space="0"/>
            </w:tcBorders>
            <w:vAlign w:val="center"/>
          </w:tcPr>
          <w:p>
            <w:pPr>
              <w:widowControl/>
              <w:ind w:firstLine="180" w:firstLineChars="100"/>
              <w:jc w:val="both"/>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spacing w:val="-20"/>
                <w:kern w:val="0"/>
                <w:sz w:val="22"/>
                <w:szCs w:val="22"/>
                <w:u w:val="none"/>
                <w:lang w:val="en-US" w:eastAsia="zh-CN"/>
              </w:rPr>
              <w:t>可持续影响指标</w:t>
            </w:r>
          </w:p>
        </w:tc>
        <w:tc>
          <w:tcPr>
            <w:tcW w:w="1125"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Times New Roman" w:hAnsi="Times New Roman" w:eastAsia="仿宋_GB2312"/>
                <w:color w:val="000000"/>
                <w:kern w:val="0"/>
                <w:sz w:val="21"/>
                <w:szCs w:val="21"/>
                <w:lang w:val="en-US" w:eastAsia="zh-CN"/>
              </w:rPr>
            </w:pPr>
            <w:r>
              <w:rPr>
                <w:rFonts w:hint="eastAsia" w:ascii="Times New Roman" w:hAnsi="Times New Roman" w:eastAsia="仿宋_GB2312"/>
                <w:color w:val="000000"/>
                <w:kern w:val="0"/>
                <w:sz w:val="21"/>
                <w:szCs w:val="21"/>
                <w:lang w:val="en-US" w:eastAsia="zh-CN"/>
              </w:rPr>
              <w:t>长期发挥宣传应急保障作用，长期保护人民其中生命财产安全</w:t>
            </w:r>
            <w:r>
              <w:rPr>
                <w:rFonts w:hint="eastAsia" w:eastAsia="仿宋_GB2312"/>
                <w:color w:val="000000"/>
                <w:kern w:val="0"/>
                <w:sz w:val="21"/>
                <w:szCs w:val="21"/>
                <w:lang w:val="en-US" w:eastAsia="zh-CN"/>
              </w:rPr>
              <w:t>。</w:t>
            </w:r>
          </w:p>
        </w:tc>
        <w:tc>
          <w:tcPr>
            <w:tcW w:w="1064"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ind w:firstLine="420" w:firstLineChars="200"/>
              <w:rPr>
                <w:rFonts w:hint="eastAsia" w:ascii="Times New Roman" w:hAnsi="Times New Roman" w:eastAsia="仿宋_GB2312"/>
                <w:color w:val="000000"/>
                <w:kern w:val="0"/>
                <w:sz w:val="21"/>
                <w:szCs w:val="21"/>
                <w:lang w:val="en-US" w:eastAsia="zh-CN"/>
              </w:rPr>
            </w:pPr>
            <w:r>
              <w:rPr>
                <w:rFonts w:hint="eastAsia" w:ascii="仿宋" w:hAnsi="仿宋" w:eastAsia="仿宋"/>
                <w:color w:val="000000"/>
                <w:kern w:val="0"/>
                <w:szCs w:val="21"/>
              </w:rPr>
              <w:t>≥</w:t>
            </w:r>
          </w:p>
        </w:tc>
        <w:tc>
          <w:tcPr>
            <w:tcW w:w="964"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Times New Roman" w:hAnsi="Times New Roman" w:eastAsia="仿宋_GB2312"/>
                <w:color w:val="000000"/>
                <w:kern w:val="0"/>
                <w:sz w:val="21"/>
                <w:szCs w:val="21"/>
                <w:lang w:val="en-US" w:eastAsia="zh-CN"/>
              </w:rPr>
            </w:pPr>
            <w:r>
              <w:rPr>
                <w:rFonts w:hint="eastAsia" w:ascii="Times New Roman" w:hAnsi="Times New Roman" w:eastAsia="仿宋_GB2312"/>
                <w:color w:val="000000"/>
                <w:kern w:val="0"/>
                <w:szCs w:val="21"/>
              </w:rPr>
              <w:t>100%</w:t>
            </w:r>
          </w:p>
        </w:tc>
        <w:tc>
          <w:tcPr>
            <w:tcW w:w="91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10</w:t>
            </w:r>
          </w:p>
        </w:tc>
        <w:tc>
          <w:tcPr>
            <w:tcW w:w="82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10</w:t>
            </w:r>
          </w:p>
        </w:tc>
        <w:tc>
          <w:tcPr>
            <w:tcW w:w="103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25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1064"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成本指标（20分）</w:t>
            </w:r>
          </w:p>
        </w:tc>
        <w:tc>
          <w:tcPr>
            <w:tcW w:w="17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经济成本指标</w:t>
            </w:r>
          </w:p>
        </w:tc>
        <w:tc>
          <w:tcPr>
            <w:tcW w:w="112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eastAsia="zh-CN"/>
              </w:rPr>
              <w:t>建设成本</w:t>
            </w: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kern w:val="2"/>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545.18</w:t>
            </w:r>
          </w:p>
        </w:tc>
        <w:tc>
          <w:tcPr>
            <w:tcW w:w="96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kern w:val="2"/>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465.6</w:t>
            </w:r>
          </w:p>
        </w:tc>
        <w:tc>
          <w:tcPr>
            <w:tcW w:w="9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kern w:val="2"/>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20</w:t>
            </w:r>
          </w:p>
        </w:tc>
        <w:tc>
          <w:tcPr>
            <w:tcW w:w="8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kern w:val="2"/>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20</w:t>
            </w:r>
          </w:p>
        </w:tc>
        <w:tc>
          <w:tcPr>
            <w:tcW w:w="103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25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106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17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社会成本指标</w:t>
            </w:r>
          </w:p>
        </w:tc>
        <w:tc>
          <w:tcPr>
            <w:tcW w:w="1125"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 w:hAnsi="仿宋" w:eastAsia="仿宋" w:cs="仿宋"/>
                <w:sz w:val="22"/>
                <w:szCs w:val="22"/>
              </w:rPr>
            </w:pPr>
            <w:r>
              <w:rPr>
                <w:rFonts w:hint="eastAsia" w:ascii="仿宋" w:hAnsi="仿宋" w:eastAsia="仿宋" w:cs="仿宋"/>
                <w:color w:val="000000"/>
                <w:kern w:val="0"/>
                <w:sz w:val="22"/>
                <w:szCs w:val="22"/>
                <w:lang w:val="en-US" w:eastAsia="zh-CN"/>
              </w:rPr>
              <w:t xml:space="preserve">不适用 </w:t>
            </w:r>
          </w:p>
          <w:p>
            <w:pPr>
              <w:rPr>
                <w:rFonts w:hint="eastAsia" w:ascii="仿宋_GB2312" w:hAnsi="仿宋_GB2312" w:eastAsia="仿宋_GB2312" w:cs="仿宋_GB2312"/>
                <w:b w:val="0"/>
                <w:bCs w:val="0"/>
                <w:i w:val="0"/>
                <w:iCs w:val="0"/>
                <w:color w:val="000000"/>
                <w:sz w:val="22"/>
                <w:szCs w:val="22"/>
                <w:u w:val="none"/>
              </w:rPr>
            </w:pP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0</w:t>
            </w:r>
          </w:p>
        </w:tc>
        <w:tc>
          <w:tcPr>
            <w:tcW w:w="96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0</w:t>
            </w:r>
          </w:p>
        </w:tc>
        <w:tc>
          <w:tcPr>
            <w:tcW w:w="9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0</w:t>
            </w:r>
          </w:p>
        </w:tc>
        <w:tc>
          <w:tcPr>
            <w:tcW w:w="8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0</w:t>
            </w:r>
          </w:p>
        </w:tc>
        <w:tc>
          <w:tcPr>
            <w:tcW w:w="103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25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106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17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生态环境成本指标</w:t>
            </w:r>
          </w:p>
        </w:tc>
        <w:tc>
          <w:tcPr>
            <w:tcW w:w="1125"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b w:val="0"/>
                <w:bCs w:val="0"/>
                <w:i w:val="0"/>
                <w:iCs w:val="0"/>
                <w:color w:val="000000"/>
                <w:sz w:val="22"/>
                <w:szCs w:val="22"/>
                <w:u w:val="none"/>
                <w:lang w:eastAsia="zh-CN"/>
              </w:rPr>
            </w:pPr>
            <w:r>
              <w:rPr>
                <w:rFonts w:hint="eastAsia" w:ascii="仿宋_GB2312" w:hAnsi="仿宋_GB2312" w:eastAsia="仿宋_GB2312" w:cs="仿宋_GB2312"/>
                <w:b w:val="0"/>
                <w:bCs w:val="0"/>
                <w:i w:val="0"/>
                <w:iCs w:val="0"/>
                <w:color w:val="000000"/>
                <w:sz w:val="22"/>
                <w:szCs w:val="22"/>
                <w:u w:val="none"/>
                <w:lang w:eastAsia="zh-CN"/>
              </w:rPr>
              <w:t>不适用</w:t>
            </w:r>
          </w:p>
        </w:tc>
        <w:tc>
          <w:tcPr>
            <w:tcW w:w="106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0</w:t>
            </w:r>
          </w:p>
        </w:tc>
        <w:tc>
          <w:tcPr>
            <w:tcW w:w="96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0</w:t>
            </w:r>
          </w:p>
        </w:tc>
        <w:tc>
          <w:tcPr>
            <w:tcW w:w="9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0</w:t>
            </w:r>
          </w:p>
        </w:tc>
        <w:tc>
          <w:tcPr>
            <w:tcW w:w="8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0</w:t>
            </w:r>
          </w:p>
        </w:tc>
        <w:tc>
          <w:tcPr>
            <w:tcW w:w="103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25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10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满意度指标（20分）</w:t>
            </w:r>
          </w:p>
        </w:tc>
        <w:tc>
          <w:tcPr>
            <w:tcW w:w="17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服务对象满意度指标</w:t>
            </w:r>
          </w:p>
        </w:tc>
        <w:tc>
          <w:tcPr>
            <w:tcW w:w="1125"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Times New Roman" w:hAnsi="Times New Roman" w:eastAsia="仿宋_GB2312"/>
                <w:color w:val="000000"/>
                <w:kern w:val="0"/>
                <w:sz w:val="21"/>
                <w:szCs w:val="21"/>
                <w:lang w:val="en-US" w:eastAsia="zh-CN"/>
              </w:rPr>
            </w:pPr>
            <w:r>
              <w:rPr>
                <w:rFonts w:hint="eastAsia" w:ascii="Times New Roman" w:hAnsi="Times New Roman" w:eastAsia="仿宋_GB2312"/>
                <w:color w:val="000000"/>
                <w:kern w:val="0"/>
                <w:szCs w:val="21"/>
              </w:rPr>
              <w:t>社会公众或服务对象满意度</w:t>
            </w:r>
          </w:p>
        </w:tc>
        <w:tc>
          <w:tcPr>
            <w:tcW w:w="1064"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ind w:firstLine="420" w:firstLineChars="200"/>
              <w:rPr>
                <w:rFonts w:hint="eastAsia" w:ascii="Times New Roman" w:hAnsi="Times New Roman" w:eastAsia="仿宋_GB2312"/>
                <w:color w:val="000000"/>
                <w:kern w:val="0"/>
                <w:sz w:val="21"/>
                <w:szCs w:val="21"/>
                <w:lang w:val="en-US" w:eastAsia="zh-CN"/>
              </w:rPr>
            </w:pPr>
            <w:r>
              <w:rPr>
                <w:rFonts w:hint="eastAsia" w:ascii="仿宋" w:hAnsi="仿宋" w:eastAsia="仿宋"/>
                <w:color w:val="000000"/>
                <w:kern w:val="0"/>
                <w:szCs w:val="21"/>
              </w:rPr>
              <w:t>≥</w:t>
            </w:r>
          </w:p>
        </w:tc>
        <w:tc>
          <w:tcPr>
            <w:tcW w:w="964"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Times New Roman" w:hAnsi="Times New Roman" w:eastAsia="仿宋_GB2312"/>
                <w:color w:val="000000"/>
                <w:kern w:val="0"/>
                <w:sz w:val="21"/>
                <w:szCs w:val="21"/>
                <w:lang w:val="en-US" w:eastAsia="zh-CN"/>
              </w:rPr>
            </w:pPr>
            <w:r>
              <w:rPr>
                <w:rFonts w:hint="eastAsia" w:ascii="Times New Roman" w:hAnsi="Times New Roman" w:eastAsia="仿宋_GB2312"/>
                <w:color w:val="000000"/>
                <w:kern w:val="0"/>
                <w:szCs w:val="21"/>
              </w:rPr>
              <w:t>100%</w:t>
            </w:r>
          </w:p>
        </w:tc>
        <w:tc>
          <w:tcPr>
            <w:tcW w:w="9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kern w:val="2"/>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20</w:t>
            </w:r>
          </w:p>
        </w:tc>
        <w:tc>
          <w:tcPr>
            <w:tcW w:w="8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kern w:val="2"/>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20</w:t>
            </w:r>
          </w:p>
        </w:tc>
        <w:tc>
          <w:tcPr>
            <w:tcW w:w="103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5" w:hRule="atLeast"/>
        </w:trPr>
        <w:tc>
          <w:tcPr>
            <w:tcW w:w="7228" w:type="dxa"/>
            <w:gridSpan w:val="6"/>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rPr>
              <w:t>总分</w:t>
            </w:r>
          </w:p>
        </w:tc>
        <w:tc>
          <w:tcPr>
            <w:tcW w:w="91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仿宋_GB2312" w:eastAsia="仿宋_GB2312" w:cs="仿宋_GB2312"/>
                <w:b w:val="0"/>
                <w:bCs w:val="0"/>
                <w:i w:val="0"/>
                <w:iCs w:val="0"/>
                <w:color w:val="000000"/>
                <w:sz w:val="22"/>
                <w:szCs w:val="22"/>
                <w:u w:val="none"/>
                <w:lang w:val="en-US"/>
              </w:rPr>
            </w:pPr>
            <w:r>
              <w:rPr>
                <w:rFonts w:hint="eastAsia" w:ascii="仿宋_GB2312" w:hAnsi="仿宋_GB2312" w:eastAsia="仿宋_GB2312" w:cs="仿宋_GB2312"/>
                <w:b w:val="0"/>
                <w:bCs w:val="0"/>
                <w:i w:val="0"/>
                <w:iCs w:val="0"/>
                <w:color w:val="000000"/>
                <w:kern w:val="0"/>
                <w:sz w:val="22"/>
                <w:szCs w:val="22"/>
                <w:u w:val="none"/>
                <w:lang w:val="en-US" w:eastAsia="zh-CN"/>
              </w:rPr>
              <w:t>100</w:t>
            </w:r>
          </w:p>
        </w:tc>
        <w:tc>
          <w:tcPr>
            <w:tcW w:w="82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b w:val="0"/>
                <w:bCs w:val="0"/>
                <w:i w:val="0"/>
                <w:iCs w:val="0"/>
                <w:color w:val="000000"/>
                <w:sz w:val="22"/>
                <w:szCs w:val="22"/>
                <w:u w:val="none"/>
                <w:lang w:val="en-US" w:eastAsia="zh-CN"/>
              </w:rPr>
            </w:pPr>
            <w:r>
              <w:rPr>
                <w:rFonts w:hint="eastAsia" w:ascii="仿宋_GB2312" w:hAnsi="仿宋_GB2312" w:eastAsia="仿宋_GB2312" w:cs="仿宋_GB2312"/>
                <w:b w:val="0"/>
                <w:bCs w:val="0"/>
                <w:i w:val="0"/>
                <w:iCs w:val="0"/>
                <w:color w:val="000000"/>
                <w:sz w:val="22"/>
                <w:szCs w:val="22"/>
                <w:u w:val="none"/>
                <w:lang w:val="en-US" w:eastAsia="zh-CN"/>
              </w:rPr>
              <w:t>100</w:t>
            </w:r>
          </w:p>
        </w:tc>
        <w:tc>
          <w:tcPr>
            <w:tcW w:w="103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val="0"/>
                <w:bCs w:val="0"/>
                <w:i w:val="0"/>
                <w:iCs w:val="0"/>
                <w:color w:val="000000"/>
                <w:sz w:val="22"/>
                <w:szCs w:val="22"/>
                <w:u w:val="none"/>
              </w:rPr>
            </w:pPr>
          </w:p>
        </w:tc>
      </w:tr>
    </w:tbl>
    <w:p>
      <w:pPr>
        <w:spacing w:beforeLines="50"/>
        <w:rPr>
          <w:rFonts w:ascii="Times New Roman" w:hAnsi="Times New Roman"/>
        </w:rPr>
      </w:pPr>
    </w:p>
    <w:p>
      <w:pPr>
        <w:spacing w:beforeLines="50"/>
        <w:rPr>
          <w:rFonts w:ascii="Times New Roman" w:hAnsi="Times New Roman"/>
        </w:rPr>
      </w:pPr>
    </w:p>
    <w:p>
      <w:pPr>
        <w:spacing w:line="600" w:lineRule="exact"/>
        <w:rPr>
          <w:rFonts w:ascii="Times New Roman" w:hAnsi="Times New Roman" w:eastAsia="方正小标宋_GBK"/>
          <w:sz w:val="36"/>
          <w:szCs w:val="36"/>
        </w:rPr>
      </w:pPr>
      <w:bookmarkStart w:id="0" w:name="_GoBack"/>
      <w:bookmarkEnd w:id="0"/>
    </w:p>
    <w:p>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项目支出绩效自评报告</w:t>
      </w:r>
    </w:p>
    <w:p>
      <w:pPr>
        <w:adjustRightInd w:val="0"/>
        <w:spacing w:line="600" w:lineRule="exact"/>
        <w:ind w:right="641"/>
        <w:rPr>
          <w:rFonts w:ascii="Times New Roman" w:hAnsi="Times New Roman" w:eastAsia="仿宋_GB2312"/>
          <w:sz w:val="32"/>
          <w:szCs w:val="32"/>
        </w:rPr>
      </w:pPr>
    </w:p>
    <w:p>
      <w:pPr>
        <w:adjustRightInd w:val="0"/>
        <w:snapToGrid w:val="0"/>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一、项目支出概况</w:t>
      </w:r>
    </w:p>
    <w:p>
      <w:pPr>
        <w:adjustRightInd w:val="0"/>
        <w:snapToGrid w:val="0"/>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（一）项目实施单位基本情况。</w:t>
      </w:r>
    </w:p>
    <w:p>
      <w:pPr>
        <w:adjustRightInd w:val="0"/>
        <w:snapToGrid w:val="0"/>
        <w:spacing w:line="600" w:lineRule="exact"/>
        <w:ind w:firstLine="640" w:firstLineChars="200"/>
        <w:rPr>
          <w:rFonts w:hint="eastAsia" w:ascii="仿宋" w:hAnsi="仿宋" w:eastAsia="仿宋" w:cs="仿宋"/>
          <w:i w:val="0"/>
          <w:iCs w:val="0"/>
          <w:caps w:val="0"/>
          <w:color w:val="515151"/>
          <w:spacing w:val="0"/>
          <w:sz w:val="32"/>
          <w:szCs w:val="32"/>
        </w:rPr>
      </w:pPr>
      <w:r>
        <w:rPr>
          <w:rFonts w:hint="eastAsia" w:ascii="仿宋" w:hAnsi="仿宋" w:eastAsia="仿宋" w:cs="仿宋"/>
          <w:i w:val="0"/>
          <w:iCs w:val="0"/>
          <w:caps w:val="0"/>
          <w:color w:val="515151"/>
          <w:spacing w:val="0"/>
          <w:sz w:val="32"/>
          <w:szCs w:val="32"/>
        </w:rPr>
        <w:t>衡阳市文化旅游广电体育局（以下简称市文化旅游广电体育局）是市政府工作部门，为正处级，对外加挂衡阳市文物局牌子。</w:t>
      </w:r>
    </w:p>
    <w:p>
      <w:pPr>
        <w:widowControl/>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 w:hAnsi="仿宋" w:eastAsia="仿宋" w:cs="仿宋"/>
          <w:i w:val="0"/>
          <w:iCs w:val="0"/>
          <w:caps w:val="0"/>
          <w:color w:val="515151"/>
          <w:spacing w:val="0"/>
          <w:sz w:val="32"/>
          <w:szCs w:val="32"/>
        </w:rPr>
      </w:pPr>
      <w:r>
        <w:rPr>
          <w:rFonts w:hint="eastAsia" w:ascii="仿宋" w:hAnsi="仿宋" w:eastAsia="仿宋" w:cs="仿宋"/>
          <w:i w:val="0"/>
          <w:iCs w:val="0"/>
          <w:caps w:val="0"/>
          <w:color w:val="515151"/>
          <w:spacing w:val="0"/>
          <w:kern w:val="0"/>
          <w:sz w:val="32"/>
          <w:szCs w:val="32"/>
          <w:lang w:val="en-US" w:eastAsia="zh-CN"/>
        </w:rPr>
        <w:t>市文化旅游广电体育局贯彻落实党中央关于文化（文物）、旅游、广播电视、体育工作的方针政策和决策部署以及省委、市委关于上述工作的部署要求，在履行职责过程中坚持和加强党对文化（文物）、旅游、广播电视、体育工作的集中统一领导。主要职责是：</w:t>
      </w:r>
    </w:p>
    <w:p>
      <w:pPr>
        <w:widowControl/>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 w:hAnsi="仿宋" w:eastAsia="仿宋" w:cs="仿宋"/>
          <w:i w:val="0"/>
          <w:iCs w:val="0"/>
          <w:caps w:val="0"/>
          <w:color w:val="515151"/>
          <w:spacing w:val="0"/>
          <w:sz w:val="32"/>
          <w:szCs w:val="32"/>
        </w:rPr>
      </w:pPr>
      <w:r>
        <w:rPr>
          <w:rFonts w:hint="eastAsia" w:ascii="仿宋" w:hAnsi="仿宋" w:eastAsia="仿宋" w:cs="仿宋"/>
          <w:i w:val="0"/>
          <w:iCs w:val="0"/>
          <w:caps w:val="0"/>
          <w:color w:val="515151"/>
          <w:spacing w:val="0"/>
          <w:kern w:val="0"/>
          <w:sz w:val="32"/>
          <w:szCs w:val="32"/>
          <w:lang w:val="en-US" w:eastAsia="zh-CN"/>
        </w:rPr>
        <w:t>（一）研究拟订、组织实施全市文化（文物）、旅游、广播电视、体育政策措施、发展规划,加强监督检查和评估，推进体制机制改革，促进融合创新发展。</w:t>
      </w:r>
    </w:p>
    <w:p>
      <w:pPr>
        <w:widowControl/>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 w:hAnsi="仿宋" w:eastAsia="仿宋" w:cs="仿宋"/>
          <w:i w:val="0"/>
          <w:iCs w:val="0"/>
          <w:caps w:val="0"/>
          <w:color w:val="515151"/>
          <w:spacing w:val="0"/>
          <w:sz w:val="32"/>
          <w:szCs w:val="32"/>
        </w:rPr>
      </w:pPr>
      <w:r>
        <w:rPr>
          <w:rFonts w:hint="eastAsia" w:ascii="仿宋" w:hAnsi="仿宋" w:eastAsia="仿宋" w:cs="仿宋"/>
          <w:i w:val="0"/>
          <w:iCs w:val="0"/>
          <w:caps w:val="0"/>
          <w:color w:val="515151"/>
          <w:spacing w:val="0"/>
          <w:kern w:val="0"/>
          <w:sz w:val="32"/>
          <w:szCs w:val="32"/>
          <w:lang w:val="en-US" w:eastAsia="zh-CN"/>
        </w:rPr>
        <w:t>（二）统筹规划、指导协调全市文化（文物）、旅游、广播电视、体育事业，实施资源挖掘、保护和利用工作，加强信息化标准化建设，推动对外交流与合作。</w:t>
      </w:r>
    </w:p>
    <w:p>
      <w:pPr>
        <w:widowControl/>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 w:hAnsi="仿宋" w:eastAsia="仿宋" w:cs="仿宋"/>
          <w:i w:val="0"/>
          <w:iCs w:val="0"/>
          <w:caps w:val="0"/>
          <w:color w:val="515151"/>
          <w:spacing w:val="0"/>
          <w:sz w:val="32"/>
          <w:szCs w:val="32"/>
        </w:rPr>
      </w:pPr>
      <w:r>
        <w:rPr>
          <w:rFonts w:hint="eastAsia" w:ascii="仿宋" w:hAnsi="仿宋" w:eastAsia="仿宋" w:cs="仿宋"/>
          <w:i w:val="0"/>
          <w:iCs w:val="0"/>
          <w:caps w:val="0"/>
          <w:color w:val="515151"/>
          <w:spacing w:val="0"/>
          <w:kern w:val="0"/>
          <w:sz w:val="32"/>
          <w:szCs w:val="32"/>
          <w:lang w:val="en-US" w:eastAsia="zh-CN"/>
        </w:rPr>
        <w:t>（三）指导、协调全市文化、旅游、广播电视、体育产业发展，促进经营主体、经营模式多样化和投资渠道多元化，壮大传统产业，培育孵化新型业态。</w:t>
      </w:r>
    </w:p>
    <w:p>
      <w:pPr>
        <w:widowControl/>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 w:hAnsi="仿宋" w:eastAsia="仿宋" w:cs="仿宋"/>
          <w:i w:val="0"/>
          <w:iCs w:val="0"/>
          <w:caps w:val="0"/>
          <w:color w:val="515151"/>
          <w:spacing w:val="0"/>
          <w:sz w:val="32"/>
          <w:szCs w:val="32"/>
        </w:rPr>
      </w:pPr>
      <w:r>
        <w:rPr>
          <w:rFonts w:hint="eastAsia" w:ascii="仿宋" w:hAnsi="仿宋" w:eastAsia="仿宋" w:cs="仿宋"/>
          <w:i w:val="0"/>
          <w:iCs w:val="0"/>
          <w:caps w:val="0"/>
          <w:color w:val="515151"/>
          <w:spacing w:val="0"/>
          <w:kern w:val="0"/>
          <w:sz w:val="32"/>
          <w:szCs w:val="32"/>
          <w:lang w:val="en-US" w:eastAsia="zh-CN"/>
        </w:rPr>
        <w:t>（四）指导全市文化、旅游、广播电视、体育市场发展，制定实施市场开发战略，加强市场经营行业监管，规范市场经营行为，推进行业信用体系建设；加强市场推广，推进全域旅游。</w:t>
      </w:r>
    </w:p>
    <w:p>
      <w:pPr>
        <w:widowControl/>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 w:hAnsi="仿宋" w:eastAsia="仿宋" w:cs="仿宋"/>
          <w:i w:val="0"/>
          <w:iCs w:val="0"/>
          <w:caps w:val="0"/>
          <w:color w:val="515151"/>
          <w:spacing w:val="0"/>
          <w:sz w:val="32"/>
          <w:szCs w:val="32"/>
        </w:rPr>
      </w:pPr>
      <w:r>
        <w:rPr>
          <w:rFonts w:hint="eastAsia" w:ascii="仿宋" w:hAnsi="仿宋" w:eastAsia="仿宋" w:cs="仿宋"/>
          <w:i w:val="0"/>
          <w:iCs w:val="0"/>
          <w:caps w:val="0"/>
          <w:color w:val="515151"/>
          <w:spacing w:val="0"/>
          <w:kern w:val="0"/>
          <w:sz w:val="32"/>
          <w:szCs w:val="32"/>
          <w:lang w:val="en-US" w:eastAsia="zh-CN"/>
        </w:rPr>
        <w:t>（五）管理全市性文化、旅游、广播电视、体育重大活动，加强整体形象宣传推广，扩大活动影响力、辐射力，发挥活动示范带动效应。</w:t>
      </w:r>
    </w:p>
    <w:p>
      <w:pPr>
        <w:widowControl/>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 w:hAnsi="仿宋" w:eastAsia="仿宋" w:cs="仿宋"/>
          <w:i w:val="0"/>
          <w:iCs w:val="0"/>
          <w:caps w:val="0"/>
          <w:color w:val="515151"/>
          <w:spacing w:val="0"/>
          <w:sz w:val="32"/>
          <w:szCs w:val="32"/>
        </w:rPr>
      </w:pPr>
      <w:r>
        <w:rPr>
          <w:rFonts w:hint="eastAsia" w:ascii="仿宋" w:hAnsi="仿宋" w:eastAsia="仿宋" w:cs="仿宋"/>
          <w:i w:val="0"/>
          <w:iCs w:val="0"/>
          <w:caps w:val="0"/>
          <w:color w:val="515151"/>
          <w:spacing w:val="0"/>
          <w:kern w:val="0"/>
          <w:sz w:val="32"/>
          <w:szCs w:val="32"/>
          <w:lang w:val="en-US" w:eastAsia="zh-CN"/>
        </w:rPr>
        <w:t>（六）指导全市文化市场综合执法和文物、旅游、体育、新闻出版（版权）行政执法，监管从事演艺活动的民办机构和网络游戏服务。</w:t>
      </w:r>
    </w:p>
    <w:p>
      <w:pPr>
        <w:widowControl/>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 w:hAnsi="仿宋" w:eastAsia="仿宋" w:cs="仿宋"/>
          <w:i w:val="0"/>
          <w:iCs w:val="0"/>
          <w:caps w:val="0"/>
          <w:color w:val="515151"/>
          <w:spacing w:val="0"/>
          <w:sz w:val="32"/>
          <w:szCs w:val="32"/>
        </w:rPr>
      </w:pPr>
      <w:r>
        <w:rPr>
          <w:rFonts w:hint="eastAsia" w:ascii="仿宋" w:hAnsi="仿宋" w:eastAsia="仿宋" w:cs="仿宋"/>
          <w:i w:val="0"/>
          <w:iCs w:val="0"/>
          <w:caps w:val="0"/>
          <w:color w:val="515151"/>
          <w:spacing w:val="0"/>
          <w:kern w:val="0"/>
          <w:sz w:val="32"/>
          <w:szCs w:val="32"/>
          <w:lang w:val="en-US" w:eastAsia="zh-CN"/>
        </w:rPr>
        <w:t>（七）负责文化（文物）、旅游、广播电视、体育行政审批。</w:t>
      </w:r>
    </w:p>
    <w:p>
      <w:pPr>
        <w:widowControl/>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 w:hAnsi="仿宋" w:eastAsia="仿宋" w:cs="仿宋"/>
          <w:i w:val="0"/>
          <w:iCs w:val="0"/>
          <w:caps w:val="0"/>
          <w:color w:val="515151"/>
          <w:spacing w:val="0"/>
          <w:sz w:val="32"/>
          <w:szCs w:val="32"/>
        </w:rPr>
      </w:pPr>
      <w:r>
        <w:rPr>
          <w:rFonts w:hint="eastAsia" w:ascii="仿宋" w:hAnsi="仿宋" w:eastAsia="仿宋" w:cs="仿宋"/>
          <w:i w:val="0"/>
          <w:iCs w:val="0"/>
          <w:caps w:val="0"/>
          <w:color w:val="515151"/>
          <w:spacing w:val="0"/>
          <w:kern w:val="0"/>
          <w:sz w:val="32"/>
          <w:szCs w:val="32"/>
          <w:lang w:val="en-US" w:eastAsia="zh-CN"/>
        </w:rPr>
        <w:t>（八）推进文化（文物）、旅游、广播电视、体育领域的公共服务体系建设，加强基础设施、组织网络、人才队伍建设，强化经费投入保障。</w:t>
      </w:r>
    </w:p>
    <w:p>
      <w:pPr>
        <w:widowControl/>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 w:hAnsi="仿宋" w:eastAsia="仿宋" w:cs="仿宋"/>
          <w:i w:val="0"/>
          <w:iCs w:val="0"/>
          <w:caps w:val="0"/>
          <w:color w:val="515151"/>
          <w:spacing w:val="0"/>
          <w:sz w:val="32"/>
          <w:szCs w:val="32"/>
        </w:rPr>
      </w:pPr>
      <w:r>
        <w:rPr>
          <w:rFonts w:hint="eastAsia" w:ascii="仿宋" w:hAnsi="仿宋" w:eastAsia="仿宋" w:cs="仿宋"/>
          <w:i w:val="0"/>
          <w:iCs w:val="0"/>
          <w:caps w:val="0"/>
          <w:color w:val="515151"/>
          <w:spacing w:val="0"/>
          <w:kern w:val="0"/>
          <w:sz w:val="32"/>
          <w:szCs w:val="32"/>
          <w:lang w:val="en-US" w:eastAsia="zh-CN"/>
        </w:rPr>
        <w:t>（九）指导艺术创作与艺术生产，扶持体现社会主义核心价值观和具有导向性、代表性、地方性、示范性文化艺术作品，推动各门类艺术发展。</w:t>
      </w:r>
    </w:p>
    <w:p>
      <w:pPr>
        <w:widowControl/>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 w:hAnsi="仿宋" w:eastAsia="仿宋" w:cs="仿宋"/>
          <w:i w:val="0"/>
          <w:iCs w:val="0"/>
          <w:caps w:val="0"/>
          <w:color w:val="515151"/>
          <w:spacing w:val="0"/>
          <w:sz w:val="32"/>
          <w:szCs w:val="32"/>
        </w:rPr>
      </w:pPr>
      <w:r>
        <w:rPr>
          <w:rFonts w:hint="eastAsia" w:ascii="仿宋" w:hAnsi="仿宋" w:eastAsia="仿宋" w:cs="仿宋"/>
          <w:i w:val="0"/>
          <w:iCs w:val="0"/>
          <w:caps w:val="0"/>
          <w:color w:val="515151"/>
          <w:spacing w:val="0"/>
          <w:kern w:val="0"/>
          <w:sz w:val="32"/>
          <w:szCs w:val="32"/>
          <w:lang w:val="en-US" w:eastAsia="zh-CN"/>
        </w:rPr>
        <w:t>（十）协调和指导全市文物保护、管理和利用工作。依法组织协调重大文物违法案件的查处，申报、保护、监督管理世界文化遗产，协调有关部门保护管理历史文化名城（镇、村、街区）以及传统村落，管理和指导考古工作，审核和申报各级文物保护单位；负责文物和博物馆设立资质资格认定以及文物进出境有关许可和鉴定，指导文物和博物馆对外交流与合作。</w:t>
      </w:r>
    </w:p>
    <w:p>
      <w:pPr>
        <w:widowControl/>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 w:hAnsi="仿宋" w:eastAsia="仿宋" w:cs="仿宋"/>
          <w:i w:val="0"/>
          <w:iCs w:val="0"/>
          <w:caps w:val="0"/>
          <w:color w:val="515151"/>
          <w:spacing w:val="0"/>
          <w:sz w:val="32"/>
          <w:szCs w:val="32"/>
        </w:rPr>
      </w:pPr>
      <w:r>
        <w:rPr>
          <w:rFonts w:hint="eastAsia" w:ascii="仿宋" w:hAnsi="仿宋" w:eastAsia="仿宋" w:cs="仿宋"/>
          <w:i w:val="0"/>
          <w:iCs w:val="0"/>
          <w:caps w:val="0"/>
          <w:color w:val="515151"/>
          <w:spacing w:val="0"/>
          <w:kern w:val="0"/>
          <w:sz w:val="32"/>
          <w:szCs w:val="32"/>
          <w:lang w:val="en-US" w:eastAsia="zh-CN"/>
        </w:rPr>
        <w:t>（十一）管理全市非物质文化遗产保护，传承优秀民族文化。</w:t>
      </w:r>
    </w:p>
    <w:p>
      <w:pPr>
        <w:widowControl/>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 w:hAnsi="仿宋" w:eastAsia="仿宋" w:cs="仿宋"/>
          <w:i w:val="0"/>
          <w:iCs w:val="0"/>
          <w:caps w:val="0"/>
          <w:color w:val="515151"/>
          <w:spacing w:val="0"/>
          <w:sz w:val="32"/>
          <w:szCs w:val="32"/>
        </w:rPr>
      </w:pPr>
      <w:r>
        <w:rPr>
          <w:rFonts w:hint="eastAsia" w:ascii="仿宋" w:hAnsi="仿宋" w:eastAsia="仿宋" w:cs="仿宋"/>
          <w:i w:val="0"/>
          <w:iCs w:val="0"/>
          <w:caps w:val="0"/>
          <w:color w:val="515151"/>
          <w:spacing w:val="0"/>
          <w:kern w:val="0"/>
          <w:sz w:val="32"/>
          <w:szCs w:val="32"/>
          <w:lang w:val="en-US" w:eastAsia="zh-CN"/>
        </w:rPr>
        <w:t>（十二）指导全市广播电视事业，负责各类广播电视机构的业务指导和行业监管，指导、实施全市广播电视全市性重大宣传活动，加强广播电视节目内容、质量及传输、监测、播出、覆盖监管，指导、协调电信网、广播电视网、互联网“三网”融合。</w:t>
      </w:r>
    </w:p>
    <w:p>
      <w:pPr>
        <w:widowControl/>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 w:hAnsi="仿宋" w:eastAsia="仿宋" w:cs="仿宋"/>
          <w:i w:val="0"/>
          <w:iCs w:val="0"/>
          <w:caps w:val="0"/>
          <w:color w:val="515151"/>
          <w:spacing w:val="0"/>
          <w:sz w:val="32"/>
          <w:szCs w:val="32"/>
        </w:rPr>
      </w:pPr>
      <w:r>
        <w:rPr>
          <w:rFonts w:hint="eastAsia" w:ascii="仿宋" w:hAnsi="仿宋" w:eastAsia="仿宋" w:cs="仿宋"/>
          <w:i w:val="0"/>
          <w:iCs w:val="0"/>
          <w:caps w:val="0"/>
          <w:color w:val="515151"/>
          <w:spacing w:val="0"/>
          <w:kern w:val="0"/>
          <w:sz w:val="32"/>
          <w:szCs w:val="32"/>
          <w:lang w:val="en-US" w:eastAsia="zh-CN"/>
        </w:rPr>
        <w:t>（十三）推行全民健身计划，指导群众性体育活动的开展和群众体育机构和队伍建设，监督实施国家体育锻炼标准，推动国民体质监测和社会体育指导工作队伍制度建设。</w:t>
      </w:r>
    </w:p>
    <w:p>
      <w:pPr>
        <w:widowControl/>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 w:hAnsi="仿宋" w:eastAsia="仿宋" w:cs="仿宋"/>
          <w:i w:val="0"/>
          <w:iCs w:val="0"/>
          <w:caps w:val="0"/>
          <w:color w:val="515151"/>
          <w:spacing w:val="0"/>
          <w:sz w:val="32"/>
          <w:szCs w:val="32"/>
        </w:rPr>
      </w:pPr>
      <w:r>
        <w:rPr>
          <w:rFonts w:hint="eastAsia" w:ascii="仿宋" w:hAnsi="仿宋" w:eastAsia="仿宋" w:cs="仿宋"/>
          <w:i w:val="0"/>
          <w:iCs w:val="0"/>
          <w:caps w:val="0"/>
          <w:color w:val="515151"/>
          <w:spacing w:val="0"/>
          <w:kern w:val="0"/>
          <w:sz w:val="32"/>
          <w:szCs w:val="32"/>
          <w:lang w:val="en-US" w:eastAsia="zh-CN"/>
        </w:rPr>
        <w:t>（十四）推行奥运争光计划，科学设置与布局全市竞技体育项目，组织管理体育训练和各级体育竞赛活动，加强体育后备人才培养和运动员社会保障，指导青少年体育工作。</w:t>
      </w:r>
    </w:p>
    <w:p>
      <w:pPr>
        <w:widowControl/>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 w:hAnsi="仿宋" w:eastAsia="仿宋" w:cs="仿宋"/>
          <w:i w:val="0"/>
          <w:iCs w:val="0"/>
          <w:caps w:val="0"/>
          <w:color w:val="515151"/>
          <w:spacing w:val="0"/>
          <w:sz w:val="32"/>
          <w:szCs w:val="32"/>
        </w:rPr>
      </w:pPr>
      <w:r>
        <w:rPr>
          <w:rFonts w:hint="eastAsia" w:ascii="仿宋" w:hAnsi="仿宋" w:eastAsia="仿宋" w:cs="仿宋"/>
          <w:i w:val="0"/>
          <w:iCs w:val="0"/>
          <w:caps w:val="0"/>
          <w:color w:val="515151"/>
          <w:spacing w:val="0"/>
          <w:kern w:val="0"/>
          <w:sz w:val="32"/>
          <w:szCs w:val="32"/>
          <w:lang w:val="en-US" w:eastAsia="zh-CN"/>
        </w:rPr>
        <w:t>（十五）拟订市直文化旅游广电体育系统人才队伍建设规划并组织实施，负责相关系列专业技术职称评审工作。</w:t>
      </w:r>
    </w:p>
    <w:p>
      <w:pPr>
        <w:widowControl/>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 w:hAnsi="仿宋" w:eastAsia="仿宋" w:cs="仿宋"/>
          <w:i w:val="0"/>
          <w:iCs w:val="0"/>
          <w:caps w:val="0"/>
          <w:color w:val="515151"/>
          <w:spacing w:val="0"/>
          <w:sz w:val="32"/>
          <w:szCs w:val="32"/>
        </w:rPr>
      </w:pPr>
      <w:r>
        <w:rPr>
          <w:rFonts w:hint="eastAsia" w:ascii="仿宋" w:hAnsi="仿宋" w:eastAsia="仿宋" w:cs="仿宋"/>
          <w:i w:val="0"/>
          <w:iCs w:val="0"/>
          <w:caps w:val="0"/>
          <w:color w:val="515151"/>
          <w:spacing w:val="0"/>
          <w:kern w:val="0"/>
          <w:sz w:val="32"/>
          <w:szCs w:val="32"/>
          <w:lang w:val="en-US" w:eastAsia="zh-CN"/>
        </w:rPr>
        <w:t>（十六）指导市直文化旅游广电体育系统党的建设。</w:t>
      </w:r>
    </w:p>
    <w:p>
      <w:pPr>
        <w:widowControl/>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 w:hAnsi="仿宋" w:eastAsia="仿宋" w:cs="仿宋"/>
          <w:i w:val="0"/>
          <w:iCs w:val="0"/>
          <w:caps w:val="0"/>
          <w:color w:val="515151"/>
          <w:spacing w:val="0"/>
          <w:sz w:val="32"/>
          <w:szCs w:val="32"/>
        </w:rPr>
      </w:pPr>
      <w:r>
        <w:rPr>
          <w:rFonts w:hint="eastAsia" w:ascii="仿宋" w:hAnsi="仿宋" w:eastAsia="仿宋" w:cs="仿宋"/>
          <w:i w:val="0"/>
          <w:iCs w:val="0"/>
          <w:caps w:val="0"/>
          <w:color w:val="515151"/>
          <w:spacing w:val="0"/>
          <w:kern w:val="0"/>
          <w:sz w:val="32"/>
          <w:szCs w:val="32"/>
          <w:lang w:val="en-US" w:eastAsia="zh-CN"/>
        </w:rPr>
        <w:t>（十七）负责本行业、领域的应急管理工作，对本行业、领域的安全生产工作实施监督管理。</w:t>
      </w:r>
    </w:p>
    <w:p>
      <w:pPr>
        <w:widowControl/>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both"/>
        <w:rPr>
          <w:rFonts w:hint="eastAsia" w:ascii="仿宋" w:hAnsi="仿宋" w:eastAsia="仿宋" w:cs="仿宋"/>
          <w:i w:val="0"/>
          <w:iCs w:val="0"/>
          <w:caps w:val="0"/>
          <w:color w:val="515151"/>
          <w:spacing w:val="0"/>
          <w:sz w:val="32"/>
          <w:szCs w:val="32"/>
        </w:rPr>
      </w:pPr>
      <w:r>
        <w:rPr>
          <w:rFonts w:hint="eastAsia" w:ascii="仿宋" w:hAnsi="仿宋" w:eastAsia="仿宋" w:cs="仿宋"/>
          <w:i w:val="0"/>
          <w:iCs w:val="0"/>
          <w:caps w:val="0"/>
          <w:color w:val="515151"/>
          <w:spacing w:val="0"/>
          <w:kern w:val="0"/>
          <w:sz w:val="32"/>
          <w:szCs w:val="32"/>
          <w:lang w:val="en-US" w:eastAsia="zh-CN"/>
        </w:rPr>
        <w:t>（十八）完成市委、市政府交办的其他任务。</w:t>
      </w:r>
    </w:p>
    <w:p>
      <w:pPr>
        <w:adjustRightInd w:val="0"/>
        <w:snapToGrid w:val="0"/>
        <w:spacing w:line="600" w:lineRule="exact"/>
        <w:ind w:firstLine="420" w:firstLineChars="200"/>
        <w:rPr>
          <w:rFonts w:ascii="Calibri" w:hAnsi="Calibri" w:eastAsia="宋体" w:cs="Calibri"/>
          <w:i w:val="0"/>
          <w:iCs w:val="0"/>
          <w:caps w:val="0"/>
          <w:color w:val="515151"/>
          <w:spacing w:val="0"/>
          <w:sz w:val="21"/>
          <w:szCs w:val="21"/>
        </w:rPr>
      </w:pPr>
    </w:p>
    <w:p>
      <w:pPr>
        <w:numPr>
          <w:ilvl w:val="0"/>
          <w:numId w:val="1"/>
        </w:numPr>
        <w:adjustRightInd w:val="0"/>
        <w:snapToGrid w:val="0"/>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项目资金基本情况包括预算资金基本性质、用途和主要内容、涉及范围等。</w:t>
      </w:r>
    </w:p>
    <w:p>
      <w:pPr>
        <w:adjustRightInd/>
        <w:snapToGrid/>
        <w:spacing w:line="240" w:lineRule="auto"/>
        <w:ind w:firstLine="640" w:firstLineChars="200"/>
        <w:textAlignment w:val="auto"/>
        <w:rPr>
          <w:rFonts w:ascii="Times New Roman" w:hAnsi="Times New Roman" w:eastAsia="仿宋_GB2312"/>
          <w:sz w:val="32"/>
          <w:szCs w:val="32"/>
        </w:rPr>
      </w:pPr>
      <w:r>
        <w:rPr>
          <w:rFonts w:hint="eastAsia" w:ascii="仿宋" w:hAnsi="仿宋" w:eastAsia="仿宋" w:cs="仿宋"/>
          <w:color w:val="auto"/>
          <w:sz w:val="32"/>
          <w:szCs w:val="32"/>
          <w:shd w:val="clear" w:color="auto" w:fill="FFFFFF"/>
        </w:rPr>
        <w:t>我</w:t>
      </w:r>
      <w:r>
        <w:rPr>
          <w:rFonts w:hint="eastAsia" w:ascii="仿宋" w:hAnsi="仿宋" w:eastAsia="仿宋" w:cs="仿宋"/>
          <w:color w:val="auto"/>
          <w:sz w:val="32"/>
          <w:szCs w:val="32"/>
          <w:shd w:val="clear" w:color="auto" w:fill="FFFFFF"/>
          <w:lang w:eastAsia="zh-CN"/>
        </w:rPr>
        <w:t>局</w:t>
      </w:r>
      <w:r>
        <w:rPr>
          <w:rFonts w:hint="eastAsia" w:ascii="仿宋" w:hAnsi="仿宋" w:eastAsia="仿宋" w:cs="仿宋"/>
          <w:color w:val="auto"/>
          <w:sz w:val="32"/>
          <w:szCs w:val="32"/>
          <w:shd w:val="clear" w:color="auto" w:fill="FFFFFF"/>
        </w:rPr>
        <w:t>202</w:t>
      </w:r>
      <w:r>
        <w:rPr>
          <w:rFonts w:hint="eastAsia" w:ascii="仿宋" w:hAnsi="仿宋" w:eastAsia="仿宋" w:cs="仿宋"/>
          <w:color w:val="auto"/>
          <w:sz w:val="32"/>
          <w:szCs w:val="32"/>
          <w:shd w:val="clear" w:color="auto" w:fill="FFFFFF"/>
          <w:lang w:val="en-US" w:eastAsia="zh-CN"/>
        </w:rPr>
        <w:t>4</w:t>
      </w:r>
      <w:r>
        <w:rPr>
          <w:rFonts w:hint="eastAsia" w:ascii="仿宋" w:hAnsi="仿宋" w:eastAsia="仿宋" w:cs="仿宋"/>
          <w:color w:val="auto"/>
          <w:sz w:val="32"/>
          <w:szCs w:val="32"/>
          <w:shd w:val="clear" w:color="auto" w:fill="FFFFFF"/>
        </w:rPr>
        <w:t>年</w:t>
      </w:r>
      <w:r>
        <w:rPr>
          <w:rFonts w:hint="eastAsia" w:ascii="仿宋" w:hAnsi="仿宋" w:eastAsia="仿宋" w:cs="仿宋"/>
          <w:color w:val="auto"/>
          <w:sz w:val="32"/>
          <w:szCs w:val="32"/>
          <w:shd w:val="clear" w:color="auto" w:fill="FFFFFF"/>
          <w:lang w:val="en-US" w:eastAsia="zh-CN"/>
        </w:rPr>
        <w:t>12</w:t>
      </w:r>
      <w:r>
        <w:rPr>
          <w:rFonts w:hint="eastAsia" w:ascii="仿宋" w:hAnsi="仿宋" w:eastAsia="仿宋" w:cs="仿宋"/>
          <w:color w:val="auto"/>
          <w:sz w:val="32"/>
          <w:szCs w:val="32"/>
          <w:shd w:val="clear" w:color="auto" w:fill="FFFFFF"/>
        </w:rPr>
        <w:t>月</w:t>
      </w:r>
      <w:r>
        <w:rPr>
          <w:rFonts w:hint="eastAsia" w:ascii="仿宋" w:hAnsi="仿宋" w:eastAsia="仿宋" w:cs="仿宋"/>
          <w:color w:val="auto"/>
          <w:sz w:val="32"/>
          <w:szCs w:val="32"/>
          <w:shd w:val="clear" w:color="auto" w:fill="FFFFFF"/>
          <w:lang w:val="en-US" w:eastAsia="zh-CN"/>
        </w:rPr>
        <w:t>19</w:t>
      </w:r>
      <w:r>
        <w:rPr>
          <w:rFonts w:hint="eastAsia" w:ascii="仿宋" w:hAnsi="仿宋" w:eastAsia="仿宋" w:cs="仿宋"/>
          <w:color w:val="auto"/>
          <w:sz w:val="32"/>
          <w:szCs w:val="32"/>
          <w:shd w:val="clear" w:color="auto" w:fill="FFFFFF"/>
        </w:rPr>
        <w:t>日</w:t>
      </w:r>
      <w:r>
        <w:rPr>
          <w:rFonts w:hint="eastAsia" w:ascii="仿宋" w:hAnsi="仿宋" w:eastAsia="仿宋" w:cs="仿宋"/>
          <w:color w:val="auto"/>
          <w:sz w:val="32"/>
          <w:szCs w:val="32"/>
          <w:shd w:val="clear" w:color="auto" w:fill="FFFFFF"/>
          <w:lang w:eastAsia="zh-CN"/>
        </w:rPr>
        <w:t>收财文A〔2024〕0243号</w:t>
      </w:r>
      <w:r>
        <w:rPr>
          <w:rFonts w:hint="eastAsia" w:ascii="仿宋" w:hAnsi="仿宋" w:eastAsia="仿宋" w:cs="仿宋"/>
          <w:color w:val="auto"/>
          <w:sz w:val="32"/>
          <w:szCs w:val="32"/>
          <w:shd w:val="clear" w:color="auto" w:fill="FFFFFF"/>
        </w:rPr>
        <w:t>指标</w:t>
      </w:r>
      <w:r>
        <w:rPr>
          <w:rFonts w:hint="eastAsia" w:ascii="仿宋" w:hAnsi="仿宋" w:eastAsia="仿宋" w:cs="仿宋"/>
          <w:color w:val="auto"/>
          <w:sz w:val="32"/>
          <w:szCs w:val="32"/>
          <w:shd w:val="clear" w:color="auto" w:fill="FFFFFF"/>
          <w:lang w:val="en-US" w:eastAsia="zh-CN"/>
        </w:rPr>
        <w:t>480万元</w:t>
      </w:r>
      <w:r>
        <w:rPr>
          <w:rFonts w:hint="eastAsia" w:ascii="仿宋" w:hAnsi="仿宋" w:eastAsia="仿宋" w:cs="仿宋"/>
          <w:color w:val="auto"/>
          <w:sz w:val="32"/>
          <w:szCs w:val="32"/>
          <w:shd w:val="clear" w:color="auto" w:fill="FFFFFF"/>
          <w:lang w:eastAsia="zh-CN"/>
        </w:rPr>
        <w:t>、</w:t>
      </w:r>
      <w:r>
        <w:rPr>
          <w:rFonts w:hint="eastAsia" w:ascii="仿宋" w:hAnsi="仿宋" w:eastAsia="仿宋" w:cs="仿宋"/>
          <w:color w:val="auto"/>
          <w:sz w:val="32"/>
          <w:szCs w:val="32"/>
          <w:shd w:val="clear" w:color="auto" w:fill="FFFFFF"/>
          <w:lang w:val="en-US" w:eastAsia="zh-CN"/>
        </w:rPr>
        <w:t>2024年12月23号财文A〔2024〕0261号指标65.18万元，两项</w:t>
      </w:r>
      <w:r>
        <w:rPr>
          <w:rFonts w:hint="eastAsia" w:ascii="仿宋" w:hAnsi="仿宋" w:eastAsia="仿宋" w:cs="仿宋"/>
          <w:color w:val="auto"/>
          <w:sz w:val="32"/>
          <w:szCs w:val="32"/>
          <w:shd w:val="clear" w:color="auto" w:fill="FFFFFF"/>
          <w:lang w:eastAsia="zh-CN"/>
        </w:rPr>
        <w:t>用于市级应急广播平台建设</w:t>
      </w:r>
      <w:r>
        <w:rPr>
          <w:rFonts w:hint="eastAsia" w:ascii="仿宋" w:hAnsi="仿宋" w:eastAsia="仿宋" w:cs="仿宋"/>
          <w:b w:val="0"/>
          <w:bCs w:val="0"/>
          <w:i w:val="0"/>
          <w:iCs w:val="0"/>
          <w:color w:val="auto"/>
          <w:kern w:val="0"/>
          <w:sz w:val="32"/>
          <w:szCs w:val="32"/>
          <w:u w:val="none"/>
          <w:lang w:val="en-US" w:eastAsia="zh-CN"/>
        </w:rPr>
        <w:t>资金545.18</w:t>
      </w:r>
      <w:r>
        <w:rPr>
          <w:rFonts w:hint="eastAsia" w:ascii="仿宋" w:hAnsi="仿宋" w:eastAsia="仿宋" w:cs="仿宋"/>
          <w:color w:val="auto"/>
          <w:sz w:val="32"/>
          <w:szCs w:val="32"/>
          <w:shd w:val="clear" w:color="auto" w:fill="FFFFFF"/>
        </w:rPr>
        <w:t>万元</w:t>
      </w:r>
      <w:r>
        <w:rPr>
          <w:rFonts w:hint="eastAsia" w:ascii="仿宋" w:hAnsi="仿宋" w:eastAsia="仿宋" w:cs="仿宋"/>
          <w:color w:val="auto"/>
          <w:sz w:val="32"/>
          <w:szCs w:val="32"/>
          <w:shd w:val="clear" w:color="auto" w:fill="FFFFFF"/>
          <w:lang w:eastAsia="zh-CN"/>
        </w:rPr>
        <w:t>已全部到位</w:t>
      </w:r>
      <w:r>
        <w:rPr>
          <w:rFonts w:hint="eastAsia" w:ascii="仿宋" w:hAnsi="仿宋" w:eastAsia="仿宋" w:cs="仿宋"/>
          <w:color w:val="auto"/>
          <w:sz w:val="32"/>
          <w:szCs w:val="32"/>
          <w:shd w:val="clear" w:color="auto" w:fill="FFFFFF"/>
        </w:rPr>
        <w:t>，</w:t>
      </w:r>
      <w:r>
        <w:rPr>
          <w:rFonts w:hint="eastAsia" w:ascii="仿宋" w:hAnsi="仿宋" w:eastAsia="仿宋" w:cs="仿宋"/>
          <w:color w:val="auto"/>
          <w:sz w:val="32"/>
          <w:szCs w:val="32"/>
          <w:shd w:val="clear" w:color="auto" w:fill="FFFFFF"/>
          <w:lang w:eastAsia="zh-CN"/>
        </w:rPr>
        <w:t>全部为财政预算内资金。</w:t>
      </w:r>
      <w:r>
        <w:rPr>
          <w:rFonts w:hint="eastAsia" w:ascii="仿宋" w:hAnsi="仿宋" w:eastAsia="仿宋" w:cs="仿宋"/>
          <w:color w:val="3D3D3D"/>
          <w:sz w:val="32"/>
          <w:szCs w:val="32"/>
          <w:shd w:val="clear" w:color="auto" w:fill="FFFFFF"/>
        </w:rPr>
        <w:t>主要为</w:t>
      </w:r>
      <w:r>
        <w:rPr>
          <w:rFonts w:hint="eastAsia" w:ascii="仿宋_GB2312" w:hAnsi="仿宋_GB2312" w:eastAsia="仿宋_GB2312" w:cs="仿宋_GB2312"/>
          <w:b w:val="0"/>
          <w:bCs w:val="0"/>
          <w:i w:val="0"/>
          <w:iCs w:val="0"/>
          <w:color w:val="000000"/>
          <w:kern w:val="0"/>
          <w:sz w:val="32"/>
          <w:szCs w:val="32"/>
          <w:u w:val="none"/>
          <w:lang w:val="en-US" w:eastAsia="zh-CN"/>
        </w:rPr>
        <w:t>市级应急广播系统建设项目金额为480.00万元；研判会议中心、指挥大厅、控制机房等的基础设施改造、电路消防改建、设备设施添置等装修改造费20.18万元；建设单位管理费、技术方案和可行性研究报告编制、工程监理费、网络安全二级等保测评、商用密码应用安全性评估、竣工决算编审和财务决算审核费、系统第三方验收测试费、招标代理费等工程建设其他费用45万元</w:t>
      </w:r>
      <w:r>
        <w:rPr>
          <w:rFonts w:hint="eastAsia" w:ascii="仿宋" w:hAnsi="仿宋" w:eastAsia="仿宋" w:cs="仿宋"/>
          <w:color w:val="3D3D3D"/>
          <w:sz w:val="32"/>
          <w:szCs w:val="32"/>
          <w:shd w:val="clear" w:color="auto" w:fill="FFFFFF"/>
        </w:rPr>
        <w:t>。</w:t>
      </w:r>
    </w:p>
    <w:p>
      <w:pPr>
        <w:numPr>
          <w:ilvl w:val="0"/>
          <w:numId w:val="1"/>
        </w:numPr>
        <w:adjustRightInd w:val="0"/>
        <w:snapToGrid w:val="0"/>
        <w:spacing w:line="600" w:lineRule="exact"/>
        <w:ind w:left="0" w:leftChars="0" w:firstLine="640" w:firstLineChars="200"/>
        <w:rPr>
          <w:rFonts w:ascii="Times New Roman" w:hAnsi="Times New Roman" w:eastAsia="仿宋_GB2312"/>
          <w:sz w:val="32"/>
          <w:szCs w:val="32"/>
        </w:rPr>
      </w:pPr>
      <w:r>
        <w:rPr>
          <w:rFonts w:ascii="Times New Roman" w:hAnsi="Times New Roman" w:eastAsia="仿宋_GB2312"/>
          <w:sz w:val="32"/>
          <w:szCs w:val="32"/>
        </w:rPr>
        <w:t>预算资金绩效目标，包括总体目标和年度目标。</w:t>
      </w:r>
    </w:p>
    <w:p>
      <w:pPr>
        <w:widowControl/>
        <w:ind w:firstLine="640" w:firstLineChars="200"/>
        <w:jc w:val="left"/>
        <w:rPr>
          <w:rFonts w:hint="eastAsia" w:ascii="仿宋" w:hAnsi="仿宋" w:eastAsia="仿宋" w:cs="仿宋"/>
          <w:color w:val="3D3D3D"/>
          <w:sz w:val="32"/>
          <w:szCs w:val="32"/>
          <w:shd w:val="clear" w:color="auto" w:fill="FFFFFF"/>
          <w:lang w:eastAsia="zh-CN"/>
        </w:rPr>
      </w:pPr>
      <w:r>
        <w:rPr>
          <w:rFonts w:hint="eastAsia" w:ascii="仿宋_GB2312" w:hAnsi="仿宋_GB2312" w:eastAsia="仿宋_GB2312" w:cs="仿宋_GB2312"/>
          <w:b w:val="0"/>
          <w:bCs w:val="0"/>
          <w:i w:val="0"/>
          <w:iCs w:val="0"/>
          <w:color w:val="000000"/>
          <w:kern w:val="0"/>
          <w:sz w:val="32"/>
          <w:szCs w:val="32"/>
          <w:u w:val="none"/>
          <w:lang w:val="en-US" w:eastAsia="zh-CN"/>
        </w:rPr>
        <w:t>项目总体目标为全市应急广播工作，进行机房及指挥大厅升级改造，建设1个对全衡阳市应急广播系统的统一调度指挥和管理的市级应急广播平台，市级平台传输覆盖网络建设和完善，与省中心、12个县（市）区进行上下级平台有效对接，实现有效互联互通，实现与对应横向部门进行有效对接，在城区东四个公园景区建设了接收终端等建设内容。按照省委、省政府以及省广电局要求，应急广播建设完成时间为2024年，年度目标与总体目标相一致。</w:t>
      </w:r>
    </w:p>
    <w:p>
      <w:pPr>
        <w:adjustRightInd w:val="0"/>
        <w:snapToGrid w:val="0"/>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二、项目资金使用及管理情况</w:t>
      </w:r>
    </w:p>
    <w:p>
      <w:pPr>
        <w:adjustRightInd w:val="0"/>
        <w:snapToGrid w:val="0"/>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（一）项目资金及自筹资金的安排落实、总投入等情况。</w:t>
      </w:r>
    </w:p>
    <w:p>
      <w:pPr>
        <w:widowControl/>
        <w:ind w:firstLine="640" w:firstLineChars="200"/>
        <w:jc w:val="left"/>
        <w:rPr>
          <w:rFonts w:ascii="Times New Roman" w:hAnsi="Times New Roman" w:eastAsia="仿宋_GB2312"/>
          <w:color w:val="auto"/>
          <w:sz w:val="32"/>
          <w:szCs w:val="32"/>
        </w:rPr>
      </w:pPr>
      <w:r>
        <w:rPr>
          <w:rFonts w:hint="eastAsia" w:ascii="仿宋" w:hAnsi="仿宋" w:eastAsia="仿宋" w:cs="仿宋"/>
          <w:color w:val="auto"/>
          <w:sz w:val="32"/>
          <w:szCs w:val="32"/>
          <w:shd w:val="clear" w:color="auto" w:fill="FFFFFF"/>
          <w:lang w:eastAsia="zh-CN"/>
        </w:rPr>
        <w:t>项目建设中投入资金</w:t>
      </w:r>
      <w:r>
        <w:rPr>
          <w:rFonts w:hint="eastAsia" w:ascii="仿宋" w:hAnsi="仿宋" w:eastAsia="仿宋" w:cs="仿宋"/>
          <w:color w:val="auto"/>
          <w:sz w:val="32"/>
          <w:szCs w:val="32"/>
          <w:shd w:val="clear" w:color="auto" w:fill="FFFFFF"/>
          <w:lang w:val="en-US" w:eastAsia="zh-CN"/>
        </w:rPr>
        <w:t>545.18万元，</w:t>
      </w:r>
      <w:r>
        <w:rPr>
          <w:rFonts w:hint="eastAsia" w:ascii="仿宋" w:hAnsi="仿宋" w:eastAsia="仿宋" w:cs="仿宋"/>
          <w:color w:val="auto"/>
          <w:sz w:val="32"/>
          <w:szCs w:val="32"/>
          <w:shd w:val="clear" w:color="auto" w:fill="FFFFFF"/>
          <w:lang w:eastAsia="zh-CN"/>
        </w:rPr>
        <w:t>全部为财政预算内资金，市财政</w:t>
      </w:r>
      <w:r>
        <w:rPr>
          <w:rFonts w:hint="eastAsia" w:ascii="仿宋" w:hAnsi="仿宋" w:eastAsia="仿宋" w:cs="仿宋"/>
          <w:color w:val="auto"/>
          <w:sz w:val="32"/>
          <w:szCs w:val="32"/>
          <w:shd w:val="clear" w:color="auto" w:fill="FFFFFF"/>
          <w:lang w:val="en-US" w:eastAsia="zh-CN"/>
        </w:rPr>
        <w:t>2024年足额安排落实资金545.18万元。</w:t>
      </w:r>
    </w:p>
    <w:p>
      <w:pPr>
        <w:widowControl/>
        <w:numPr>
          <w:ilvl w:val="0"/>
          <w:numId w:val="2"/>
        </w:numPr>
        <w:ind w:firstLine="640" w:firstLineChars="200"/>
        <w:jc w:val="left"/>
        <w:rPr>
          <w:rFonts w:ascii="Times New Roman" w:hAnsi="Times New Roman" w:eastAsia="仿宋_GB2312"/>
          <w:sz w:val="32"/>
          <w:szCs w:val="32"/>
        </w:rPr>
      </w:pPr>
      <w:r>
        <w:rPr>
          <w:rFonts w:ascii="Times New Roman" w:hAnsi="Times New Roman" w:eastAsia="仿宋_GB2312"/>
          <w:sz w:val="32"/>
          <w:szCs w:val="32"/>
        </w:rPr>
        <w:t>项目资金实际使用情况。</w:t>
      </w:r>
    </w:p>
    <w:p>
      <w:pPr>
        <w:widowControl/>
        <w:numPr>
          <w:numId w:val="0"/>
        </w:numPr>
        <w:ind w:firstLine="640" w:firstLineChars="200"/>
        <w:jc w:val="left"/>
        <w:rPr>
          <w:rFonts w:ascii="Times New Roman" w:hAnsi="Times New Roman" w:eastAsia="仿宋_GB2312"/>
          <w:color w:val="auto"/>
          <w:sz w:val="32"/>
          <w:szCs w:val="32"/>
        </w:rPr>
      </w:pPr>
      <w:r>
        <w:rPr>
          <w:rFonts w:hint="eastAsia" w:ascii="仿宋" w:hAnsi="仿宋" w:eastAsia="仿宋" w:cs="仿宋"/>
          <w:color w:val="auto"/>
          <w:sz w:val="32"/>
          <w:szCs w:val="32"/>
          <w:shd w:val="clear" w:color="auto" w:fill="FFFFFF"/>
          <w:lang w:val="en-US" w:eastAsia="zh-CN"/>
        </w:rPr>
        <w:t>2024</w:t>
      </w:r>
      <w:r>
        <w:rPr>
          <w:rFonts w:hint="eastAsia" w:ascii="仿宋" w:hAnsi="仿宋" w:eastAsia="仿宋" w:cs="仿宋"/>
          <w:color w:val="auto"/>
          <w:sz w:val="32"/>
          <w:szCs w:val="32"/>
          <w:shd w:val="clear" w:color="auto" w:fill="FFFFFF"/>
        </w:rPr>
        <w:t>年通过政府采购</w:t>
      </w:r>
      <w:r>
        <w:rPr>
          <w:rFonts w:hint="eastAsia" w:ascii="仿宋" w:hAnsi="仿宋" w:eastAsia="仿宋" w:cs="仿宋"/>
          <w:color w:val="auto"/>
          <w:sz w:val="32"/>
          <w:szCs w:val="32"/>
          <w:shd w:val="clear" w:color="auto" w:fill="FFFFFF"/>
          <w:lang w:eastAsia="zh-CN"/>
        </w:rPr>
        <w:t>进行应急广播市级平台建设</w:t>
      </w:r>
      <w:r>
        <w:rPr>
          <w:rFonts w:hint="eastAsia" w:ascii="仿宋" w:hAnsi="仿宋" w:eastAsia="仿宋" w:cs="仿宋"/>
          <w:color w:val="auto"/>
          <w:sz w:val="32"/>
          <w:szCs w:val="32"/>
          <w:shd w:val="clear" w:color="auto" w:fill="FFFFFF"/>
        </w:rPr>
        <w:t>，</w:t>
      </w:r>
      <w:r>
        <w:rPr>
          <w:rFonts w:hint="eastAsia" w:ascii="仿宋" w:hAnsi="仿宋" w:eastAsia="仿宋" w:cs="仿宋"/>
          <w:color w:val="auto"/>
          <w:sz w:val="32"/>
          <w:szCs w:val="32"/>
          <w:shd w:val="clear" w:color="auto" w:fill="FFFFFF"/>
          <w:lang w:eastAsia="zh-CN"/>
        </w:rPr>
        <w:t>已经支付建设费用</w:t>
      </w:r>
      <w:r>
        <w:rPr>
          <w:rFonts w:hint="eastAsia" w:ascii="仿宋" w:hAnsi="仿宋" w:eastAsia="仿宋" w:cs="仿宋"/>
          <w:color w:val="auto"/>
          <w:sz w:val="32"/>
          <w:szCs w:val="32"/>
          <w:shd w:val="clear" w:color="auto" w:fill="FFFFFF"/>
          <w:lang w:val="en-US" w:eastAsia="zh-CN"/>
        </w:rPr>
        <w:t>465.6万元，</w:t>
      </w:r>
      <w:r>
        <w:rPr>
          <w:rFonts w:hint="eastAsia" w:ascii="仿宋" w:hAnsi="仿宋" w:eastAsia="仿宋" w:cs="仿宋"/>
          <w:color w:val="auto"/>
          <w:sz w:val="32"/>
          <w:szCs w:val="32"/>
          <w:shd w:val="clear" w:color="auto" w:fill="FFFFFF"/>
        </w:rPr>
        <w:t>后期</w:t>
      </w:r>
      <w:r>
        <w:rPr>
          <w:rFonts w:hint="eastAsia" w:ascii="仿宋" w:hAnsi="仿宋" w:eastAsia="仿宋" w:cs="仿宋"/>
          <w:color w:val="auto"/>
          <w:sz w:val="32"/>
          <w:szCs w:val="32"/>
          <w:shd w:val="clear" w:color="auto" w:fill="FFFFFF"/>
          <w:lang w:eastAsia="zh-CN"/>
        </w:rPr>
        <w:t>还需使用资金</w:t>
      </w:r>
      <w:r>
        <w:rPr>
          <w:rFonts w:hint="eastAsia" w:ascii="仿宋" w:hAnsi="仿宋" w:eastAsia="仿宋" w:cs="仿宋"/>
          <w:color w:val="auto"/>
          <w:sz w:val="32"/>
          <w:szCs w:val="32"/>
          <w:shd w:val="clear" w:color="auto" w:fill="FFFFFF"/>
          <w:lang w:val="en-US" w:eastAsia="zh-CN"/>
        </w:rPr>
        <w:t>79.58</w:t>
      </w:r>
      <w:r>
        <w:rPr>
          <w:rFonts w:hint="eastAsia" w:ascii="仿宋" w:hAnsi="仿宋" w:eastAsia="仿宋" w:cs="仿宋"/>
          <w:color w:val="auto"/>
          <w:sz w:val="32"/>
          <w:szCs w:val="32"/>
          <w:shd w:val="clear" w:color="auto" w:fill="FFFFFF"/>
        </w:rPr>
        <w:t>万元</w:t>
      </w:r>
      <w:r>
        <w:rPr>
          <w:rFonts w:hint="eastAsia" w:ascii="仿宋" w:hAnsi="仿宋" w:eastAsia="仿宋" w:cs="仿宋"/>
          <w:color w:val="auto"/>
          <w:sz w:val="32"/>
          <w:szCs w:val="32"/>
          <w:shd w:val="clear" w:color="auto" w:fill="FFFFFF"/>
          <w:lang w:eastAsia="zh-CN"/>
        </w:rPr>
        <w:t>对已经建设完成的应急广播平台尾款、装修项目以及其他相关项目费用的支付。</w:t>
      </w:r>
    </w:p>
    <w:p>
      <w:pPr>
        <w:widowControl/>
        <w:numPr>
          <w:ilvl w:val="0"/>
          <w:numId w:val="2"/>
        </w:numPr>
        <w:ind w:left="0" w:leftChars="0" w:firstLine="640" w:firstLineChars="200"/>
        <w:jc w:val="left"/>
        <w:rPr>
          <w:rFonts w:ascii="Times New Roman" w:hAnsi="Times New Roman" w:eastAsia="仿宋_GB2312"/>
          <w:sz w:val="32"/>
          <w:szCs w:val="32"/>
        </w:rPr>
      </w:pPr>
      <w:r>
        <w:rPr>
          <w:rFonts w:ascii="Times New Roman" w:hAnsi="Times New Roman" w:eastAsia="仿宋_GB2312"/>
          <w:sz w:val="32"/>
          <w:szCs w:val="32"/>
        </w:rPr>
        <w:t>项目资金管理情况分析，主要包括管理制度、办法的制订及执行情况。</w:t>
      </w:r>
    </w:p>
    <w:p>
      <w:pPr>
        <w:adjustRightInd w:val="0"/>
        <w:snapToGrid w:val="0"/>
        <w:spacing w:line="600" w:lineRule="exact"/>
        <w:ind w:firstLine="640" w:firstLineChars="200"/>
        <w:rPr>
          <w:rFonts w:ascii="Times New Roman" w:hAnsi="Times New Roman" w:eastAsia="仿宋_GB2312"/>
          <w:sz w:val="32"/>
          <w:szCs w:val="32"/>
        </w:rPr>
      </w:pPr>
      <w:r>
        <w:rPr>
          <w:rFonts w:hint="eastAsia" w:ascii="仿宋" w:hAnsi="仿宋" w:eastAsia="仿宋" w:cs="仿宋"/>
          <w:color w:val="3D3D3D"/>
          <w:sz w:val="32"/>
          <w:szCs w:val="32"/>
          <w:shd w:val="clear" w:color="auto" w:fill="FFFFFF"/>
        </w:rPr>
        <w:t>我</w:t>
      </w:r>
      <w:r>
        <w:rPr>
          <w:rFonts w:hint="eastAsia" w:ascii="仿宋" w:hAnsi="仿宋" w:eastAsia="仿宋" w:cs="仿宋"/>
          <w:color w:val="3D3D3D"/>
          <w:sz w:val="32"/>
          <w:szCs w:val="32"/>
          <w:shd w:val="clear" w:color="auto" w:fill="FFFFFF"/>
          <w:lang w:eastAsia="zh-CN"/>
        </w:rPr>
        <w:t>局</w:t>
      </w:r>
      <w:r>
        <w:rPr>
          <w:rFonts w:hint="eastAsia" w:ascii="仿宋" w:hAnsi="仿宋" w:eastAsia="仿宋" w:cs="仿宋"/>
          <w:color w:val="3D3D3D"/>
          <w:sz w:val="32"/>
          <w:szCs w:val="32"/>
          <w:shd w:val="clear" w:color="auto" w:fill="FFFFFF"/>
        </w:rPr>
        <w:t>严格按照专项资金要求，加强有效管理，实行专款专用、</w:t>
      </w:r>
      <w:r>
        <w:rPr>
          <w:rFonts w:hint="eastAsia" w:ascii="仿宋" w:hAnsi="仿宋" w:eastAsia="仿宋" w:cs="仿宋"/>
          <w:color w:val="3D3D3D"/>
          <w:sz w:val="32"/>
          <w:szCs w:val="32"/>
          <w:shd w:val="clear" w:color="auto" w:fill="FFFFFF"/>
          <w:lang w:eastAsia="zh-CN"/>
        </w:rPr>
        <w:t>政府采购等</w:t>
      </w:r>
      <w:r>
        <w:rPr>
          <w:rFonts w:hint="eastAsia" w:ascii="仿宋" w:hAnsi="仿宋" w:eastAsia="仿宋" w:cs="仿宋"/>
          <w:color w:val="3D3D3D"/>
          <w:sz w:val="32"/>
          <w:szCs w:val="32"/>
          <w:shd w:val="clear" w:color="auto" w:fill="FFFFFF"/>
        </w:rPr>
        <w:t>原则使用专项资金，财务审批制度健全，资金支出程序规范。</w:t>
      </w:r>
    </w:p>
    <w:p>
      <w:pPr>
        <w:adjustRightInd w:val="0"/>
        <w:snapToGrid w:val="0"/>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三、项目支出组织实施情况</w:t>
      </w:r>
    </w:p>
    <w:p>
      <w:pPr>
        <w:adjustRightInd w:val="0"/>
        <w:snapToGrid w:val="0"/>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（一）项目资金使用管理情况，主要包括项目资金及项目管理制度建设、日常检查监督管理等情况。</w:t>
      </w:r>
    </w:p>
    <w:p>
      <w:pPr>
        <w:widowControl/>
        <w:ind w:firstLine="640" w:firstLineChars="200"/>
        <w:jc w:val="left"/>
        <w:rPr>
          <w:rFonts w:ascii="Times New Roman" w:hAnsi="Times New Roman" w:eastAsia="仿宋_GB2312"/>
          <w:sz w:val="32"/>
          <w:szCs w:val="32"/>
        </w:rPr>
      </w:pPr>
      <w:r>
        <w:rPr>
          <w:rFonts w:hint="eastAsia" w:ascii="仿宋" w:hAnsi="仿宋" w:eastAsia="仿宋" w:cs="仿宋"/>
          <w:color w:val="3D3D3D"/>
          <w:sz w:val="32"/>
          <w:szCs w:val="32"/>
          <w:shd w:val="clear" w:color="auto" w:fill="FFFFFF"/>
        </w:rPr>
        <w:t>我</w:t>
      </w:r>
      <w:r>
        <w:rPr>
          <w:rFonts w:hint="eastAsia" w:ascii="仿宋" w:hAnsi="仿宋" w:eastAsia="仿宋" w:cs="仿宋"/>
          <w:color w:val="3D3D3D"/>
          <w:sz w:val="32"/>
          <w:szCs w:val="32"/>
          <w:shd w:val="clear" w:color="auto" w:fill="FFFFFF"/>
          <w:lang w:eastAsia="zh-CN"/>
        </w:rPr>
        <w:t>局</w:t>
      </w:r>
      <w:r>
        <w:rPr>
          <w:rFonts w:hint="eastAsia" w:ascii="仿宋" w:hAnsi="仿宋" w:eastAsia="仿宋" w:cs="仿宋"/>
          <w:color w:val="3D3D3D"/>
          <w:sz w:val="32"/>
          <w:szCs w:val="32"/>
          <w:shd w:val="clear" w:color="auto" w:fill="FFFFFF"/>
        </w:rPr>
        <w:t>加强</w:t>
      </w:r>
      <w:r>
        <w:rPr>
          <w:rFonts w:hint="eastAsia" w:ascii="仿宋" w:hAnsi="仿宋" w:eastAsia="仿宋" w:cs="仿宋"/>
          <w:color w:val="3D3D3D"/>
          <w:sz w:val="32"/>
          <w:szCs w:val="32"/>
          <w:shd w:val="clear" w:color="auto" w:fill="FFFFFF"/>
          <w:lang w:eastAsia="zh-CN"/>
        </w:rPr>
        <w:t>对建设项目的</w:t>
      </w:r>
      <w:r>
        <w:rPr>
          <w:rFonts w:hint="eastAsia" w:ascii="仿宋" w:hAnsi="仿宋" w:eastAsia="仿宋" w:cs="仿宋"/>
          <w:color w:val="3D3D3D"/>
          <w:sz w:val="32"/>
          <w:szCs w:val="32"/>
          <w:shd w:val="clear" w:color="auto" w:fill="FFFFFF"/>
        </w:rPr>
        <w:t>管理</w:t>
      </w:r>
      <w:r>
        <w:rPr>
          <w:rFonts w:hint="eastAsia" w:ascii="仿宋" w:hAnsi="仿宋" w:eastAsia="仿宋" w:cs="仿宋"/>
          <w:color w:val="3D3D3D"/>
          <w:sz w:val="32"/>
          <w:szCs w:val="32"/>
          <w:shd w:val="clear" w:color="auto" w:fill="FFFFFF"/>
          <w:lang w:eastAsia="zh-CN"/>
        </w:rPr>
        <w:t>，明确了分管领导和科室，制定了</w:t>
      </w:r>
      <w:r>
        <w:rPr>
          <w:rFonts w:hint="eastAsia" w:ascii="仿宋" w:hAnsi="仿宋" w:eastAsia="仿宋" w:cs="仿宋"/>
          <w:b w:val="0"/>
          <w:bCs w:val="0"/>
          <w:color w:val="000000"/>
          <w:kern w:val="0"/>
          <w:sz w:val="32"/>
          <w:szCs w:val="32"/>
          <w:lang w:val="en-US" w:eastAsia="zh-CN"/>
        </w:rPr>
        <w:t>项目建设实施方案，聘请有广播电视专业的监理单位对项目实施过程和项目建设质量进行全面管理。</w:t>
      </w:r>
      <w:r>
        <w:rPr>
          <w:rFonts w:hint="eastAsia" w:ascii="仿宋" w:hAnsi="仿宋" w:eastAsia="仿宋" w:cs="仿宋"/>
          <w:color w:val="3D3D3D"/>
          <w:sz w:val="32"/>
          <w:szCs w:val="32"/>
          <w:shd w:val="clear" w:color="auto" w:fill="FFFFFF"/>
        </w:rPr>
        <w:t>严格按照专项资金要求，实行专款专用、</w:t>
      </w:r>
      <w:r>
        <w:rPr>
          <w:rFonts w:hint="eastAsia" w:ascii="仿宋" w:hAnsi="仿宋" w:eastAsia="仿宋" w:cs="仿宋"/>
          <w:color w:val="3D3D3D"/>
          <w:sz w:val="32"/>
          <w:szCs w:val="32"/>
          <w:shd w:val="clear" w:color="auto" w:fill="FFFFFF"/>
          <w:lang w:eastAsia="zh-CN"/>
        </w:rPr>
        <w:t>政府采购等</w:t>
      </w:r>
      <w:r>
        <w:rPr>
          <w:rFonts w:hint="eastAsia" w:ascii="仿宋" w:hAnsi="仿宋" w:eastAsia="仿宋" w:cs="仿宋"/>
          <w:color w:val="3D3D3D"/>
          <w:sz w:val="32"/>
          <w:szCs w:val="32"/>
          <w:shd w:val="clear" w:color="auto" w:fill="FFFFFF"/>
        </w:rPr>
        <w:t>原则使用专项资金，财务审批制度健全，资金支出程序规范。</w:t>
      </w:r>
    </w:p>
    <w:p>
      <w:pPr>
        <w:numPr>
          <w:ilvl w:val="0"/>
          <w:numId w:val="3"/>
        </w:numPr>
        <w:adjustRightInd w:val="0"/>
        <w:snapToGrid w:val="0"/>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项目组织实施情况，主要包括项目招投标、调整、竣工验收等情况。</w:t>
      </w:r>
    </w:p>
    <w:p>
      <w:pPr>
        <w:widowControl w:val="0"/>
        <w:wordWrap/>
        <w:adjustRightInd/>
        <w:snapToGrid/>
        <w:spacing w:line="600" w:lineRule="exact"/>
        <w:ind w:firstLine="640" w:firstLineChars="200"/>
        <w:jc w:val="both"/>
        <w:textAlignment w:val="auto"/>
        <w:rPr>
          <w:rFonts w:hint="eastAsia" w:ascii="Times New Roman" w:hAnsi="Times New Roman" w:eastAsia="仿宋_GB2312"/>
          <w:sz w:val="32"/>
          <w:szCs w:val="32"/>
          <w:lang w:eastAsia="zh-CN"/>
        </w:rPr>
      </w:pPr>
      <w:r>
        <w:rPr>
          <w:rFonts w:hint="eastAsia" w:eastAsia="仿宋_GB2312"/>
          <w:sz w:val="32"/>
          <w:szCs w:val="32"/>
          <w:lang w:eastAsia="zh-CN"/>
        </w:rPr>
        <w:t>市级应急广播系统建设是</w:t>
      </w:r>
      <w:r>
        <w:rPr>
          <w:rFonts w:hint="eastAsia" w:ascii="仿宋" w:hAnsi="仿宋" w:eastAsia="仿宋" w:cs="仿宋"/>
          <w:sz w:val="32"/>
          <w:szCs w:val="32"/>
          <w:lang w:eastAsia="zh-CN"/>
        </w:rPr>
        <w:t>省委、省政府</w:t>
      </w:r>
      <w:r>
        <w:rPr>
          <w:rFonts w:hint="eastAsia" w:ascii="仿宋" w:hAnsi="仿宋" w:eastAsia="仿宋" w:cs="仿宋"/>
          <w:sz w:val="32"/>
          <w:szCs w:val="32"/>
          <w:lang w:val="en-US" w:eastAsia="zh-CN"/>
        </w:rPr>
        <w:t>2024年全省重点民生实事项目之一，</w:t>
      </w:r>
      <w:r>
        <w:rPr>
          <w:rFonts w:hint="eastAsia" w:ascii="仿宋" w:hAnsi="仿宋" w:eastAsia="仿宋" w:cs="仿宋"/>
          <w:b w:val="0"/>
          <w:bCs w:val="0"/>
          <w:sz w:val="32"/>
          <w:szCs w:val="32"/>
          <w:lang w:eastAsia="zh-CN"/>
        </w:rPr>
        <w:t>我局高度重视，切实落实湖南省广播电视局等七部门联合下发的《关于推进湖南省应急广播体系建设的实施意见》要求，召开党组会进行了专题研究，明确了项目建设计划。邀请了国家广电总局广播电视科学研究院刘春江教授来我市进行实地考察，牵头编制衡阳市市级应急广播系统建设项目技术方案，并</w:t>
      </w:r>
      <w:r>
        <w:rPr>
          <w:rFonts w:hint="eastAsia" w:ascii="仿宋" w:hAnsi="仿宋" w:eastAsia="仿宋" w:cs="仿宋"/>
          <w:b w:val="0"/>
          <w:bCs w:val="0"/>
          <w:sz w:val="32"/>
          <w:szCs w:val="32"/>
          <w:lang w:val="en-US" w:eastAsia="zh-CN"/>
        </w:rPr>
        <w:t>邀请专业公司对建设项目进行了可行性研究。设计方案获得省广电局审核批复。我局加强与相关职能部门的沟通衔接。市财政局明确了建设资金来源，市数据局通过建设技术方案审查，市发改委同意了该项目的立项。市财政投资评审服务中心完成了对该项目的财评。并按照要求进行了项目招标挂网、公示、招投标等工作。加强项目施工管理，督促建设方严格按照合同约定及技术方案精心施工，保质保量完成项目建设。我局组织由财政人员、纪检人员、专家技术人员、监理人员等组成的验收小组对项目建设进行初验。</w:t>
      </w:r>
      <w:r>
        <w:rPr>
          <w:rFonts w:hint="eastAsia" w:ascii="仿宋" w:hAnsi="仿宋" w:eastAsia="仿宋" w:cs="仿宋"/>
          <w:sz w:val="32"/>
          <w:szCs w:val="32"/>
          <w:lang w:val="en-US" w:eastAsia="zh-CN"/>
        </w:rPr>
        <w:t>以96分的省内第二高分通过</w:t>
      </w:r>
      <w:r>
        <w:rPr>
          <w:rFonts w:hint="eastAsia" w:ascii="仿宋" w:hAnsi="仿宋" w:eastAsia="仿宋" w:cs="仿宋"/>
          <w:b w:val="0"/>
          <w:bCs w:val="0"/>
          <w:sz w:val="32"/>
          <w:szCs w:val="32"/>
          <w:lang w:val="en-US" w:eastAsia="zh-CN"/>
        </w:rPr>
        <w:t>省局专家组的</w:t>
      </w:r>
      <w:r>
        <w:rPr>
          <w:rFonts w:hint="eastAsia" w:ascii="仿宋" w:hAnsi="仿宋" w:eastAsia="仿宋" w:cs="仿宋"/>
          <w:sz w:val="32"/>
          <w:szCs w:val="32"/>
          <w:lang w:val="en-US" w:eastAsia="zh-CN"/>
        </w:rPr>
        <w:t>终验。</w:t>
      </w:r>
    </w:p>
    <w:p>
      <w:pPr>
        <w:adjustRightInd w:val="0"/>
        <w:snapToGrid w:val="0"/>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四、项目支出绩效情况</w:t>
      </w:r>
    </w:p>
    <w:p>
      <w:pPr>
        <w:adjustRightInd w:val="0"/>
        <w:snapToGrid w:val="0"/>
        <w:spacing w:line="600" w:lineRule="exact"/>
        <w:ind w:firstLine="640" w:firstLineChars="200"/>
        <w:rPr>
          <w:rFonts w:ascii="Times New Roman" w:hAnsi="Times New Roman" w:eastAsia="楷体_GB2312"/>
          <w:sz w:val="32"/>
          <w:szCs w:val="32"/>
        </w:rPr>
      </w:pPr>
      <w:r>
        <w:rPr>
          <w:rFonts w:ascii="Times New Roman" w:hAnsi="Times New Roman" w:eastAsia="楷体_GB2312"/>
          <w:sz w:val="32"/>
          <w:szCs w:val="32"/>
        </w:rPr>
        <w:t>（一）项目支出决策情况。</w:t>
      </w:r>
    </w:p>
    <w:p>
      <w:pPr>
        <w:adjustRightInd w:val="0"/>
        <w:snapToGrid w:val="0"/>
        <w:spacing w:line="600" w:lineRule="exact"/>
        <w:ind w:firstLine="640" w:firstLineChars="200"/>
        <w:rPr>
          <w:rFonts w:hint="eastAsia" w:ascii="Times New Roman" w:hAnsi="Times New Roman" w:eastAsia="楷体_GB2312"/>
          <w:sz w:val="32"/>
          <w:szCs w:val="32"/>
          <w:lang w:eastAsia="zh-CN"/>
        </w:rPr>
      </w:pPr>
      <w:r>
        <w:rPr>
          <w:rFonts w:hint="eastAsia" w:eastAsia="楷体_GB2312"/>
          <w:sz w:val="32"/>
          <w:szCs w:val="32"/>
          <w:lang w:eastAsia="zh-CN"/>
        </w:rPr>
        <w:t>我局严格按照财务要求，规范项目支出，按照“三重一大”原则召开局党组会议研究决定项目设计、施工、验收等环节，确认项目支出招标、采购以及支付金额等。</w:t>
      </w:r>
    </w:p>
    <w:p>
      <w:pPr>
        <w:numPr>
          <w:numId w:val="0"/>
        </w:numPr>
        <w:adjustRightInd w:val="0"/>
        <w:snapToGrid w:val="0"/>
        <w:spacing w:line="600" w:lineRule="exact"/>
        <w:ind w:firstLine="640" w:firstLineChars="200"/>
        <w:rPr>
          <w:rFonts w:ascii="Times New Roman" w:hAnsi="Times New Roman" w:eastAsia="楷体_GB2312"/>
          <w:sz w:val="32"/>
          <w:szCs w:val="32"/>
        </w:rPr>
      </w:pPr>
      <w:r>
        <w:rPr>
          <w:rFonts w:hint="eastAsia" w:eastAsia="楷体_GB2312"/>
          <w:sz w:val="32"/>
          <w:szCs w:val="32"/>
          <w:lang w:eastAsia="zh-CN"/>
        </w:rPr>
        <w:t>（二）</w:t>
      </w:r>
      <w:r>
        <w:rPr>
          <w:rFonts w:ascii="Times New Roman" w:hAnsi="Times New Roman" w:eastAsia="楷体_GB2312"/>
          <w:sz w:val="32"/>
          <w:szCs w:val="32"/>
        </w:rPr>
        <w:t>项目支出过程情况。</w:t>
      </w:r>
    </w:p>
    <w:p>
      <w:pPr>
        <w:numPr>
          <w:numId w:val="0"/>
        </w:numPr>
        <w:adjustRightInd w:val="0"/>
        <w:snapToGrid w:val="0"/>
        <w:spacing w:line="600" w:lineRule="exact"/>
        <w:ind w:leftChars="200"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项目支出严格按照财务纪律和要求，做到资料齐全、审批手续齐全，通过国库支付系统全流程支付，确保资金安全合规。</w:t>
      </w:r>
    </w:p>
    <w:p>
      <w:pPr>
        <w:numPr>
          <w:numId w:val="0"/>
        </w:numPr>
        <w:adjustRightInd w:val="0"/>
        <w:snapToGrid w:val="0"/>
        <w:spacing w:line="600" w:lineRule="exact"/>
        <w:ind w:firstLine="640" w:firstLineChars="200"/>
        <w:rPr>
          <w:rFonts w:ascii="Times New Roman" w:hAnsi="Times New Roman" w:eastAsia="楷体_GB2312"/>
          <w:sz w:val="32"/>
          <w:szCs w:val="32"/>
        </w:rPr>
      </w:pPr>
      <w:r>
        <w:rPr>
          <w:rFonts w:hint="eastAsia" w:eastAsia="楷体_GB2312"/>
          <w:sz w:val="32"/>
          <w:szCs w:val="32"/>
          <w:lang w:eastAsia="zh-CN"/>
        </w:rPr>
        <w:t>（三）</w:t>
      </w:r>
      <w:r>
        <w:rPr>
          <w:rFonts w:ascii="Times New Roman" w:hAnsi="Times New Roman" w:eastAsia="楷体_GB2312"/>
          <w:sz w:val="32"/>
          <w:szCs w:val="32"/>
        </w:rPr>
        <w:t>项目支出产出情况。</w:t>
      </w:r>
    </w:p>
    <w:p>
      <w:pPr>
        <w:numPr>
          <w:numId w:val="0"/>
        </w:numPr>
        <w:adjustRightInd w:val="0"/>
        <w:snapToGrid w:val="0"/>
        <w:spacing w:line="600" w:lineRule="exact"/>
        <w:ind w:leftChars="200"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eastAsia="zh-CN"/>
        </w:rPr>
        <w:t>按照要求在规定时间内，建设完成了</w:t>
      </w:r>
      <w:r>
        <w:rPr>
          <w:rFonts w:hint="eastAsia" w:ascii="仿宋" w:hAnsi="仿宋" w:eastAsia="仿宋" w:cs="仿宋"/>
          <w:sz w:val="32"/>
          <w:szCs w:val="32"/>
          <w:lang w:val="en-US" w:eastAsia="zh-CN"/>
        </w:rPr>
        <w:t>1个</w:t>
      </w:r>
      <w:r>
        <w:rPr>
          <w:rFonts w:hint="eastAsia" w:ascii="仿宋" w:hAnsi="仿宋" w:eastAsia="仿宋" w:cs="仿宋"/>
          <w:color w:val="000000"/>
          <w:kern w:val="0"/>
          <w:sz w:val="32"/>
          <w:szCs w:val="32"/>
          <w:lang w:val="en-US" w:eastAsia="zh-CN"/>
        </w:rPr>
        <w:t>实现对全衡阳地区应急广播统一调度指挥和管理的</w:t>
      </w:r>
      <w:r>
        <w:rPr>
          <w:rFonts w:hint="eastAsia" w:ascii="仿宋" w:hAnsi="仿宋" w:eastAsia="仿宋" w:cs="仿宋"/>
          <w:b w:val="0"/>
          <w:bCs w:val="0"/>
          <w:sz w:val="32"/>
          <w:szCs w:val="32"/>
          <w:lang w:val="en-US" w:eastAsia="zh-CN"/>
        </w:rPr>
        <w:t>市级应急广播系统</w:t>
      </w:r>
    </w:p>
    <w:p>
      <w:pPr>
        <w:numPr>
          <w:numId w:val="0"/>
        </w:numPr>
        <w:adjustRightInd w:val="0"/>
        <w:snapToGrid w:val="0"/>
        <w:spacing w:line="600" w:lineRule="exact"/>
        <w:ind w:firstLine="640" w:firstLineChars="200"/>
        <w:rPr>
          <w:rFonts w:hint="eastAsia" w:ascii="仿宋" w:hAnsi="仿宋" w:eastAsia="仿宋" w:cs="仿宋"/>
          <w:color w:val="3D3D3D"/>
          <w:sz w:val="32"/>
          <w:szCs w:val="32"/>
        </w:rPr>
      </w:pPr>
      <w:r>
        <w:rPr>
          <w:rFonts w:hint="eastAsia" w:eastAsia="楷体_GB2312"/>
          <w:sz w:val="32"/>
          <w:szCs w:val="32"/>
          <w:lang w:eastAsia="zh-CN"/>
        </w:rPr>
        <w:t>（四）</w:t>
      </w:r>
      <w:r>
        <w:rPr>
          <w:rFonts w:ascii="Times New Roman" w:hAnsi="Times New Roman" w:eastAsia="楷体_GB2312"/>
          <w:sz w:val="32"/>
          <w:szCs w:val="32"/>
        </w:rPr>
        <w:t>项目支出效益情况。</w:t>
      </w:r>
    </w:p>
    <w:p>
      <w:pPr>
        <w:pStyle w:val="2"/>
        <w:widowControl/>
        <w:shd w:val="clear" w:color="auto" w:fill="FFFFFF"/>
        <w:adjustRightInd/>
        <w:snapToGrid/>
        <w:spacing w:beforeAutospacing="0" w:afterAutospacing="0" w:line="240" w:lineRule="auto"/>
        <w:ind w:firstLine="640" w:firstLineChars="200"/>
        <w:jc w:val="both"/>
        <w:textAlignment w:val="auto"/>
        <w:rPr>
          <w:rFonts w:hint="eastAsia" w:ascii="仿宋" w:hAnsi="仿宋" w:eastAsia="仿宋" w:cs="仿宋"/>
          <w:color w:val="3D3D3D"/>
          <w:sz w:val="32"/>
          <w:szCs w:val="32"/>
          <w:shd w:val="clear" w:color="auto" w:fill="FFFFFF"/>
        </w:rPr>
      </w:pPr>
      <w:r>
        <w:rPr>
          <w:rFonts w:hint="eastAsia" w:ascii="仿宋" w:hAnsi="仿宋" w:eastAsia="仿宋" w:cs="仿宋"/>
          <w:color w:val="3D3D3D"/>
          <w:sz w:val="32"/>
          <w:szCs w:val="32"/>
          <w:shd w:val="clear" w:color="auto" w:fill="FFFFFF"/>
        </w:rPr>
        <w:t>（1）经济效益。</w:t>
      </w:r>
    </w:p>
    <w:p>
      <w:pPr>
        <w:pStyle w:val="2"/>
        <w:widowControl/>
        <w:numPr>
          <w:numId w:val="0"/>
        </w:numPr>
        <w:shd w:val="clear" w:color="auto" w:fill="FFFFFF"/>
        <w:adjustRightInd/>
        <w:snapToGrid/>
        <w:spacing w:beforeAutospacing="0" w:afterAutospacing="0" w:line="240" w:lineRule="auto"/>
        <w:ind w:firstLine="640" w:firstLineChars="200"/>
        <w:jc w:val="both"/>
        <w:textAlignment w:val="auto"/>
        <w:rPr>
          <w:rFonts w:hint="eastAsia" w:ascii="仿宋" w:hAnsi="仿宋" w:eastAsia="仿宋" w:cs="仿宋"/>
          <w:color w:val="3D3D3D"/>
          <w:sz w:val="32"/>
          <w:szCs w:val="32"/>
          <w:shd w:val="clear" w:color="auto" w:fill="FFFFFF"/>
          <w:lang w:eastAsia="zh-CN"/>
        </w:rPr>
      </w:pPr>
      <w:r>
        <w:rPr>
          <w:rFonts w:hint="eastAsia" w:ascii="仿宋" w:hAnsi="仿宋" w:eastAsia="仿宋" w:cs="仿宋"/>
          <w:color w:val="000000"/>
          <w:kern w:val="0"/>
          <w:sz w:val="32"/>
          <w:szCs w:val="32"/>
          <w:lang w:val="en-US" w:eastAsia="zh-CN"/>
        </w:rPr>
        <w:t>有效减少突发事件所造成的经济损失和人员伤亡，为 衡阳市经济的全面、健康、有序、稳定提供有力的保障。</w:t>
      </w:r>
      <w:r>
        <w:rPr>
          <w:rFonts w:hint="eastAsia" w:ascii="仿宋" w:hAnsi="仿宋" w:eastAsia="仿宋" w:cs="仿宋"/>
          <w:color w:val="3D3D3D"/>
          <w:sz w:val="32"/>
          <w:szCs w:val="32"/>
          <w:shd w:val="clear" w:color="auto" w:fill="FFFFFF"/>
          <w:lang w:val="en-US" w:eastAsia="zh-CN"/>
        </w:rPr>
        <w:t>完成目标计划，实际完成率100%。</w:t>
      </w:r>
    </w:p>
    <w:p>
      <w:pPr>
        <w:pStyle w:val="2"/>
        <w:widowControl/>
        <w:numPr>
          <w:ilvl w:val="0"/>
          <w:numId w:val="4"/>
        </w:numPr>
        <w:shd w:val="clear" w:color="auto" w:fill="FFFFFF"/>
        <w:adjustRightInd/>
        <w:snapToGrid/>
        <w:spacing w:beforeAutospacing="0" w:afterAutospacing="0" w:line="240" w:lineRule="auto"/>
        <w:ind w:firstLine="630"/>
        <w:jc w:val="both"/>
        <w:textAlignment w:val="auto"/>
        <w:rPr>
          <w:rFonts w:hint="eastAsia" w:ascii="仿宋" w:hAnsi="仿宋" w:eastAsia="仿宋" w:cs="仿宋"/>
          <w:color w:val="3D3D3D"/>
          <w:sz w:val="32"/>
          <w:szCs w:val="32"/>
          <w:shd w:val="clear" w:color="auto" w:fill="FFFFFF"/>
        </w:rPr>
      </w:pPr>
      <w:r>
        <w:rPr>
          <w:rFonts w:hint="eastAsia" w:ascii="仿宋" w:hAnsi="仿宋" w:eastAsia="仿宋" w:cs="仿宋"/>
          <w:color w:val="3D3D3D"/>
          <w:sz w:val="32"/>
          <w:szCs w:val="32"/>
          <w:shd w:val="clear" w:color="auto" w:fill="FFFFFF"/>
        </w:rPr>
        <w:t>社会效益。</w:t>
      </w:r>
    </w:p>
    <w:p>
      <w:pPr>
        <w:pStyle w:val="2"/>
        <w:widowControl/>
        <w:numPr>
          <w:numId w:val="0"/>
        </w:numPr>
        <w:shd w:val="clear" w:color="auto" w:fill="FFFFFF"/>
        <w:adjustRightInd/>
        <w:snapToGrid/>
        <w:spacing w:beforeAutospacing="0" w:afterAutospacing="0" w:line="240" w:lineRule="auto"/>
        <w:ind w:firstLine="640" w:firstLineChars="200"/>
        <w:jc w:val="both"/>
        <w:textAlignment w:val="auto"/>
        <w:rPr>
          <w:rFonts w:hint="eastAsia" w:ascii="仿宋" w:hAnsi="仿宋" w:eastAsia="仿宋" w:cs="仿宋"/>
          <w:color w:val="3D3D3D"/>
          <w:sz w:val="32"/>
          <w:szCs w:val="32"/>
          <w:shd w:val="clear" w:color="auto" w:fill="FFFFFF"/>
          <w:lang w:val="en-US" w:eastAsia="zh-CN"/>
        </w:rPr>
      </w:pPr>
      <w:r>
        <w:rPr>
          <w:rFonts w:hint="eastAsia" w:ascii="仿宋" w:hAnsi="仿宋" w:eastAsia="仿宋" w:cs="仿宋"/>
          <w:sz w:val="32"/>
          <w:szCs w:val="32"/>
          <w:lang w:eastAsia="zh-CN"/>
        </w:rPr>
        <w:t>打通应急信息“最后一公里”，</w:t>
      </w:r>
      <w:r>
        <w:rPr>
          <w:rFonts w:hint="eastAsia" w:ascii="仿宋" w:hAnsi="仿宋" w:eastAsia="仿宋" w:cs="仿宋"/>
          <w:color w:val="000000"/>
          <w:kern w:val="0"/>
          <w:sz w:val="32"/>
          <w:szCs w:val="32"/>
          <w:lang w:val="en-US" w:eastAsia="zh-CN"/>
        </w:rPr>
        <w:t>从根本上提高社会对各种突发事件、自然灾害的应急处置能力。</w:t>
      </w:r>
      <w:r>
        <w:rPr>
          <w:rFonts w:hint="eastAsia" w:ascii="仿宋" w:hAnsi="仿宋" w:eastAsia="仿宋" w:cs="仿宋"/>
          <w:color w:val="3D3D3D"/>
          <w:sz w:val="32"/>
          <w:szCs w:val="32"/>
          <w:shd w:val="clear" w:color="auto" w:fill="FFFFFF"/>
          <w:lang w:val="en-US" w:eastAsia="zh-CN"/>
        </w:rPr>
        <w:t>完成目标计划，实际完成率100%。</w:t>
      </w:r>
    </w:p>
    <w:p>
      <w:pPr>
        <w:pStyle w:val="2"/>
        <w:widowControl/>
        <w:numPr>
          <w:ilvl w:val="0"/>
          <w:numId w:val="4"/>
        </w:numPr>
        <w:shd w:val="clear" w:color="auto" w:fill="FFFFFF"/>
        <w:adjustRightInd/>
        <w:snapToGrid/>
        <w:spacing w:beforeAutospacing="0" w:afterAutospacing="0" w:line="240" w:lineRule="auto"/>
        <w:ind w:left="0" w:leftChars="0" w:firstLine="630" w:firstLineChars="0"/>
        <w:jc w:val="both"/>
        <w:textAlignment w:val="auto"/>
        <w:rPr>
          <w:rFonts w:hint="eastAsia" w:ascii="仿宋" w:hAnsi="仿宋" w:eastAsia="仿宋" w:cs="仿宋"/>
          <w:color w:val="3D3D3D"/>
          <w:sz w:val="32"/>
          <w:szCs w:val="32"/>
          <w:shd w:val="clear" w:color="auto" w:fill="FFFFFF"/>
        </w:rPr>
      </w:pPr>
      <w:r>
        <w:rPr>
          <w:rFonts w:hint="eastAsia" w:ascii="仿宋" w:hAnsi="仿宋" w:eastAsia="仿宋" w:cs="仿宋"/>
          <w:color w:val="3D3D3D"/>
          <w:sz w:val="32"/>
          <w:szCs w:val="32"/>
          <w:shd w:val="clear" w:color="auto" w:fill="FFFFFF"/>
        </w:rPr>
        <w:t>可持续影响。</w:t>
      </w:r>
    </w:p>
    <w:p>
      <w:pPr>
        <w:pStyle w:val="2"/>
        <w:widowControl/>
        <w:numPr>
          <w:numId w:val="0"/>
        </w:numPr>
        <w:shd w:val="clear" w:color="auto" w:fill="FFFFFF"/>
        <w:adjustRightInd/>
        <w:snapToGrid/>
        <w:spacing w:beforeAutospacing="0" w:afterAutospacing="0" w:line="240" w:lineRule="auto"/>
        <w:ind w:firstLine="640" w:firstLineChars="200"/>
        <w:jc w:val="both"/>
        <w:textAlignment w:val="auto"/>
        <w:rPr>
          <w:rFonts w:hint="default" w:ascii="Times New Roman" w:hAnsi="Times New Roman" w:eastAsia="楷体_GB2312"/>
          <w:sz w:val="32"/>
          <w:szCs w:val="32"/>
          <w:lang w:val="en-US" w:eastAsia="zh-CN"/>
        </w:rPr>
      </w:pPr>
      <w:r>
        <w:rPr>
          <w:rFonts w:hint="eastAsia" w:ascii="仿宋" w:hAnsi="仿宋" w:eastAsia="仿宋" w:cs="仿宋"/>
          <w:color w:val="000000"/>
          <w:kern w:val="0"/>
          <w:sz w:val="32"/>
          <w:szCs w:val="32"/>
          <w:lang w:val="en-US" w:eastAsia="zh-CN"/>
        </w:rPr>
        <w:t>项目建设完成后能够长期发挥宣传应急保障作用，长期保护人民其中生命财产安全。</w:t>
      </w:r>
      <w:r>
        <w:rPr>
          <w:rFonts w:hint="eastAsia" w:ascii="仿宋" w:hAnsi="仿宋" w:eastAsia="仿宋" w:cs="仿宋"/>
          <w:color w:val="3D3D3D"/>
          <w:sz w:val="32"/>
          <w:szCs w:val="32"/>
          <w:shd w:val="clear" w:color="auto" w:fill="FFFFFF"/>
          <w:lang w:val="en-US" w:eastAsia="zh-CN"/>
        </w:rPr>
        <w:t>完成目标计划，实际完成率100%。</w:t>
      </w:r>
    </w:p>
    <w:p>
      <w:pPr>
        <w:numPr>
          <w:ilvl w:val="0"/>
          <w:numId w:val="5"/>
        </w:numPr>
        <w:adjustRightInd w:val="0"/>
        <w:snapToGrid w:val="0"/>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主要经验做法、存在的问题及原因分析</w:t>
      </w:r>
    </w:p>
    <w:p>
      <w:pPr>
        <w:numPr>
          <w:numId w:val="0"/>
        </w:numPr>
        <w:adjustRightInd w:val="0"/>
        <w:snapToGrid w:val="0"/>
        <w:spacing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市级应急广播系统，能够在规定时间内高质量建设完成，主要得益于领导高度重视、各部门支持配合、建设单位和施工单位、监理单位等积极履职尽责，严格按照相关法律、法规、规定和纪律等要求执行，建设相关手续程序到位。</w:t>
      </w:r>
    </w:p>
    <w:p>
      <w:pPr>
        <w:numPr>
          <w:ilvl w:val="0"/>
          <w:numId w:val="5"/>
        </w:numPr>
        <w:adjustRightInd w:val="0"/>
        <w:snapToGrid w:val="0"/>
        <w:spacing w:line="600" w:lineRule="exact"/>
        <w:ind w:left="0" w:leftChars="0" w:firstLine="640" w:firstLineChars="200"/>
        <w:rPr>
          <w:rFonts w:ascii="Times New Roman" w:hAnsi="Times New Roman" w:eastAsia="黑体"/>
          <w:sz w:val="32"/>
          <w:szCs w:val="32"/>
        </w:rPr>
      </w:pPr>
      <w:r>
        <w:rPr>
          <w:rFonts w:ascii="Times New Roman" w:hAnsi="Times New Roman" w:eastAsia="黑体"/>
          <w:sz w:val="32"/>
          <w:szCs w:val="32"/>
        </w:rPr>
        <w:t>有关建议</w:t>
      </w:r>
    </w:p>
    <w:p>
      <w:pPr>
        <w:numPr>
          <w:numId w:val="0"/>
        </w:numPr>
        <w:adjustRightInd w:val="0"/>
        <w:snapToGrid w:val="0"/>
        <w:spacing w:line="600" w:lineRule="exact"/>
        <w:ind w:firstLine="640" w:firstLineChars="200"/>
        <w:rPr>
          <w:rFonts w:ascii="Times New Roman" w:hAnsi="Times New Roman" w:eastAsia="黑体"/>
          <w:sz w:val="32"/>
          <w:szCs w:val="32"/>
        </w:rPr>
      </w:pPr>
      <w:r>
        <w:rPr>
          <w:rFonts w:hint="eastAsia" w:ascii="仿宋" w:hAnsi="仿宋" w:eastAsia="仿宋" w:cs="仿宋"/>
          <w:sz w:val="32"/>
          <w:szCs w:val="32"/>
          <w:lang w:eastAsia="zh-CN"/>
        </w:rPr>
        <w:t>无。</w:t>
      </w:r>
    </w:p>
    <w:p>
      <w:pPr>
        <w:adjustRightInd w:val="0"/>
        <w:snapToGrid w:val="0"/>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七、其他需要说明的问题</w:t>
      </w:r>
    </w:p>
    <w:p>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eastAsia="zh-CN"/>
        </w:rPr>
        <w:t>因</w:t>
      </w:r>
      <w:r>
        <w:rPr>
          <w:rFonts w:hint="eastAsia" w:ascii="仿宋" w:hAnsi="仿宋" w:eastAsia="仿宋" w:cs="仿宋"/>
          <w:color w:val="000000"/>
          <w:sz w:val="32"/>
          <w:szCs w:val="32"/>
          <w:shd w:val="clear" w:color="auto" w:fill="FFFFFF"/>
          <w:lang w:eastAsia="zh-CN"/>
        </w:rPr>
        <w:t>市级应急广播平台建设</w:t>
      </w:r>
      <w:r>
        <w:rPr>
          <w:rFonts w:hint="eastAsia" w:ascii="仿宋" w:hAnsi="仿宋" w:eastAsia="仿宋" w:cs="仿宋"/>
          <w:b w:val="0"/>
          <w:bCs w:val="0"/>
          <w:i w:val="0"/>
          <w:iCs w:val="0"/>
          <w:color w:val="000000"/>
          <w:kern w:val="0"/>
          <w:sz w:val="32"/>
          <w:szCs w:val="32"/>
          <w:u w:val="none"/>
          <w:lang w:val="en-US" w:eastAsia="zh-CN"/>
        </w:rPr>
        <w:t>资金在12月23日指标才下达，25日财政关账停止支付，由于时间紧，造成应急广播建设的</w:t>
      </w:r>
      <w:r>
        <w:rPr>
          <w:rFonts w:hint="eastAsia" w:ascii="仿宋_GB2312" w:hAnsi="仿宋_GB2312" w:eastAsia="仿宋_GB2312" w:cs="仿宋_GB2312"/>
          <w:b w:val="0"/>
          <w:bCs w:val="0"/>
          <w:i w:val="0"/>
          <w:iCs w:val="0"/>
          <w:color w:val="000000"/>
          <w:kern w:val="0"/>
          <w:sz w:val="32"/>
          <w:szCs w:val="32"/>
          <w:u w:val="none"/>
          <w:lang w:val="en-US" w:eastAsia="zh-CN"/>
        </w:rPr>
        <w:t>装修改造费20.18万元；建设单位管理费、技术方案和可行性研究报告编制、工程监理费、网络安全二级等保测评、商用密码应用安全性评估、竣工决算编审和财务决算审核费、系统第三方验收测试费、招标代理费等工程建设其他费用45万元都没来得及支付成功，需要在2025年将资金结转重新支付</w:t>
      </w:r>
      <w:r>
        <w:rPr>
          <w:rFonts w:hint="eastAsia" w:ascii="仿宋" w:hAnsi="仿宋" w:eastAsia="仿宋" w:cs="仿宋"/>
          <w:color w:val="3D3D3D"/>
          <w:sz w:val="32"/>
          <w:szCs w:val="32"/>
          <w:shd w:val="clear" w:color="auto" w:fill="FFFFFF"/>
        </w:rPr>
        <w:t>。</w:t>
      </w:r>
    </w:p>
    <w:p>
      <w:pPr>
        <w:ind w:firstLine="640" w:firstLineChars="200"/>
        <w:rPr>
          <w:rFonts w:hint="eastAsia" w:ascii="仿宋" w:hAnsi="仿宋" w:eastAsia="仿宋" w:cs="仿宋"/>
          <w:sz w:val="32"/>
          <w:szCs w:val="32"/>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auto"/>
    <w:pitch w:val="default"/>
    <w:sig w:usb0="00000001" w:usb1="08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书宋_GBK">
    <w:altName w:val="宋体"/>
    <w:panose1 w:val="02000000000000000000"/>
    <w:charset w:val="86"/>
    <w:family w:val="auto"/>
    <w:pitch w:val="default"/>
    <w:sig w:usb0="00000001" w:usb1="08000000" w:usb2="00000000" w:usb3="00000000" w:csb0="00040000" w:csb1="00000000"/>
  </w:font>
  <w:font w:name="Nimbus Roman No9 L">
    <w:altName w:val="微软雅黑"/>
    <w:panose1 w:val="00000000000000000000"/>
    <w:charset w:val="00"/>
    <w:family w:val="auto"/>
    <w:pitch w:val="default"/>
    <w:sig w:usb0="00000000" w:usb1="00000000" w:usb2="00000000" w:usb3="00000000" w:csb0="00040001" w:csb1="00000000"/>
  </w:font>
  <w:font w:name="DejaVu Sans">
    <w:altName w:val="Segoe Print"/>
    <w:panose1 w:val="020B0603030804020204"/>
    <w:charset w:val="00"/>
    <w:family w:val="auto"/>
    <w:pitch w:val="default"/>
    <w:sig w:usb0="E7006EFF" w:usb1="D200FDFF" w:usb2="0A246029" w:usb3="0400200C" w:csb0="600001FF" w:csb1="DFFF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73921121">
    <w:nsid w:val="1C3F7661"/>
    <w:multiLevelType w:val="singleLevel"/>
    <w:tmpl w:val="1C3F7661"/>
    <w:lvl w:ilvl="0" w:tentative="1">
      <w:start w:val="5"/>
      <w:numFmt w:val="chineseCounting"/>
      <w:suff w:val="nothing"/>
      <w:lvlText w:val="%1、"/>
      <w:lvlJc w:val="left"/>
      <w:rPr>
        <w:rFonts w:hint="eastAsia"/>
      </w:rPr>
    </w:lvl>
  </w:abstractNum>
  <w:abstractNum w:abstractNumId="1728877964">
    <w:nsid w:val="670C958C"/>
    <w:multiLevelType w:val="singleLevel"/>
    <w:tmpl w:val="670C958C"/>
    <w:lvl w:ilvl="0" w:tentative="1">
      <w:start w:val="2"/>
      <w:numFmt w:val="chineseCounting"/>
      <w:suff w:val="nothing"/>
      <w:lvlText w:val="（%1）"/>
      <w:lvlJc w:val="left"/>
      <w:rPr>
        <w:rFonts w:hint="eastAsia"/>
      </w:rPr>
    </w:lvl>
  </w:abstractNum>
  <w:abstractNum w:abstractNumId="1994524926">
    <w:nsid w:val="76E208FE"/>
    <w:multiLevelType w:val="singleLevel"/>
    <w:tmpl w:val="76E208FE"/>
    <w:lvl w:ilvl="0" w:tentative="1">
      <w:start w:val="2"/>
      <w:numFmt w:val="decimal"/>
      <w:suff w:val="nothing"/>
      <w:lvlText w:val="（%1）"/>
      <w:lvlJc w:val="left"/>
    </w:lvl>
  </w:abstractNum>
  <w:abstractNum w:abstractNumId="433429449">
    <w:nsid w:val="19D59BC9"/>
    <w:multiLevelType w:val="singleLevel"/>
    <w:tmpl w:val="19D59BC9"/>
    <w:lvl w:ilvl="0" w:tentative="1">
      <w:start w:val="2"/>
      <w:numFmt w:val="chineseCounting"/>
      <w:suff w:val="nothing"/>
      <w:lvlText w:val="（%1）"/>
      <w:lvlJc w:val="left"/>
      <w:rPr>
        <w:rFonts w:hint="eastAsia"/>
      </w:rPr>
    </w:lvl>
  </w:abstractNum>
  <w:abstractNum w:abstractNumId="4159839356">
    <w:nsid w:val="F7F21C7C"/>
    <w:multiLevelType w:val="singleLevel"/>
    <w:tmpl w:val="F7F21C7C"/>
    <w:lvl w:ilvl="0" w:tentative="1">
      <w:start w:val="2"/>
      <w:numFmt w:val="chineseCounting"/>
      <w:suff w:val="nothing"/>
      <w:lvlText w:val="（%1）"/>
      <w:lvlJc w:val="left"/>
      <w:rPr>
        <w:rFonts w:hint="eastAsia"/>
      </w:rPr>
    </w:lvl>
  </w:abstractNum>
  <w:num w:numId="1">
    <w:abstractNumId w:val="4159839356"/>
  </w:num>
  <w:num w:numId="2">
    <w:abstractNumId w:val="1728877964"/>
  </w:num>
  <w:num w:numId="3">
    <w:abstractNumId w:val="433429449"/>
  </w:num>
  <w:num w:numId="4">
    <w:abstractNumId w:val="1994524926"/>
  </w:num>
  <w:num w:numId="5">
    <w:abstractNumId w:val="4739211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paragraph" w:styleId="2">
    <w:name w:val="Normal (Web)"/>
    <w:basedOn w:val="1"/>
    <w:qFormat/>
    <w:uiPriority w:val="0"/>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3961</Words>
  <Characters>4091</Characters>
  <Lines>0</Lines>
  <Paragraphs>0</Paragraphs>
  <ScaleCrop>false</ScaleCrop>
  <LinksUpToDate>false</LinksUpToDate>
  <CharactersWithSpaces>0</CharactersWithSpaces>
  <Application>WPS Office 专业版_9.1.0.4569_{F1E327BC-269C-435d-A152-05C5408002CA}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2025-02-13T09:49:00Z</dcterms:created>
  <dc:creator>李卫</dc:creator>
  <cp:lastModifiedBy>Administrator</cp:lastModifiedBy>
  <dcterms:modified xsi:type="dcterms:W3CDTF">2025-02-27T02:00:03Z</dcterms:modified>
  <dc:title>附件5</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2052-9.1.0.4569</vt:lpwstr>
  </property>
  <property fmtid="{D5CDD505-2E9C-101B-9397-08002B2CF9AE}" pid="3" name="ICV">
    <vt:lpwstr>1BA0C99634CA4607956E703B5D37C012_11</vt:lpwstr>
  </property>
  <property fmtid="{D5CDD505-2E9C-101B-9397-08002B2CF9AE}" pid="4" name="KSOTemplateDocerSaveRecord">
    <vt:lpwstr>eyJoZGlkIjoiM2IzYmY1MDFjOTQxZTNmMTJmN2QxNjBmNTAwNDBjOWQiLCJ1c2VySWQiOiIzNzc2MjQxOTQifQ==</vt:lpwstr>
  </property>
</Properties>
</file>