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818FC">
      <w:pPr>
        <w:jc w:val="center"/>
        <w:rPr>
          <w:rFonts w:ascii="Times New Roman" w:hAnsi="Times New Roman" w:eastAsia="微软雅黑"/>
          <w:sz w:val="48"/>
          <w:szCs w:val="48"/>
        </w:rPr>
      </w:pPr>
    </w:p>
    <w:p w14:paraId="632BC210">
      <w:pPr>
        <w:jc w:val="center"/>
        <w:rPr>
          <w:rFonts w:ascii="Times New Roman" w:hAnsi="Times New Roman" w:eastAsia="微软雅黑"/>
          <w:sz w:val="48"/>
          <w:szCs w:val="48"/>
        </w:rPr>
      </w:pPr>
    </w:p>
    <w:p w14:paraId="2EAA047C">
      <w:pPr>
        <w:jc w:val="center"/>
        <w:rPr>
          <w:rFonts w:ascii="Times New Roman" w:hAnsi="Times New Roman" w:eastAsia="微软雅黑"/>
          <w:sz w:val="48"/>
          <w:szCs w:val="48"/>
        </w:rPr>
      </w:pPr>
    </w:p>
    <w:p w14:paraId="261197DF">
      <w:pPr>
        <w:rPr>
          <w:rFonts w:ascii="Times New Roman" w:hAnsi="Times New Roman" w:eastAsia="微软雅黑"/>
          <w:sz w:val="48"/>
          <w:szCs w:val="48"/>
        </w:rPr>
      </w:pPr>
    </w:p>
    <w:p w14:paraId="46044E64">
      <w:pPr>
        <w:jc w:val="center"/>
        <w:rPr>
          <w:rFonts w:ascii="Times New Roman" w:hAnsi="Times New Roman" w:eastAsia="微软雅黑"/>
          <w:sz w:val="48"/>
          <w:szCs w:val="48"/>
        </w:rPr>
      </w:pPr>
      <w:r>
        <w:rPr>
          <w:rFonts w:ascii="Times New Roman" w:hAnsi="Times New Roman" w:eastAsia="微软雅黑"/>
          <w:sz w:val="48"/>
          <w:szCs w:val="48"/>
        </w:rPr>
        <w:t>部门整体支出绩效自评报告</w:t>
      </w:r>
    </w:p>
    <w:p w14:paraId="584888B3">
      <w:pPr>
        <w:jc w:val="center"/>
        <w:rPr>
          <w:rFonts w:ascii="Times New Roman" w:hAnsi="Times New Roman" w:eastAsia="微软雅黑"/>
          <w:sz w:val="36"/>
          <w:szCs w:val="36"/>
        </w:rPr>
      </w:pPr>
      <w:r>
        <w:rPr>
          <w:rFonts w:hint="eastAsia" w:ascii="Times New Roman" w:hAnsi="Times New Roman" w:eastAsia="微软雅黑"/>
          <w:sz w:val="36"/>
          <w:szCs w:val="36"/>
        </w:rPr>
        <w:t>（</w:t>
      </w:r>
      <w:r>
        <w:rPr>
          <w:rFonts w:ascii="Times New Roman" w:hAnsi="Times New Roman" w:eastAsia="微软雅黑"/>
          <w:sz w:val="36"/>
          <w:szCs w:val="36"/>
        </w:rPr>
        <w:t>202</w:t>
      </w:r>
      <w:r>
        <w:rPr>
          <w:rFonts w:hint="eastAsia" w:ascii="Times New Roman" w:hAnsi="Times New Roman" w:eastAsia="微软雅黑"/>
          <w:sz w:val="36"/>
          <w:szCs w:val="36"/>
          <w:lang w:val="en-US" w:eastAsia="zh-CN"/>
        </w:rPr>
        <w:t>4</w:t>
      </w:r>
      <w:r>
        <w:rPr>
          <w:rFonts w:ascii="Times New Roman" w:hAnsi="Times New Roman" w:eastAsia="微软雅黑"/>
          <w:sz w:val="36"/>
          <w:szCs w:val="36"/>
        </w:rPr>
        <w:t>年度</w:t>
      </w:r>
      <w:r>
        <w:rPr>
          <w:rFonts w:hint="eastAsia" w:ascii="Times New Roman" w:hAnsi="Times New Roman" w:eastAsia="微软雅黑"/>
          <w:sz w:val="36"/>
          <w:szCs w:val="36"/>
        </w:rPr>
        <w:t>）</w:t>
      </w:r>
    </w:p>
    <w:p w14:paraId="7739D9FA">
      <w:pPr>
        <w:jc w:val="center"/>
        <w:rPr>
          <w:rFonts w:ascii="Times New Roman" w:hAnsi="Times New Roman" w:eastAsia="黑体"/>
          <w:sz w:val="32"/>
          <w:szCs w:val="32"/>
        </w:rPr>
      </w:pPr>
    </w:p>
    <w:p w14:paraId="4DCC23B0">
      <w:pPr>
        <w:jc w:val="center"/>
        <w:rPr>
          <w:rFonts w:ascii="Times New Roman" w:hAnsi="Times New Roman" w:eastAsia="黑体"/>
          <w:sz w:val="32"/>
          <w:szCs w:val="32"/>
        </w:rPr>
      </w:pPr>
    </w:p>
    <w:p w14:paraId="38F06556">
      <w:pPr>
        <w:jc w:val="center"/>
        <w:rPr>
          <w:rFonts w:ascii="Times New Roman" w:hAnsi="Times New Roman" w:eastAsia="黑体"/>
          <w:sz w:val="32"/>
          <w:szCs w:val="32"/>
        </w:rPr>
      </w:pPr>
    </w:p>
    <w:p w14:paraId="22A2EDE2">
      <w:pPr>
        <w:jc w:val="center"/>
        <w:rPr>
          <w:rFonts w:ascii="Times New Roman" w:hAnsi="Times New Roman" w:eastAsia="黑体"/>
          <w:sz w:val="32"/>
          <w:szCs w:val="32"/>
        </w:rPr>
      </w:pPr>
    </w:p>
    <w:p w14:paraId="72DED8B9">
      <w:pPr>
        <w:rPr>
          <w:rFonts w:ascii="Times New Roman" w:hAnsi="Times New Roman" w:eastAsia="黑体"/>
          <w:sz w:val="32"/>
          <w:szCs w:val="32"/>
        </w:rPr>
      </w:pPr>
    </w:p>
    <w:p w14:paraId="3777C80B">
      <w:pPr>
        <w:jc w:val="center"/>
        <w:rPr>
          <w:rFonts w:ascii="Times New Roman" w:hAnsi="Times New Roman"/>
          <w:sz w:val="36"/>
          <w:szCs w:val="36"/>
        </w:rPr>
      </w:pPr>
    </w:p>
    <w:p w14:paraId="53F21A77">
      <w:pPr>
        <w:jc w:val="center"/>
        <w:rPr>
          <w:rFonts w:ascii="Times New Roman" w:hAnsi="Times New Roman"/>
          <w:sz w:val="36"/>
          <w:szCs w:val="36"/>
        </w:rPr>
      </w:pPr>
    </w:p>
    <w:p w14:paraId="5DFBB075">
      <w:pPr>
        <w:spacing w:line="800" w:lineRule="exact"/>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（盖章）：衡阳市地方志编纂室</w:t>
      </w:r>
    </w:p>
    <w:p w14:paraId="79913050">
      <w:pPr>
        <w:spacing w:line="800" w:lineRule="exact"/>
        <w:ind w:firstLine="894" w:firstLineChars="217"/>
        <w:rPr>
          <w:rFonts w:ascii="Times New Roman" w:hAnsi="Times New Roman" w:eastAsia="黑体"/>
          <w:spacing w:val="26"/>
          <w:sz w:val="36"/>
          <w:szCs w:val="36"/>
        </w:rPr>
      </w:pPr>
      <w:r>
        <w:rPr>
          <w:rFonts w:hint="eastAsia" w:ascii="Times New Roman" w:hAnsi="Times New Roman"/>
          <w:spacing w:val="26"/>
          <w:sz w:val="36"/>
          <w:szCs w:val="36"/>
        </w:rPr>
        <w:t>单位负责人签字</w:t>
      </w:r>
      <w:r>
        <w:rPr>
          <w:rFonts w:ascii="Times New Roman" w:hAnsi="Times New Roman"/>
          <w:spacing w:val="26"/>
          <w:sz w:val="36"/>
          <w:szCs w:val="36"/>
        </w:rPr>
        <w:t>：</w:t>
      </w:r>
    </w:p>
    <w:p w14:paraId="200C61CC">
      <w:pPr>
        <w:jc w:val="center"/>
        <w:rPr>
          <w:rFonts w:hint="eastAsia" w:ascii="Times New Roman" w:hAnsi="Times New Roman" w:eastAsia="黑体"/>
          <w:sz w:val="36"/>
          <w:szCs w:val="36"/>
        </w:rPr>
      </w:pPr>
    </w:p>
    <w:p w14:paraId="7F1D712E">
      <w:pPr>
        <w:jc w:val="center"/>
        <w:rPr>
          <w:rFonts w:ascii="Times New Roman" w:hAnsi="Times New Roman" w:eastAsia="黑体"/>
          <w:sz w:val="36"/>
          <w:szCs w:val="36"/>
        </w:rPr>
      </w:pPr>
    </w:p>
    <w:p w14:paraId="1B75DF0E">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3F7C2928">
      <w:pPr>
        <w:jc w:val="center"/>
        <w:rPr>
          <w:rFonts w:ascii="Times New Roman" w:hAnsi="Times New Roman" w:eastAsia="黑体"/>
          <w:sz w:val="32"/>
          <w:szCs w:val="32"/>
        </w:rPr>
      </w:pPr>
    </w:p>
    <w:p w14:paraId="44200B28">
      <w:pPr>
        <w:spacing w:line="600" w:lineRule="exact"/>
        <w:rPr>
          <w:rFonts w:ascii="Times New Roman" w:hAnsi="Times New Roman" w:eastAsia="微软雅黑"/>
          <w:sz w:val="44"/>
          <w:szCs w:val="44"/>
        </w:rPr>
      </w:pPr>
    </w:p>
    <w:p w14:paraId="6C21DCD2">
      <w:pPr>
        <w:spacing w:line="600" w:lineRule="exact"/>
        <w:jc w:val="center"/>
        <w:rPr>
          <w:rFonts w:ascii="Times New Roman" w:hAnsi="Times New Roman" w:eastAsia="微软雅黑"/>
          <w:sz w:val="44"/>
          <w:szCs w:val="44"/>
        </w:rPr>
      </w:pPr>
    </w:p>
    <w:p w14:paraId="06B8997D">
      <w:pPr>
        <w:spacing w:line="600" w:lineRule="exact"/>
        <w:jc w:val="center"/>
        <w:rPr>
          <w:rFonts w:ascii="Times New Roman" w:hAnsi="Times New Roman" w:eastAsia="微软雅黑"/>
          <w:sz w:val="44"/>
          <w:szCs w:val="44"/>
        </w:rPr>
      </w:pPr>
      <w:r>
        <w:rPr>
          <w:rFonts w:ascii="Times New Roman" w:hAnsi="Times New Roman" w:eastAsia="微软雅黑"/>
          <w:sz w:val="44"/>
          <w:szCs w:val="44"/>
        </w:rPr>
        <w:t>部门整体支出绩效自评报告</w:t>
      </w:r>
    </w:p>
    <w:p w14:paraId="4ACC0D80">
      <w:pPr>
        <w:rPr>
          <w:rFonts w:ascii="Times New Roman" w:hAnsi="Times New Roman" w:eastAsia="方正小标宋_GBK"/>
          <w:sz w:val="32"/>
          <w:szCs w:val="32"/>
        </w:rPr>
      </w:pPr>
    </w:p>
    <w:p w14:paraId="2558CE0E">
      <w:pPr>
        <w:pStyle w:val="17"/>
        <w:widowControl/>
        <w:numPr>
          <w:ilvl w:val="0"/>
          <w:numId w:val="1"/>
        </w:numPr>
        <w:spacing w:line="560" w:lineRule="exact"/>
        <w:ind w:firstLineChars="0"/>
        <w:rPr>
          <w:rFonts w:eastAsia="黑体"/>
          <w:sz w:val="32"/>
          <w:szCs w:val="32"/>
        </w:rPr>
      </w:pPr>
      <w:r>
        <w:rPr>
          <w:rFonts w:eastAsia="黑体"/>
          <w:sz w:val="32"/>
          <w:szCs w:val="32"/>
        </w:rPr>
        <w:t>部门、单位基本情况</w:t>
      </w:r>
    </w:p>
    <w:p w14:paraId="0EEC3976">
      <w:pPr>
        <w:pStyle w:val="6"/>
        <w:spacing w:beforeAutospacing="0" w:afterAutospacing="0" w:line="560" w:lineRule="exact"/>
        <w:ind w:firstLine="640" w:firstLineChars="200"/>
        <w:jc w:val="both"/>
        <w:outlineLvl w:val="0"/>
        <w:rPr>
          <w:rFonts w:ascii="黑体" w:hAnsi="黑体" w:eastAsia="黑体" w:cs="黑体"/>
          <w:b/>
          <w:bCs/>
          <w:color w:val="333333"/>
          <w:sz w:val="32"/>
          <w:szCs w:val="32"/>
        </w:rPr>
      </w:pPr>
      <w:r>
        <w:rPr>
          <w:rFonts w:hint="eastAsia" w:ascii="黑体" w:hAnsi="黑体" w:eastAsia="黑体" w:cs="黑体"/>
          <w:b/>
          <w:bCs/>
          <w:color w:val="333333"/>
          <w:sz w:val="32"/>
          <w:szCs w:val="32"/>
        </w:rPr>
        <w:t>（一）单位概况</w:t>
      </w:r>
    </w:p>
    <w:p w14:paraId="5D1324E9">
      <w:pPr>
        <w:pStyle w:val="6"/>
        <w:spacing w:beforeAutospacing="0" w:afterAutospacing="0" w:line="560" w:lineRule="exact"/>
        <w:ind w:firstLine="640" w:firstLineChars="200"/>
        <w:jc w:val="both"/>
        <w:rPr>
          <w:rFonts w:ascii="仿宋" w:hAnsi="仿宋" w:eastAsia="仿宋" w:cs="仿宋"/>
          <w:color w:val="333333"/>
          <w:sz w:val="32"/>
          <w:szCs w:val="32"/>
        </w:rPr>
      </w:pPr>
      <w:r>
        <w:rPr>
          <w:rFonts w:hint="eastAsia" w:ascii="仿宋" w:hAnsi="仿宋" w:eastAsia="仿宋" w:cs="仿宋"/>
          <w:kern w:val="2"/>
          <w:sz w:val="32"/>
          <w:szCs w:val="32"/>
        </w:rPr>
        <w:t>衡阳市地方志编纂室成立于1986年，前身为衡阳市地方志编纂委员会办公室，2019年2月机构改革更名为衡阳市地方志编纂室。衡阳市地方志编纂室是衡阳市人民政府直属正处级事业单位，属市一级预算单位。</w:t>
      </w:r>
    </w:p>
    <w:p w14:paraId="7A5D711B">
      <w:pPr>
        <w:pStyle w:val="6"/>
        <w:spacing w:beforeAutospacing="0" w:afterAutospacing="0" w:line="560" w:lineRule="exact"/>
        <w:ind w:firstLine="640" w:firstLineChars="200"/>
        <w:jc w:val="both"/>
        <w:outlineLvl w:val="1"/>
        <w:rPr>
          <w:rFonts w:ascii="楷体" w:hAnsi="楷体" w:eastAsia="楷体" w:cs="楷体"/>
          <w:color w:val="333333"/>
          <w:sz w:val="32"/>
          <w:szCs w:val="32"/>
        </w:rPr>
      </w:pPr>
      <w:r>
        <w:rPr>
          <w:rStyle w:val="9"/>
          <w:rFonts w:hint="eastAsia" w:ascii="楷体" w:hAnsi="楷体" w:eastAsia="楷体" w:cs="楷体"/>
          <w:color w:val="333333"/>
          <w:sz w:val="32"/>
          <w:szCs w:val="32"/>
        </w:rPr>
        <w:t>1.部门职责</w:t>
      </w:r>
    </w:p>
    <w:p w14:paraId="7C2B7418">
      <w:pPr>
        <w:pStyle w:val="6"/>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衡阳市地方志编纂室是市人民政府主管的直属公益类事业单位，主要职责为：</w:t>
      </w:r>
    </w:p>
    <w:p w14:paraId="25B0D7FB">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（1）贯彻执行党中央、国务院和省、市有关编修各级地方志的方针政策和法律法规，拟定地方性的编修工作政策、规定和地方志工作规划、编纂方案；</w:t>
      </w:r>
    </w:p>
    <w:p w14:paraId="7EEE7C39">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（2）在市委领导、市政府主持下，组织编修《衡阳市志》《衡阳年鉴》、部门志、专业志、专业年鉴及市志丛书；</w:t>
      </w:r>
    </w:p>
    <w:p w14:paraId="2213BB89">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（3）组织、指导、督促和检查市直各部门和县市区的地方志和地方综合年鉴工作；组织对各级志书、年鉴稿的评审、验收、出版、评奖；</w:t>
      </w:r>
    </w:p>
    <w:p w14:paraId="015AC70F">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（4）搜集、保存、整理、研究衡阳地方文献和市情资料，组织整理旧志，推动方志理论研究和方志馆建设；</w:t>
      </w:r>
    </w:p>
    <w:p w14:paraId="649E8CA3">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（5）组织开发利用地方志资源，推动地方志信息化建设；</w:t>
      </w:r>
    </w:p>
    <w:p w14:paraId="30E48FDE">
      <w:pPr>
        <w:pStyle w:val="6"/>
        <w:spacing w:beforeAutospacing="0" w:afterAutospacing="0" w:line="560" w:lineRule="exact"/>
        <w:jc w:val="both"/>
        <w:rPr>
          <w:rFonts w:ascii="仿宋" w:hAnsi="仿宋" w:eastAsia="仿宋" w:cs="仿宋"/>
          <w:kern w:val="2"/>
          <w:sz w:val="32"/>
          <w:szCs w:val="32"/>
        </w:rPr>
      </w:pPr>
      <w:r>
        <w:rPr>
          <w:rFonts w:hint="eastAsia" w:ascii="仿宋" w:hAnsi="仿宋" w:eastAsia="仿宋" w:cs="仿宋"/>
          <w:kern w:val="2"/>
          <w:sz w:val="32"/>
          <w:szCs w:val="32"/>
        </w:rPr>
        <w:t>（6）承办市委、市政府交办的其他工作。</w:t>
      </w:r>
    </w:p>
    <w:p w14:paraId="67468BBF">
      <w:pPr>
        <w:pStyle w:val="6"/>
        <w:spacing w:beforeAutospacing="0" w:afterAutospacing="0" w:line="560" w:lineRule="exact"/>
        <w:ind w:firstLine="640" w:firstLineChars="200"/>
        <w:jc w:val="both"/>
        <w:outlineLvl w:val="1"/>
        <w:rPr>
          <w:rStyle w:val="9"/>
          <w:rFonts w:ascii="楷体" w:hAnsi="楷体" w:eastAsia="楷体" w:cs="楷体"/>
          <w:color w:val="333333"/>
          <w:sz w:val="32"/>
          <w:szCs w:val="32"/>
        </w:rPr>
      </w:pPr>
      <w:r>
        <w:rPr>
          <w:rStyle w:val="9"/>
          <w:rFonts w:hint="eastAsia" w:ascii="楷体" w:hAnsi="楷体" w:eastAsia="楷体" w:cs="楷体"/>
          <w:color w:val="333333"/>
          <w:sz w:val="32"/>
          <w:szCs w:val="32"/>
        </w:rPr>
        <w:t>（二）内设机构及编制</w:t>
      </w:r>
    </w:p>
    <w:p w14:paraId="27249793">
      <w:pPr>
        <w:pStyle w:val="6"/>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b/>
          <w:bCs/>
          <w:kern w:val="2"/>
          <w:sz w:val="32"/>
          <w:szCs w:val="32"/>
        </w:rPr>
        <w:t>1.内设机构。</w:t>
      </w:r>
      <w:r>
        <w:rPr>
          <w:rFonts w:hint="eastAsia" w:ascii="仿宋" w:hAnsi="仿宋" w:eastAsia="仿宋" w:cs="仿宋"/>
          <w:kern w:val="2"/>
          <w:sz w:val="32"/>
          <w:szCs w:val="32"/>
        </w:rPr>
        <w:t>衡阳市地方志编纂室内设综合科、方志科(加挂《衡阳市志》总编室、《衡阳地方史资料》编辑部的牌子）、年鉴科（对外保留衡阳市人民政府《衡阳年鉴》编辑部的牌子）、资料科（加挂衡阳市方志馆的牌子）4个科室。</w:t>
      </w:r>
    </w:p>
    <w:p w14:paraId="713098BE">
      <w:pPr>
        <w:pStyle w:val="6"/>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b/>
          <w:bCs/>
          <w:kern w:val="2"/>
          <w:sz w:val="32"/>
          <w:szCs w:val="32"/>
        </w:rPr>
        <w:t>2.部门编制。</w:t>
      </w:r>
      <w:r>
        <w:rPr>
          <w:rFonts w:hint="eastAsia" w:ascii="仿宋" w:hAnsi="仿宋" w:eastAsia="仿宋" w:cs="仿宋"/>
          <w:kern w:val="2"/>
          <w:sz w:val="32"/>
          <w:szCs w:val="32"/>
        </w:rPr>
        <w:t>截至202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年12月31日，衡阳市地方志编纂室编制数16人（含机关后勤服务全额拨款事业编制1名），设主任1名，副主任</w:t>
      </w:r>
      <w:r>
        <w:rPr>
          <w:rFonts w:hint="eastAsia" w:ascii="仿宋" w:hAnsi="仿宋" w:eastAsia="仿宋" w:cs="仿宋"/>
          <w:kern w:val="2"/>
          <w:sz w:val="32"/>
          <w:szCs w:val="32"/>
          <w:lang w:eastAsia="zh-CN"/>
        </w:rPr>
        <w:t>2</w:t>
      </w:r>
      <w:r>
        <w:rPr>
          <w:rFonts w:hint="eastAsia" w:ascii="仿宋" w:hAnsi="仿宋" w:eastAsia="仿宋" w:cs="仿宋"/>
          <w:kern w:val="2"/>
          <w:sz w:val="32"/>
          <w:szCs w:val="32"/>
        </w:rPr>
        <w:t>名；内设机构领导职数8名，其中正科级领导职数4名，副科级领导职数4名。在职人数1</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人，离退休人员</w:t>
      </w:r>
      <w:r>
        <w:rPr>
          <w:rFonts w:hint="eastAsia" w:ascii="仿宋" w:hAnsi="仿宋" w:eastAsia="仿宋" w:cs="仿宋"/>
          <w:kern w:val="2"/>
          <w:sz w:val="32"/>
          <w:szCs w:val="32"/>
          <w:lang w:val="en-US" w:eastAsia="zh-CN"/>
        </w:rPr>
        <w:t>16</w:t>
      </w:r>
      <w:r>
        <w:rPr>
          <w:rFonts w:hint="eastAsia" w:ascii="仿宋" w:hAnsi="仿宋" w:eastAsia="仿宋" w:cs="仿宋"/>
          <w:kern w:val="2"/>
          <w:sz w:val="32"/>
          <w:szCs w:val="32"/>
        </w:rPr>
        <w:t>名。</w:t>
      </w:r>
    </w:p>
    <w:p w14:paraId="4264F550">
      <w:pPr>
        <w:widowControl/>
        <w:spacing w:line="560" w:lineRule="exact"/>
        <w:ind w:firstLine="640" w:firstLineChars="200"/>
        <w:rPr>
          <w:rFonts w:eastAsia="黑体"/>
          <w:sz w:val="32"/>
          <w:szCs w:val="32"/>
        </w:rPr>
      </w:pPr>
      <w:r>
        <w:rPr>
          <w:rFonts w:eastAsia="黑体"/>
          <w:sz w:val="32"/>
          <w:szCs w:val="32"/>
        </w:rPr>
        <w:t>二、一般公共预算支出情况</w:t>
      </w:r>
    </w:p>
    <w:p w14:paraId="69373065">
      <w:pPr>
        <w:pStyle w:val="17"/>
        <w:widowControl/>
        <w:spacing w:line="560" w:lineRule="exact"/>
        <w:ind w:firstLine="643"/>
        <w:rPr>
          <w:rFonts w:eastAsia="楷体"/>
          <w:b/>
          <w:sz w:val="32"/>
          <w:szCs w:val="32"/>
        </w:rPr>
      </w:pPr>
      <w:r>
        <w:rPr>
          <w:rFonts w:eastAsia="楷体"/>
          <w:b/>
          <w:sz w:val="32"/>
          <w:szCs w:val="32"/>
        </w:rPr>
        <w:t>（一）基本支出情况</w:t>
      </w:r>
    </w:p>
    <w:p w14:paraId="29DC36B0">
      <w:pPr>
        <w:pStyle w:val="6"/>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衡阳市地方志编纂室202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年基本支出年初预算数为</w:t>
      </w:r>
      <w:r>
        <w:rPr>
          <w:rFonts w:hint="eastAsia" w:ascii="仿宋" w:hAnsi="仿宋" w:eastAsia="仿宋" w:cs="仿宋"/>
          <w:kern w:val="2"/>
          <w:sz w:val="32"/>
          <w:szCs w:val="32"/>
          <w:lang w:val="en-US" w:eastAsia="zh-CN"/>
        </w:rPr>
        <w:t>311.08</w:t>
      </w:r>
      <w:r>
        <w:rPr>
          <w:rFonts w:hint="eastAsia" w:ascii="仿宋" w:hAnsi="仿宋" w:eastAsia="仿宋" w:cs="仿宋"/>
          <w:kern w:val="2"/>
          <w:sz w:val="32"/>
          <w:szCs w:val="32"/>
        </w:rPr>
        <w:t>万元，其中</w:t>
      </w:r>
      <w:r>
        <w:rPr>
          <w:rFonts w:hint="eastAsia" w:ascii="仿宋" w:hAnsi="仿宋" w:eastAsia="仿宋" w:cs="仿宋"/>
          <w:kern w:val="2"/>
          <w:sz w:val="32"/>
          <w:szCs w:val="32"/>
          <w:lang w:eastAsia="zh-CN"/>
        </w:rPr>
        <w:t>人员</w:t>
      </w:r>
      <w:r>
        <w:rPr>
          <w:rFonts w:hint="eastAsia" w:ascii="仿宋" w:hAnsi="仿宋" w:eastAsia="仿宋" w:cs="仿宋"/>
          <w:kern w:val="2"/>
          <w:sz w:val="32"/>
          <w:szCs w:val="32"/>
        </w:rPr>
        <w:t>工资福利支出</w:t>
      </w:r>
      <w:r>
        <w:rPr>
          <w:rFonts w:hint="eastAsia" w:ascii="仿宋" w:hAnsi="仿宋" w:eastAsia="仿宋" w:cs="仿宋"/>
          <w:kern w:val="2"/>
          <w:sz w:val="32"/>
          <w:szCs w:val="32"/>
          <w:lang w:val="en-US" w:eastAsia="zh-CN"/>
        </w:rPr>
        <w:t>202.48</w:t>
      </w:r>
      <w:r>
        <w:rPr>
          <w:rFonts w:hint="eastAsia" w:ascii="仿宋" w:hAnsi="仿宋" w:eastAsia="仿宋" w:cs="仿宋"/>
          <w:kern w:val="2"/>
          <w:sz w:val="32"/>
          <w:szCs w:val="32"/>
        </w:rPr>
        <w:t>万元，商品和服务支出</w:t>
      </w:r>
      <w:r>
        <w:rPr>
          <w:rFonts w:hint="eastAsia" w:ascii="仿宋" w:hAnsi="仿宋" w:eastAsia="仿宋" w:cs="仿宋"/>
          <w:kern w:val="2"/>
          <w:sz w:val="32"/>
          <w:szCs w:val="32"/>
          <w:lang w:val="en-US" w:eastAsia="zh-CN"/>
        </w:rPr>
        <w:t>52.24</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对个人和家庭的补助</w:t>
      </w:r>
      <w:r>
        <w:rPr>
          <w:rFonts w:hint="eastAsia" w:ascii="仿宋" w:hAnsi="仿宋" w:eastAsia="仿宋" w:cs="仿宋"/>
          <w:kern w:val="2"/>
          <w:sz w:val="32"/>
          <w:szCs w:val="32"/>
          <w:lang w:val="en-US" w:eastAsia="zh-CN"/>
        </w:rPr>
        <w:t>56.36万元</w:t>
      </w:r>
      <w:r>
        <w:rPr>
          <w:rFonts w:hint="eastAsia" w:ascii="仿宋" w:hAnsi="仿宋" w:eastAsia="仿宋" w:cs="仿宋"/>
          <w:kern w:val="2"/>
          <w:sz w:val="32"/>
          <w:szCs w:val="32"/>
        </w:rPr>
        <w:t>。</w:t>
      </w:r>
    </w:p>
    <w:p w14:paraId="7A3B376C">
      <w:pPr>
        <w:pStyle w:val="6"/>
        <w:spacing w:beforeAutospacing="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kern w:val="2"/>
          <w:sz w:val="32"/>
          <w:szCs w:val="32"/>
        </w:rPr>
        <w:t>衡阳市地方志编纂室202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年基本支出决算数为</w:t>
      </w:r>
      <w:r>
        <w:rPr>
          <w:rFonts w:hint="eastAsia" w:ascii="仿宋" w:hAnsi="仿宋" w:eastAsia="仿宋" w:cs="仿宋"/>
          <w:kern w:val="2"/>
          <w:sz w:val="32"/>
          <w:szCs w:val="32"/>
          <w:lang w:val="en-US" w:eastAsia="zh-CN"/>
        </w:rPr>
        <w:t>450.9</w:t>
      </w:r>
      <w:r>
        <w:rPr>
          <w:rFonts w:hint="eastAsia" w:ascii="仿宋" w:hAnsi="仿宋" w:eastAsia="仿宋" w:cs="仿宋"/>
          <w:kern w:val="2"/>
          <w:sz w:val="32"/>
          <w:szCs w:val="32"/>
        </w:rPr>
        <w:t>万元，其中：其中工资福利支出</w:t>
      </w:r>
      <w:r>
        <w:rPr>
          <w:rFonts w:hint="eastAsia" w:ascii="仿宋" w:hAnsi="仿宋" w:eastAsia="仿宋" w:cs="仿宋"/>
          <w:kern w:val="2"/>
          <w:sz w:val="32"/>
          <w:szCs w:val="32"/>
          <w:lang w:val="en-US" w:eastAsia="zh-CN"/>
        </w:rPr>
        <w:t>215.3</w:t>
      </w:r>
      <w:r>
        <w:rPr>
          <w:rFonts w:hint="eastAsia" w:ascii="仿宋" w:hAnsi="仿宋" w:eastAsia="仿宋" w:cs="仿宋"/>
          <w:kern w:val="2"/>
          <w:sz w:val="32"/>
          <w:szCs w:val="32"/>
        </w:rPr>
        <w:t>万元，商品和服务支出</w:t>
      </w:r>
      <w:r>
        <w:rPr>
          <w:rFonts w:hint="eastAsia" w:ascii="仿宋" w:hAnsi="仿宋" w:eastAsia="仿宋" w:cs="仿宋"/>
          <w:kern w:val="2"/>
          <w:sz w:val="32"/>
          <w:szCs w:val="32"/>
          <w:lang w:val="en-US" w:eastAsia="zh-CN"/>
        </w:rPr>
        <w:t>118.1</w:t>
      </w:r>
      <w:r>
        <w:rPr>
          <w:rFonts w:hint="eastAsia" w:ascii="仿宋" w:hAnsi="仿宋" w:eastAsia="仿宋" w:cs="仿宋"/>
          <w:kern w:val="2"/>
          <w:sz w:val="32"/>
          <w:szCs w:val="32"/>
        </w:rPr>
        <w:t>万元，对个人和家庭的补助</w:t>
      </w:r>
      <w:r>
        <w:rPr>
          <w:rFonts w:hint="eastAsia" w:ascii="仿宋" w:hAnsi="仿宋" w:eastAsia="仿宋" w:cs="仿宋"/>
          <w:kern w:val="2"/>
          <w:sz w:val="32"/>
          <w:szCs w:val="32"/>
          <w:lang w:val="en-US" w:eastAsia="zh-CN"/>
        </w:rPr>
        <w:t>89.8</w:t>
      </w:r>
      <w:r>
        <w:rPr>
          <w:rFonts w:hint="eastAsia" w:ascii="仿宋" w:hAnsi="仿宋" w:eastAsia="仿宋" w:cs="仿宋"/>
          <w:kern w:val="2"/>
          <w:sz w:val="32"/>
          <w:szCs w:val="32"/>
        </w:rPr>
        <w:t>万元，资本性支出</w:t>
      </w:r>
      <w:r>
        <w:rPr>
          <w:rFonts w:hint="eastAsia" w:ascii="仿宋" w:hAnsi="仿宋" w:eastAsia="仿宋" w:cs="仿宋"/>
          <w:kern w:val="2"/>
          <w:sz w:val="32"/>
          <w:szCs w:val="32"/>
          <w:lang w:val="en-US" w:eastAsia="zh-CN"/>
        </w:rPr>
        <w:t>27.7</w:t>
      </w:r>
      <w:r>
        <w:rPr>
          <w:rFonts w:hint="eastAsia" w:ascii="仿宋" w:hAnsi="仿宋" w:eastAsia="仿宋" w:cs="仿宋"/>
          <w:kern w:val="2"/>
          <w:sz w:val="32"/>
          <w:szCs w:val="32"/>
        </w:rPr>
        <w:t>万元。年末基本支出结转结余0万元。</w:t>
      </w:r>
    </w:p>
    <w:p w14:paraId="64E0BEDF">
      <w:pPr>
        <w:widowControl/>
        <w:spacing w:line="560" w:lineRule="exact"/>
        <w:ind w:firstLine="640" w:firstLineChars="200"/>
        <w:rPr>
          <w:rFonts w:eastAsia="楷体"/>
          <w:b/>
          <w:sz w:val="32"/>
          <w:szCs w:val="32"/>
        </w:rPr>
      </w:pPr>
      <w:r>
        <w:rPr>
          <w:rFonts w:eastAsia="楷体"/>
          <w:b/>
          <w:sz w:val="32"/>
          <w:szCs w:val="32"/>
        </w:rPr>
        <w:t>（二）项目支出情况</w:t>
      </w:r>
    </w:p>
    <w:p w14:paraId="2FD09AD7">
      <w:pPr>
        <w:pStyle w:val="6"/>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衡阳市地方志编纂室202</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年度项目支出年初预算</w:t>
      </w:r>
      <w:r>
        <w:rPr>
          <w:rFonts w:hint="eastAsia" w:ascii="仿宋" w:hAnsi="仿宋" w:eastAsia="仿宋" w:cs="仿宋"/>
          <w:kern w:val="2"/>
          <w:sz w:val="32"/>
          <w:szCs w:val="32"/>
          <w:lang w:val="en-US" w:eastAsia="zh-CN"/>
        </w:rPr>
        <w:t>35</w:t>
      </w:r>
      <w:r>
        <w:rPr>
          <w:rFonts w:hint="eastAsia" w:ascii="仿宋" w:hAnsi="仿宋" w:eastAsia="仿宋" w:cs="仿宋"/>
          <w:kern w:val="2"/>
          <w:sz w:val="32"/>
          <w:szCs w:val="32"/>
        </w:rPr>
        <w:t>万元，决算支出</w:t>
      </w:r>
      <w:r>
        <w:rPr>
          <w:rFonts w:hint="eastAsia" w:ascii="仿宋" w:hAnsi="仿宋" w:eastAsia="仿宋" w:cs="仿宋"/>
          <w:kern w:val="2"/>
          <w:sz w:val="32"/>
          <w:szCs w:val="32"/>
          <w:lang w:val="en-US" w:eastAsia="zh-CN"/>
        </w:rPr>
        <w:t>34.8</w:t>
      </w:r>
      <w:r>
        <w:rPr>
          <w:rFonts w:hint="eastAsia" w:ascii="仿宋" w:hAnsi="仿宋" w:eastAsia="仿宋" w:cs="仿宋"/>
          <w:kern w:val="2"/>
          <w:sz w:val="32"/>
          <w:szCs w:val="32"/>
        </w:rPr>
        <w:t>万元。主要用于《衡阳年鉴》《衡阳市志——衡阳地方史资料》项目的征稿、编辑、印刷、出版、发行等工作，年末项目支出结转结余0万元。</w:t>
      </w:r>
    </w:p>
    <w:p w14:paraId="5B177074">
      <w:pPr>
        <w:pStyle w:val="6"/>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具体项目支出明细如下：(金额单位：万元 )</w:t>
      </w:r>
    </w:p>
    <w:tbl>
      <w:tblPr>
        <w:tblStyle w:val="7"/>
        <w:tblW w:w="4999" w:type="pct"/>
        <w:tblInd w:w="0" w:type="dxa"/>
        <w:tblLayout w:type="autofit"/>
        <w:tblCellMar>
          <w:top w:w="0" w:type="dxa"/>
          <w:left w:w="108" w:type="dxa"/>
          <w:bottom w:w="0" w:type="dxa"/>
          <w:right w:w="108" w:type="dxa"/>
        </w:tblCellMar>
      </w:tblPr>
      <w:tblGrid>
        <w:gridCol w:w="4261"/>
        <w:gridCol w:w="4265"/>
      </w:tblGrid>
      <w:tr w14:paraId="4A785DD5">
        <w:tblPrEx>
          <w:tblCellMar>
            <w:top w:w="0" w:type="dxa"/>
            <w:left w:w="108" w:type="dxa"/>
            <w:bottom w:w="0" w:type="dxa"/>
            <w:right w:w="108" w:type="dxa"/>
          </w:tblCellMar>
        </w:tblPrEx>
        <w:trPr>
          <w:trHeight w:val="397" w:hRule="atLeast"/>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2FB7C6">
            <w:pPr>
              <w:widowControl/>
              <w:spacing w:line="56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项  目</w:t>
            </w:r>
          </w:p>
        </w:tc>
        <w:tc>
          <w:tcPr>
            <w:tcW w:w="2501" w:type="pct"/>
            <w:tcBorders>
              <w:top w:val="single" w:color="000000" w:sz="8" w:space="0"/>
              <w:left w:val="nil"/>
              <w:bottom w:val="single" w:color="000000" w:sz="8" w:space="0"/>
              <w:right w:val="single" w:color="000000" w:sz="8" w:space="0"/>
            </w:tcBorders>
            <w:shd w:val="clear" w:color="auto" w:fill="auto"/>
            <w:vAlign w:val="center"/>
          </w:tcPr>
          <w:p w14:paraId="48CBE8E3">
            <w:pPr>
              <w:widowControl/>
              <w:spacing w:line="56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202</w:t>
            </w:r>
            <w:r>
              <w:rPr>
                <w:rFonts w:hint="eastAsia" w:ascii="仿宋" w:hAnsi="仿宋" w:eastAsia="仿宋" w:cs="仿宋"/>
                <w:b/>
                <w:bCs/>
                <w:color w:val="000000"/>
                <w:kern w:val="0"/>
                <w:sz w:val="24"/>
                <w:lang w:val="en-US" w:eastAsia="zh-CN"/>
              </w:rPr>
              <w:t>4</w:t>
            </w:r>
            <w:r>
              <w:rPr>
                <w:rFonts w:hint="eastAsia" w:ascii="仿宋" w:hAnsi="仿宋" w:eastAsia="仿宋" w:cs="仿宋"/>
                <w:b/>
                <w:bCs/>
                <w:color w:val="000000"/>
                <w:kern w:val="0"/>
                <w:sz w:val="24"/>
              </w:rPr>
              <w:t>年决算数</w:t>
            </w:r>
          </w:p>
        </w:tc>
      </w:tr>
      <w:tr w14:paraId="7CF75806">
        <w:tblPrEx>
          <w:tblCellMar>
            <w:top w:w="0" w:type="dxa"/>
            <w:left w:w="108" w:type="dxa"/>
            <w:bottom w:w="0" w:type="dxa"/>
            <w:right w:w="108" w:type="dxa"/>
          </w:tblCellMar>
        </w:tblPrEx>
        <w:trPr>
          <w:trHeight w:val="397" w:hRule="atLeast"/>
        </w:trPr>
        <w:tc>
          <w:tcPr>
            <w:tcW w:w="2499" w:type="pct"/>
            <w:tcBorders>
              <w:top w:val="nil"/>
              <w:left w:val="single" w:color="000000" w:sz="8" w:space="0"/>
              <w:bottom w:val="single" w:color="000000" w:sz="8" w:space="0"/>
              <w:right w:val="single" w:color="000000" w:sz="8" w:space="0"/>
            </w:tcBorders>
            <w:shd w:val="clear" w:color="auto" w:fill="auto"/>
            <w:vAlign w:val="center"/>
          </w:tcPr>
          <w:p w14:paraId="4ACBEA76">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衡阳年鉴</w:t>
            </w:r>
          </w:p>
        </w:tc>
        <w:tc>
          <w:tcPr>
            <w:tcW w:w="2501" w:type="pct"/>
            <w:tcBorders>
              <w:top w:val="nil"/>
              <w:left w:val="nil"/>
              <w:bottom w:val="single" w:color="000000" w:sz="8" w:space="0"/>
              <w:right w:val="single" w:color="000000" w:sz="8" w:space="0"/>
            </w:tcBorders>
            <w:shd w:val="clear" w:color="auto" w:fill="auto"/>
            <w:vAlign w:val="center"/>
          </w:tcPr>
          <w:p w14:paraId="1C5F8A95">
            <w:pPr>
              <w:widowControl/>
              <w:spacing w:line="56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20</w:t>
            </w:r>
          </w:p>
        </w:tc>
      </w:tr>
      <w:tr w14:paraId="471EDDD8">
        <w:tblPrEx>
          <w:tblCellMar>
            <w:top w:w="0" w:type="dxa"/>
            <w:left w:w="108" w:type="dxa"/>
            <w:bottom w:w="0" w:type="dxa"/>
            <w:right w:w="108" w:type="dxa"/>
          </w:tblCellMar>
        </w:tblPrEx>
        <w:trPr>
          <w:trHeight w:val="397" w:hRule="atLeast"/>
        </w:trPr>
        <w:tc>
          <w:tcPr>
            <w:tcW w:w="2499" w:type="pct"/>
            <w:tcBorders>
              <w:top w:val="nil"/>
              <w:left w:val="single" w:color="000000" w:sz="8" w:space="0"/>
              <w:bottom w:val="single" w:color="000000" w:sz="8" w:space="0"/>
              <w:right w:val="single" w:color="000000" w:sz="8" w:space="0"/>
            </w:tcBorders>
            <w:shd w:val="clear" w:color="auto" w:fill="auto"/>
            <w:vAlign w:val="center"/>
          </w:tcPr>
          <w:p w14:paraId="766D14A7">
            <w:pPr>
              <w:widowControl/>
              <w:spacing w:line="5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衡阳市志</w:t>
            </w:r>
          </w:p>
        </w:tc>
        <w:tc>
          <w:tcPr>
            <w:tcW w:w="2501" w:type="pct"/>
            <w:tcBorders>
              <w:top w:val="nil"/>
              <w:left w:val="nil"/>
              <w:bottom w:val="single" w:color="000000" w:sz="8" w:space="0"/>
              <w:right w:val="single" w:color="000000" w:sz="8" w:space="0"/>
            </w:tcBorders>
            <w:shd w:val="clear" w:color="auto" w:fill="auto"/>
            <w:vAlign w:val="center"/>
          </w:tcPr>
          <w:p w14:paraId="5B4757A5">
            <w:pPr>
              <w:widowControl/>
              <w:spacing w:line="56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14.8</w:t>
            </w:r>
          </w:p>
        </w:tc>
      </w:tr>
      <w:tr w14:paraId="1F138D28">
        <w:tblPrEx>
          <w:tblCellMar>
            <w:top w:w="0" w:type="dxa"/>
            <w:left w:w="108" w:type="dxa"/>
            <w:bottom w:w="0" w:type="dxa"/>
            <w:right w:w="108" w:type="dxa"/>
          </w:tblCellMar>
        </w:tblPrEx>
        <w:trPr>
          <w:trHeight w:val="397" w:hRule="atLeast"/>
        </w:trPr>
        <w:tc>
          <w:tcPr>
            <w:tcW w:w="2499" w:type="pct"/>
            <w:tcBorders>
              <w:top w:val="nil"/>
              <w:left w:val="single" w:color="000000" w:sz="8" w:space="0"/>
              <w:bottom w:val="single" w:color="000000" w:sz="8" w:space="0"/>
              <w:right w:val="single" w:color="000000" w:sz="8" w:space="0"/>
            </w:tcBorders>
            <w:shd w:val="clear" w:color="auto" w:fill="auto"/>
            <w:vAlign w:val="center"/>
          </w:tcPr>
          <w:p w14:paraId="2F9CF44C">
            <w:pPr>
              <w:widowControl/>
              <w:spacing w:line="560" w:lineRule="exact"/>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合 计</w:t>
            </w:r>
          </w:p>
        </w:tc>
        <w:tc>
          <w:tcPr>
            <w:tcW w:w="2501" w:type="pct"/>
            <w:tcBorders>
              <w:top w:val="nil"/>
              <w:left w:val="nil"/>
              <w:bottom w:val="single" w:color="000000" w:sz="8" w:space="0"/>
              <w:right w:val="single" w:color="000000" w:sz="8" w:space="0"/>
            </w:tcBorders>
            <w:shd w:val="clear" w:color="auto" w:fill="auto"/>
            <w:vAlign w:val="center"/>
          </w:tcPr>
          <w:p w14:paraId="1B3BC0C5">
            <w:pPr>
              <w:widowControl/>
              <w:spacing w:line="560" w:lineRule="exact"/>
              <w:jc w:val="center"/>
              <w:textAlignment w:val="center"/>
              <w:rPr>
                <w:rFonts w:hint="default" w:ascii="仿宋" w:hAnsi="仿宋" w:eastAsia="仿宋" w:cs="仿宋"/>
                <w:b/>
                <w:bCs/>
                <w:color w:val="000000"/>
                <w:sz w:val="24"/>
                <w:lang w:val="en-US" w:eastAsia="zh-CN"/>
              </w:rPr>
            </w:pPr>
            <w:r>
              <w:rPr>
                <w:rFonts w:hint="eastAsia" w:ascii="仿宋" w:hAnsi="仿宋" w:eastAsia="仿宋" w:cs="仿宋"/>
                <w:b/>
                <w:bCs/>
                <w:color w:val="000000"/>
                <w:kern w:val="0"/>
                <w:sz w:val="24"/>
                <w:lang w:val="en-US" w:eastAsia="zh-CN"/>
              </w:rPr>
              <w:t>34.8</w:t>
            </w:r>
          </w:p>
        </w:tc>
      </w:tr>
    </w:tbl>
    <w:p w14:paraId="2E3602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《衡阳年鉴202</w:t>
      </w:r>
      <w:r>
        <w:rPr>
          <w:rFonts w:hint="eastAsia" w:ascii="仿宋" w:hAnsi="仿宋" w:eastAsia="仿宋" w:cs="仿宋"/>
          <w:sz w:val="32"/>
          <w:szCs w:val="32"/>
          <w:lang w:val="en-US" w:eastAsia="zh-CN"/>
        </w:rPr>
        <w:t>4</w:t>
      </w:r>
      <w:r>
        <w:rPr>
          <w:rFonts w:hint="eastAsia" w:ascii="仿宋" w:hAnsi="仿宋" w:eastAsia="仿宋" w:cs="仿宋"/>
          <w:sz w:val="32"/>
          <w:szCs w:val="32"/>
        </w:rPr>
        <w:t>卷》项目资金年初预算</w:t>
      </w:r>
      <w:r>
        <w:rPr>
          <w:rFonts w:hint="eastAsia" w:ascii="仿宋" w:hAnsi="仿宋" w:eastAsia="仿宋" w:cs="仿宋"/>
          <w:sz w:val="32"/>
          <w:szCs w:val="32"/>
          <w:lang w:val="en-US" w:eastAsia="zh-CN"/>
        </w:rPr>
        <w:t>20</w:t>
      </w:r>
      <w:r>
        <w:rPr>
          <w:rFonts w:hint="eastAsia" w:ascii="仿宋" w:hAnsi="仿宋" w:eastAsia="仿宋" w:cs="仿宋"/>
          <w:sz w:val="32"/>
          <w:szCs w:val="32"/>
        </w:rPr>
        <w:t>万，一般公共预算拨款印刷费年初预算</w:t>
      </w:r>
      <w:r>
        <w:rPr>
          <w:rFonts w:hint="eastAsia" w:ascii="仿宋" w:hAnsi="仿宋" w:eastAsia="仿宋" w:cs="仿宋"/>
          <w:sz w:val="32"/>
          <w:szCs w:val="32"/>
          <w:lang w:val="en-US" w:eastAsia="zh-CN"/>
        </w:rPr>
        <w:t>20</w:t>
      </w:r>
      <w:r>
        <w:rPr>
          <w:rFonts w:hint="eastAsia" w:ascii="仿宋" w:hAnsi="仿宋" w:eastAsia="仿宋" w:cs="仿宋"/>
          <w:sz w:val="32"/>
          <w:szCs w:val="32"/>
        </w:rPr>
        <w:t>万，主要用于《衡阳年鉴》202</w:t>
      </w:r>
      <w:r>
        <w:rPr>
          <w:rFonts w:hint="eastAsia" w:ascii="仿宋" w:hAnsi="仿宋" w:eastAsia="仿宋" w:cs="仿宋"/>
          <w:sz w:val="32"/>
          <w:szCs w:val="32"/>
          <w:lang w:val="en-US" w:eastAsia="zh-CN"/>
        </w:rPr>
        <w:t>4</w:t>
      </w:r>
      <w:r>
        <w:rPr>
          <w:rFonts w:hint="eastAsia" w:ascii="仿宋" w:hAnsi="仿宋" w:eastAsia="仿宋" w:cs="仿宋"/>
          <w:sz w:val="32"/>
          <w:szCs w:val="32"/>
        </w:rPr>
        <w:t>卷出版印刷。</w:t>
      </w:r>
    </w:p>
    <w:p w14:paraId="443FA3F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年，《衡阳年鉴202</w:t>
      </w:r>
      <w:r>
        <w:rPr>
          <w:rFonts w:hint="eastAsia" w:ascii="仿宋" w:hAnsi="仿宋" w:eastAsia="仿宋" w:cs="仿宋"/>
          <w:sz w:val="32"/>
          <w:szCs w:val="32"/>
          <w:lang w:val="en-US" w:eastAsia="zh-CN"/>
        </w:rPr>
        <w:t>4</w:t>
      </w:r>
      <w:r>
        <w:rPr>
          <w:rFonts w:hint="eastAsia" w:ascii="仿宋" w:hAnsi="仿宋" w:eastAsia="仿宋" w:cs="仿宋"/>
          <w:sz w:val="32"/>
          <w:szCs w:val="32"/>
        </w:rPr>
        <w:t>卷》预算内项目资金实际使用</w:t>
      </w:r>
      <w:r>
        <w:rPr>
          <w:rFonts w:hint="eastAsia" w:ascii="仿宋" w:hAnsi="仿宋" w:eastAsia="仿宋" w:cs="仿宋"/>
          <w:sz w:val="32"/>
          <w:szCs w:val="32"/>
          <w:lang w:val="en-US" w:eastAsia="zh-CN"/>
        </w:rPr>
        <w:t>20</w:t>
      </w:r>
      <w:r>
        <w:rPr>
          <w:rFonts w:hint="eastAsia" w:ascii="仿宋" w:hAnsi="仿宋" w:eastAsia="仿宋" w:cs="仿宋"/>
          <w:sz w:val="32"/>
          <w:szCs w:val="32"/>
        </w:rPr>
        <w:t>万。</w:t>
      </w:r>
      <w:r>
        <w:rPr>
          <w:rFonts w:hint="eastAsia" w:ascii="仿宋" w:hAnsi="仿宋" w:eastAsia="仿宋" w:cs="仿宋"/>
          <w:sz w:val="32"/>
          <w:szCs w:val="32"/>
          <w:lang w:eastAsia="zh-CN"/>
        </w:rPr>
        <w:t>支付</w:t>
      </w:r>
      <w:r>
        <w:rPr>
          <w:rFonts w:hint="eastAsia" w:ascii="仿宋" w:hAnsi="仿宋" w:eastAsia="仿宋" w:cs="仿宋"/>
          <w:sz w:val="32"/>
          <w:szCs w:val="32"/>
        </w:rPr>
        <w:t>印刷费</w:t>
      </w:r>
      <w:r>
        <w:rPr>
          <w:rFonts w:hint="eastAsia" w:ascii="仿宋" w:hAnsi="仿宋" w:eastAsia="仿宋" w:cs="仿宋"/>
          <w:sz w:val="32"/>
          <w:szCs w:val="32"/>
          <w:lang w:val="en-US" w:eastAsia="zh-CN"/>
        </w:rPr>
        <w:t>20</w:t>
      </w:r>
      <w:r>
        <w:rPr>
          <w:rFonts w:hint="eastAsia" w:ascii="仿宋" w:hAnsi="仿宋" w:eastAsia="仿宋" w:cs="仿宋"/>
          <w:sz w:val="32"/>
          <w:szCs w:val="32"/>
        </w:rPr>
        <w:t>万。全部使用完毕无结余。</w:t>
      </w:r>
    </w:p>
    <w:p w14:paraId="0AD7361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《衡阳市志》项目资金年初预算1</w:t>
      </w:r>
      <w:r>
        <w:rPr>
          <w:rFonts w:hint="eastAsia" w:ascii="仿宋" w:hAnsi="仿宋" w:eastAsia="仿宋" w:cs="仿宋"/>
          <w:sz w:val="32"/>
          <w:szCs w:val="32"/>
          <w:lang w:val="en-US" w:eastAsia="zh-CN"/>
        </w:rPr>
        <w:t>5</w:t>
      </w:r>
      <w:r>
        <w:rPr>
          <w:rFonts w:hint="eastAsia" w:ascii="仿宋" w:hAnsi="仿宋" w:eastAsia="仿宋" w:cs="仿宋"/>
          <w:sz w:val="32"/>
          <w:szCs w:val="32"/>
        </w:rPr>
        <w:t>万，其中其中一般公共预算拨款劳务费</w:t>
      </w:r>
      <w:r>
        <w:rPr>
          <w:rFonts w:hint="eastAsia" w:ascii="仿宋" w:hAnsi="仿宋" w:eastAsia="仿宋" w:cs="仿宋"/>
          <w:sz w:val="32"/>
          <w:szCs w:val="32"/>
          <w:lang w:val="en-US" w:eastAsia="zh-CN"/>
        </w:rPr>
        <w:t>1</w:t>
      </w:r>
      <w:r>
        <w:rPr>
          <w:rFonts w:hint="eastAsia" w:ascii="仿宋" w:hAnsi="仿宋" w:eastAsia="仿宋" w:cs="仿宋"/>
          <w:sz w:val="32"/>
          <w:szCs w:val="32"/>
        </w:rPr>
        <w:t>万，主要用于向社会征稿后的稿费发放；一般公共预算拨款</w:t>
      </w:r>
      <w:r>
        <w:rPr>
          <w:rFonts w:hint="eastAsia" w:ascii="仿宋" w:hAnsi="仿宋" w:eastAsia="仿宋" w:cs="仿宋"/>
          <w:sz w:val="32"/>
          <w:szCs w:val="32"/>
          <w:lang w:val="en-US" w:eastAsia="zh-CN"/>
        </w:rPr>
        <w:t>会议费2万，主要用于对召开各县市区主任级工作会议及业务培训；一般公共预算拨款差旅费3.57万、其他交通费用1万，主要用于支付业务科室出差及租车费用，一般公共拨款印刷费7万，</w:t>
      </w:r>
      <w:r>
        <w:rPr>
          <w:rFonts w:hint="eastAsia" w:ascii="仿宋" w:hAnsi="仿宋" w:eastAsia="仿宋" w:cs="仿宋"/>
          <w:sz w:val="32"/>
          <w:szCs w:val="32"/>
        </w:rPr>
        <w:t>主要用于《衡阳地方史资料》第1</w:t>
      </w:r>
      <w:r>
        <w:rPr>
          <w:rFonts w:hint="eastAsia" w:ascii="仿宋" w:hAnsi="仿宋" w:eastAsia="仿宋" w:cs="仿宋"/>
          <w:sz w:val="32"/>
          <w:szCs w:val="32"/>
          <w:lang w:val="en-US" w:eastAsia="zh-CN"/>
        </w:rPr>
        <w:t>3</w:t>
      </w:r>
      <w:r>
        <w:rPr>
          <w:rFonts w:hint="eastAsia" w:ascii="仿宋" w:hAnsi="仿宋" w:eastAsia="仿宋" w:cs="仿宋"/>
          <w:sz w:val="32"/>
          <w:szCs w:val="32"/>
        </w:rPr>
        <w:t>辑</w:t>
      </w:r>
      <w:r>
        <w:rPr>
          <w:rFonts w:hint="eastAsia" w:ascii="仿宋" w:hAnsi="仿宋" w:eastAsia="仿宋" w:cs="仿宋"/>
          <w:sz w:val="32"/>
          <w:szCs w:val="32"/>
          <w:lang w:eastAsia="zh-CN"/>
        </w:rPr>
        <w:t>编纂、印刷</w:t>
      </w:r>
      <w:r>
        <w:rPr>
          <w:rFonts w:hint="eastAsia" w:ascii="仿宋" w:hAnsi="仿宋" w:eastAsia="仿宋" w:cs="仿宋"/>
          <w:sz w:val="32"/>
          <w:szCs w:val="32"/>
        </w:rPr>
        <w:t>。</w:t>
      </w:r>
    </w:p>
    <w:p w14:paraId="0C9F538E">
      <w:pPr>
        <w:adjustRightInd w:val="0"/>
        <w:snapToGrid w:val="0"/>
        <w:spacing w:line="560" w:lineRule="exact"/>
        <w:ind w:firstLine="640" w:firstLineChars="200"/>
        <w:rPr>
          <w:rFonts w:eastAsia="楷体"/>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年，《衡阳市志》预算内项目资金实际使用</w:t>
      </w:r>
      <w:r>
        <w:rPr>
          <w:rFonts w:hint="eastAsia" w:ascii="仿宋" w:hAnsi="仿宋" w:eastAsia="仿宋" w:cs="仿宋"/>
          <w:sz w:val="32"/>
          <w:szCs w:val="32"/>
          <w:lang w:val="en-US" w:eastAsia="zh-CN"/>
        </w:rPr>
        <w:t>14.8</w:t>
      </w:r>
      <w:r>
        <w:rPr>
          <w:rFonts w:hint="eastAsia" w:ascii="仿宋" w:hAnsi="仿宋" w:eastAsia="仿宋" w:cs="仿宋"/>
          <w:sz w:val="32"/>
          <w:szCs w:val="32"/>
        </w:rPr>
        <w:t>万。其中印刷费</w:t>
      </w:r>
      <w:r>
        <w:rPr>
          <w:rFonts w:hint="eastAsia" w:ascii="仿宋" w:hAnsi="仿宋" w:eastAsia="仿宋" w:cs="仿宋"/>
          <w:sz w:val="32"/>
          <w:szCs w:val="32"/>
          <w:lang w:val="en-US" w:eastAsia="zh-CN"/>
        </w:rPr>
        <w:t>6.9</w:t>
      </w:r>
      <w:r>
        <w:rPr>
          <w:rFonts w:hint="eastAsia" w:ascii="仿宋" w:hAnsi="仿宋" w:eastAsia="仿宋" w:cs="仿宋"/>
          <w:sz w:val="32"/>
          <w:szCs w:val="32"/>
        </w:rPr>
        <w:t>万；</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0.5万；劳务费4万；差旅费3.4万。2024年12月底，市财政局回笼市级所有未使用完的资金，因本单位属于零余额单位，故资金</w:t>
      </w:r>
      <w:r>
        <w:rPr>
          <w:rFonts w:hint="eastAsia" w:ascii="仿宋" w:hAnsi="仿宋" w:eastAsia="仿宋" w:cs="仿宋"/>
          <w:sz w:val="32"/>
          <w:szCs w:val="32"/>
        </w:rPr>
        <w:t>全部使用完毕，无结余。</w:t>
      </w:r>
    </w:p>
    <w:p w14:paraId="20B45CFC">
      <w:pPr>
        <w:pStyle w:val="17"/>
        <w:widowControl/>
        <w:numPr>
          <w:ilvl w:val="0"/>
          <w:numId w:val="2"/>
        </w:numPr>
        <w:spacing w:line="560" w:lineRule="exact"/>
        <w:ind w:firstLineChars="0"/>
        <w:rPr>
          <w:rFonts w:eastAsia="黑体"/>
          <w:sz w:val="32"/>
          <w:szCs w:val="32"/>
        </w:rPr>
      </w:pPr>
      <w:r>
        <w:rPr>
          <w:rFonts w:eastAsia="黑体"/>
          <w:sz w:val="32"/>
          <w:szCs w:val="32"/>
        </w:rPr>
        <w:t>政府性基金预算支出情况</w:t>
      </w:r>
    </w:p>
    <w:p w14:paraId="6DA8594F">
      <w:pPr>
        <w:widowControl/>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市</w:t>
      </w:r>
      <w:r>
        <w:rPr>
          <w:rFonts w:hint="eastAsia" w:ascii="仿宋" w:hAnsi="仿宋" w:eastAsia="仿宋"/>
          <w:sz w:val="32"/>
          <w:szCs w:val="32"/>
        </w:rPr>
        <w:t>地方志编纂室无政府性基金预算支出。</w:t>
      </w:r>
    </w:p>
    <w:p w14:paraId="13DA3BB5">
      <w:pPr>
        <w:pStyle w:val="17"/>
        <w:widowControl/>
        <w:numPr>
          <w:ilvl w:val="0"/>
          <w:numId w:val="2"/>
        </w:numPr>
        <w:spacing w:line="560" w:lineRule="exact"/>
        <w:ind w:firstLineChars="0"/>
        <w:rPr>
          <w:rFonts w:eastAsia="黑体"/>
          <w:sz w:val="32"/>
          <w:szCs w:val="32"/>
        </w:rPr>
      </w:pPr>
      <w:r>
        <w:rPr>
          <w:rFonts w:eastAsia="黑体"/>
          <w:sz w:val="32"/>
          <w:szCs w:val="32"/>
        </w:rPr>
        <w:t>国有资本经营预算支出情况</w:t>
      </w:r>
    </w:p>
    <w:p w14:paraId="57FADA71">
      <w:pPr>
        <w:widowControl/>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市</w:t>
      </w:r>
      <w:r>
        <w:rPr>
          <w:rFonts w:hint="eastAsia" w:ascii="仿宋" w:hAnsi="仿宋" w:eastAsia="仿宋"/>
          <w:sz w:val="32"/>
          <w:szCs w:val="32"/>
        </w:rPr>
        <w:t>地方志编纂室无国有资本经营预算支出。</w:t>
      </w:r>
    </w:p>
    <w:p w14:paraId="0FFA419B">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五、</w:t>
      </w:r>
      <w:r>
        <w:rPr>
          <w:rFonts w:eastAsia="黑体"/>
          <w:sz w:val="32"/>
          <w:szCs w:val="32"/>
        </w:rPr>
        <w:t>社会保险基金预算支出情况</w:t>
      </w:r>
    </w:p>
    <w:p w14:paraId="765E21D0">
      <w:pPr>
        <w:widowControl/>
        <w:spacing w:line="560" w:lineRule="exact"/>
        <w:ind w:left="640"/>
        <w:rPr>
          <w:rFonts w:ascii="仿宋" w:hAnsi="仿宋" w:eastAsia="仿宋"/>
          <w:sz w:val="32"/>
          <w:szCs w:val="32"/>
        </w:rPr>
      </w:pPr>
      <w:r>
        <w:rPr>
          <w:rFonts w:hint="eastAsia" w:ascii="仿宋" w:hAnsi="仿宋" w:eastAsia="仿宋"/>
          <w:sz w:val="32"/>
          <w:szCs w:val="32"/>
          <w:lang w:eastAsia="zh-CN"/>
        </w:rPr>
        <w:t>市</w:t>
      </w:r>
      <w:r>
        <w:rPr>
          <w:rFonts w:hint="eastAsia" w:ascii="仿宋" w:hAnsi="仿宋" w:eastAsia="仿宋"/>
          <w:sz w:val="32"/>
          <w:szCs w:val="32"/>
        </w:rPr>
        <w:t>地方志编纂室无社会保险基金预算支出。</w:t>
      </w:r>
    </w:p>
    <w:p w14:paraId="1B4F19B2">
      <w:pPr>
        <w:widowControl/>
        <w:numPr>
          <w:ilvl w:val="0"/>
          <w:numId w:val="2"/>
        </w:numPr>
        <w:spacing w:line="560" w:lineRule="exact"/>
        <w:ind w:left="1360" w:leftChars="0" w:hanging="720" w:firstLineChars="0"/>
        <w:rPr>
          <w:rFonts w:ascii="Times New Roman" w:hAnsi="Times New Roman" w:eastAsia="黑体"/>
          <w:sz w:val="32"/>
          <w:szCs w:val="32"/>
        </w:rPr>
      </w:pPr>
      <w:r>
        <w:rPr>
          <w:rFonts w:ascii="Times New Roman" w:hAnsi="Times New Roman" w:eastAsia="黑体"/>
          <w:sz w:val="32"/>
          <w:szCs w:val="32"/>
        </w:rPr>
        <w:t>部门整体支出绩效情况</w:t>
      </w:r>
    </w:p>
    <w:p w14:paraId="78002545">
      <w:pPr>
        <w:widowControl/>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站位衡阳发展全局，胸怀“国之大者”，牢记“文旅兴城”战略，坚持对党和国家负责、对人民负责、对历史负责的理念，高质量推进志鉴编纂，记录衡阳发展历程，传承弘扬优秀湖湘文化。</w:t>
      </w:r>
    </w:p>
    <w:p w14:paraId="1FA44BA9">
      <w:pPr>
        <w:widowControl/>
        <w:numPr>
          <w:ilvl w:val="0"/>
          <w:numId w:val="3"/>
        </w:num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聚焦主责主业，着力推进志书编纂</w:t>
      </w:r>
      <w:r>
        <w:rPr>
          <w:rFonts w:hint="default" w:ascii="仿宋" w:hAnsi="仿宋" w:eastAsia="仿宋"/>
          <w:sz w:val="32"/>
          <w:szCs w:val="32"/>
          <w:lang w:val="en" w:eastAsia="zh-CN"/>
        </w:rPr>
        <w:t>。</w:t>
      </w:r>
      <w:r>
        <w:rPr>
          <w:rFonts w:hint="eastAsia" w:ascii="仿宋" w:hAnsi="仿宋" w:eastAsia="仿宋"/>
          <w:sz w:val="32"/>
          <w:szCs w:val="32"/>
          <w:lang w:val="en-US" w:eastAsia="zh-CN"/>
        </w:rPr>
        <w:t>督促未完成“二轮志书”编修的县（区）加快编纂进度，室主要领导多次带队赴县（区）进行调研，解决遇到的实际难题，并指派业务骨干进行一对一指导。完成《衡南县志（1990—2017）》终审稿修改，于12月送省志院进行最终验收；完成《衡东县志（1990</w:t>
      </w:r>
      <w:r>
        <w:rPr>
          <w:rFonts w:hint="default" w:ascii="仿宋" w:hAnsi="仿宋" w:eastAsia="仿宋"/>
          <w:sz w:val="32"/>
          <w:szCs w:val="32"/>
          <w:lang w:val="en" w:eastAsia="zh-CN"/>
        </w:rPr>
        <w:t>—</w:t>
      </w:r>
      <w:r>
        <w:rPr>
          <w:rFonts w:hint="eastAsia" w:ascii="仿宋" w:hAnsi="仿宋" w:eastAsia="仿宋"/>
          <w:sz w:val="32"/>
          <w:szCs w:val="32"/>
          <w:lang w:val="en-US" w:eastAsia="zh-CN"/>
        </w:rPr>
        <w:t>2023）》评审稿编纂，于12月19日召开省级评审会；完成《石鼓区志（1996—2017）》终审验收，送方志出版社进行签审，于12月完成印刷出版；完成《珠晖区志（1996—2017）》评审稿编纂，于5月召开省级评审会，进入志稿修改阶段。推进古籍校注整理，耒阳市志室完成《道光耒阳县志》点校出版发行。推动镇村志编纂，耒阳市启动编纂《大河滩志》，蒸湘区启动编纂《临江村志》，常宁市指导编纂出版《古镇白沙》。石鼓区志室联合五一街道来雁塔社区翻印《大唐衡阳电厂厂志》。</w:t>
      </w:r>
    </w:p>
    <w:p w14:paraId="55852A33">
      <w:pPr>
        <w:widowControl/>
        <w:numPr>
          <w:ilvl w:val="0"/>
          <w:numId w:val="3"/>
        </w:numPr>
        <w:spacing w:line="560" w:lineRule="exact"/>
        <w:ind w:left="0" w:leftChars="0"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聚焦质量建设，推动综合年鉴精品化发展</w:t>
      </w:r>
      <w:r>
        <w:rPr>
          <w:rFonts w:hint="default" w:ascii="仿宋" w:hAnsi="仿宋" w:eastAsia="仿宋"/>
          <w:sz w:val="32"/>
          <w:szCs w:val="32"/>
          <w:lang w:val="en" w:eastAsia="zh-CN"/>
        </w:rPr>
        <w:t>。</w:t>
      </w:r>
      <w:r>
        <w:rPr>
          <w:rFonts w:hint="eastAsia" w:ascii="仿宋" w:hAnsi="仿宋" w:eastAsia="仿宋"/>
          <w:sz w:val="32"/>
          <w:szCs w:val="32"/>
          <w:lang w:val="en-US" w:eastAsia="zh-CN"/>
        </w:rPr>
        <w:t>加强对志鉴编纂工作的统筹协调和服务指导，坚持编纂进度与质量并重，定期对各县(市、区）年鉴编纂进度进行调研和督查。选调年鉴骨干力量到县(市、区）开展年鉴业务培训会，组织全市年鉴编修人员参加线上业务培训班，参训人员200余人。主动学习中国精品年鉴编纂经验，建立年鉴评审机制，组织全市方志专家对市本级和12个县(市、区）开展年鉴评审工作，以评促改，以评促优，推动全市综合年鉴编纂质量全面提高。组织县（市、区）参加“中国精品年鉴”工程建设，将精品意识贯穿年鉴编纂工作全过程，切实提升年鉴编纂工作水平。市本级编纂出版《衡阳年鉴（2024）》，该本年鉴是《衡阳年鉴》系列丛书第31卷，实事求是地记载2023年衡阳市政治、经济、文化和社会事业的新变化、新成就，着重反映各行各业年度大事、要事、新事、特事，体现年度特点和衡阳特色，是一部集权威性、史料性、实用性于一体的大型资料文献。县（市、区）12部综合年鉴均按要求完成“一年一鉴，公开出版”法定任务。</w:t>
      </w:r>
    </w:p>
    <w:p w14:paraId="60207D05">
      <w:pPr>
        <w:widowControl/>
        <w:numPr>
          <w:ilvl w:val="0"/>
          <w:numId w:val="0"/>
        </w:numPr>
        <w:spacing w:line="560" w:lineRule="exact"/>
        <w:ind w:firstLine="640" w:firstLineChars="200"/>
        <w:jc w:val="left"/>
        <w:rPr>
          <w:rFonts w:hint="eastAsia" w:ascii="仿宋" w:hAnsi="仿宋" w:eastAsia="仿宋"/>
          <w:sz w:val="32"/>
          <w:szCs w:val="32"/>
          <w:lang w:val="en-US" w:eastAsia="zh-CN"/>
        </w:rPr>
      </w:pPr>
      <w:r>
        <w:rPr>
          <w:rFonts w:hint="default" w:ascii="仿宋" w:hAnsi="仿宋" w:eastAsia="仿宋"/>
          <w:sz w:val="32"/>
          <w:szCs w:val="32"/>
          <w:lang w:val="en" w:eastAsia="zh-CN"/>
        </w:rPr>
        <w:t>（三）</w:t>
      </w:r>
      <w:r>
        <w:rPr>
          <w:rFonts w:hint="eastAsia" w:ascii="仿宋" w:hAnsi="仿宋" w:eastAsia="仿宋"/>
          <w:sz w:val="32"/>
          <w:szCs w:val="32"/>
          <w:lang w:val="en-US" w:eastAsia="zh-CN"/>
        </w:rPr>
        <w:t>聚焦特色志鉴，加强业务指导</w:t>
      </w:r>
      <w:r>
        <w:rPr>
          <w:rFonts w:hint="default" w:ascii="仿宋" w:hAnsi="仿宋" w:eastAsia="仿宋"/>
          <w:sz w:val="32"/>
          <w:szCs w:val="32"/>
          <w:lang w:val="en" w:eastAsia="zh-CN"/>
        </w:rPr>
        <w:t>。</w:t>
      </w:r>
      <w:r>
        <w:rPr>
          <w:rFonts w:hint="eastAsia" w:ascii="仿宋" w:hAnsi="仿宋" w:eastAsia="仿宋"/>
          <w:sz w:val="32"/>
          <w:szCs w:val="32"/>
          <w:lang w:val="en-US" w:eastAsia="zh-CN"/>
        </w:rPr>
        <w:t>编纂扶贫志是中央交办的重大政治任务，是一项让“彪炳史册”落在实处的浩大文化工程。《祁东县扶贫志》是湖南省56部扶贫志之一，也是我市唯一的一部扶贫志。为了推动《祁东县扶贫志》编纂进度，按照省志院要求，我室成立《祁东县扶贫志》指导工作专班，由肖泓副主任任组长，对志书编纂进行专业指导。此外，重点对《南岳衡山志》《松木经开区志》《衡阳财政年鉴（2024）》《衡东皮影戏》等启动、组稿、撰稿、审校等各环节进行一对一指导，有序推进我市特色志鉴编纂工作。</w:t>
      </w:r>
    </w:p>
    <w:p w14:paraId="107A5294">
      <w:pPr>
        <w:widowControl/>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（四）围绕中心大局，服务文旅融合发展</w:t>
      </w:r>
      <w:r>
        <w:rPr>
          <w:rFonts w:hint="default" w:ascii="仿宋" w:hAnsi="仿宋" w:eastAsia="仿宋"/>
          <w:sz w:val="32"/>
          <w:szCs w:val="32"/>
          <w:lang w:val="en" w:eastAsia="zh-CN"/>
        </w:rPr>
        <w:t>。</w:t>
      </w:r>
      <w:r>
        <w:rPr>
          <w:rFonts w:hint="eastAsia" w:ascii="仿宋" w:hAnsi="仿宋" w:eastAsia="仿宋"/>
          <w:sz w:val="32"/>
          <w:szCs w:val="32"/>
          <w:lang w:val="en-US" w:eastAsia="zh-CN"/>
        </w:rPr>
        <w:t>深入贯彻落实习近平文化思想，推动地方志文化创造性转化、创新性发展，在新时代展现地方志工作新作为。聚焦“创新”“融合”两道命题持续发力、主动作为，以衡阳市承办第三届湖南旅游发展大会为契机，聚焦服务中心大局，以志入书，创新打造方志文化产品，编纂出版《志说衡阳·一山一衡阳》。该书在旅发大会期间作为大会嘉宾配套用书，得到各级领导和与会嘉宾的好评，在传播衡阳历史文化知识的同时，提升史志工作影响力。</w:t>
      </w:r>
    </w:p>
    <w:p w14:paraId="7DF77F15">
      <w:pPr>
        <w:widowControl/>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（五）强化以文辅治，发挥方志文化服务功能</w:t>
      </w:r>
      <w:r>
        <w:rPr>
          <w:rFonts w:hint="default" w:ascii="仿宋" w:hAnsi="仿宋" w:eastAsia="仿宋"/>
          <w:sz w:val="32"/>
          <w:szCs w:val="32"/>
          <w:lang w:val="en" w:eastAsia="zh-CN"/>
        </w:rPr>
        <w:t>。</w:t>
      </w:r>
      <w:r>
        <w:rPr>
          <w:rFonts w:hint="eastAsia" w:ascii="仿宋" w:hAnsi="仿宋" w:eastAsia="仿宋"/>
          <w:sz w:val="32"/>
          <w:szCs w:val="32"/>
          <w:lang w:val="en-US" w:eastAsia="zh-CN"/>
        </w:rPr>
        <w:t>推进地情资料丛书编印，继续编纂《衡阳地方史资料》（总第十三辑）。《衡阳地方史资料》（总第十三辑）围绕衡阳文旅、衡阳文化名人、衡阳战事、衡阳史话等方面选材，力求全方位、多维度展现衡阳地区历史文化底蕴。该书版面字数20万字，印制500册，免费向社会各界赠阅。参与第三届湖南旅游发展大会集中观摩项目建湘工业街区文展馆筹建，对场馆文案资料进行审校。配合省志院做好“志说湖南—大型史志·文物联展”工作，向省志院捐赠</w:t>
      </w:r>
      <w:r>
        <w:rPr>
          <w:rFonts w:hint="eastAsia" w:ascii="仿宋" w:hAnsi="仿宋" w:eastAsia="仿宋"/>
          <w:sz w:val="32"/>
          <w:szCs w:val="32"/>
          <w:lang w:val="en" w:eastAsia="zh-CN"/>
        </w:rPr>
        <w:t>市本级及县（市、区）志书、年鉴等书籍</w:t>
      </w:r>
      <w:r>
        <w:rPr>
          <w:rFonts w:hint="eastAsia" w:ascii="仿宋" w:hAnsi="仿宋" w:eastAsia="仿宋"/>
          <w:sz w:val="32"/>
          <w:szCs w:val="32"/>
          <w:lang w:val="en-US" w:eastAsia="zh-CN"/>
        </w:rPr>
        <w:t>89套用于展陈，为宣传衡阳、推介衡阳作出积极贡献。</w:t>
      </w:r>
    </w:p>
    <w:p w14:paraId="7623CB17">
      <w:pPr>
        <w:widowControl/>
        <w:spacing w:line="560" w:lineRule="exact"/>
        <w:ind w:firstLine="640" w:firstLineChars="200"/>
        <w:jc w:val="left"/>
        <w:rPr>
          <w:rFonts w:ascii="Times New Roman" w:hAnsi="Times New Roman" w:eastAsia="黑体"/>
          <w:sz w:val="32"/>
          <w:szCs w:val="32"/>
        </w:rPr>
      </w:pPr>
      <w:r>
        <w:rPr>
          <w:rFonts w:hint="eastAsia" w:ascii="仿宋" w:hAnsi="仿宋" w:eastAsia="仿宋"/>
          <w:sz w:val="32"/>
          <w:szCs w:val="32"/>
          <w:lang w:val="en-US" w:eastAsia="zh-CN"/>
        </w:rPr>
        <w:t>（六）加强为民服务，立足本职全力为民办实事</w:t>
      </w:r>
      <w:r>
        <w:rPr>
          <w:rFonts w:hint="default" w:ascii="仿宋" w:hAnsi="仿宋" w:eastAsia="仿宋"/>
          <w:sz w:val="32"/>
          <w:szCs w:val="32"/>
          <w:lang w:val="en" w:eastAsia="zh-CN"/>
        </w:rPr>
        <w:t>。</w:t>
      </w:r>
      <w:r>
        <w:rPr>
          <w:rFonts w:hint="eastAsia" w:ascii="仿宋" w:hAnsi="仿宋" w:eastAsia="仿宋"/>
          <w:sz w:val="32"/>
          <w:szCs w:val="32"/>
          <w:lang w:val="en-US" w:eastAsia="zh-CN"/>
        </w:rPr>
        <w:t>扎实</w:t>
      </w:r>
      <w:r>
        <w:rPr>
          <w:rFonts w:hint="default" w:ascii="仿宋" w:hAnsi="仿宋" w:eastAsia="仿宋"/>
          <w:sz w:val="32"/>
          <w:szCs w:val="32"/>
          <w:lang w:val="en" w:eastAsia="zh-CN"/>
        </w:rPr>
        <w:t>开展</w:t>
      </w:r>
      <w:r>
        <w:rPr>
          <w:rFonts w:hint="eastAsia" w:ascii="仿宋" w:hAnsi="仿宋" w:eastAsia="仿宋"/>
          <w:sz w:val="32"/>
          <w:szCs w:val="32"/>
          <w:lang w:val="en-US" w:eastAsia="zh-CN"/>
        </w:rPr>
        <w:t>史志书籍</w:t>
      </w:r>
      <w:r>
        <w:rPr>
          <w:rFonts w:hint="default" w:ascii="仿宋" w:hAnsi="仿宋" w:eastAsia="仿宋"/>
          <w:sz w:val="32"/>
          <w:szCs w:val="32"/>
          <w:lang w:val="en" w:eastAsia="zh-CN"/>
        </w:rPr>
        <w:t>“六进”活动，赠送地方志书籍进机关、进院校、进企业、进军营、进社区、进乡村，增强地方志文化影响力。</w:t>
      </w:r>
      <w:r>
        <w:rPr>
          <w:rFonts w:hint="eastAsia" w:ascii="仿宋" w:hAnsi="仿宋" w:eastAsia="仿宋"/>
          <w:sz w:val="32"/>
          <w:szCs w:val="32"/>
          <w:lang w:val="en-US" w:eastAsia="zh-CN"/>
        </w:rPr>
        <w:t>向市直各机关单位、团体、各界人士赠送《衡阳年鉴(2023)》《衡阳地方史资料（</w:t>
      </w:r>
      <w:r>
        <w:rPr>
          <w:rFonts w:hint="default" w:ascii="仿宋" w:hAnsi="仿宋" w:eastAsia="仿宋"/>
          <w:sz w:val="32"/>
          <w:szCs w:val="32"/>
          <w:lang w:val="en" w:eastAsia="zh-CN"/>
        </w:rPr>
        <w:t>总第十二</w:t>
      </w:r>
      <w:r>
        <w:rPr>
          <w:rFonts w:hint="eastAsia" w:ascii="仿宋" w:hAnsi="仿宋" w:eastAsia="仿宋"/>
          <w:sz w:val="32"/>
          <w:szCs w:val="32"/>
          <w:lang w:val="en-US" w:eastAsia="zh-CN"/>
        </w:rPr>
        <w:t>辑）》《衡政30年》《鉴证30年》等自编书籍超过4500册。持续组织地方志文化服务活动，拓宽广大党员干部群众读志用志渠道，增进对衡阳历史文化的了解。热情做好文献资料室的查阅服务，全年共对外接待资料查询20余次，服务对象涵盖党政机关、企事业单位、高校等单位以及烈士家属、学生等社会人士，为第三届湖南旅发大会项目改造、云雾茶企业文化建设等提供重要历史依据。</w:t>
      </w:r>
    </w:p>
    <w:p w14:paraId="1E1F9F4A">
      <w:pPr>
        <w:spacing w:line="560" w:lineRule="exact"/>
        <w:ind w:firstLine="640" w:firstLineChars="200"/>
        <w:rPr>
          <w:rFonts w:ascii="仿宋" w:hAnsi="仿宋" w:eastAsia="仿宋"/>
          <w:bCs/>
          <w:sz w:val="32"/>
          <w:szCs w:val="32"/>
        </w:rPr>
      </w:pPr>
      <w:r>
        <w:rPr>
          <w:rFonts w:eastAsia="黑体"/>
          <w:sz w:val="32"/>
          <w:szCs w:val="32"/>
        </w:rPr>
        <w:t>七、存在的问题及原因分析</w:t>
      </w:r>
    </w:p>
    <w:p w14:paraId="266F26E4">
      <w:pPr>
        <w:spacing w:line="560" w:lineRule="exact"/>
        <w:ind w:firstLine="640" w:firstLineChars="200"/>
        <w:rPr>
          <w:rFonts w:ascii="仿宋" w:hAnsi="仿宋" w:eastAsia="仿宋" w:cs="仿宋"/>
          <w:sz w:val="32"/>
          <w:szCs w:val="32"/>
        </w:rPr>
      </w:pPr>
      <w:r>
        <w:rPr>
          <w:rStyle w:val="9"/>
          <w:rFonts w:hint="eastAsia" w:ascii="楷体" w:hAnsi="楷体" w:eastAsia="楷体" w:cs="楷体"/>
          <w:color w:val="333333"/>
          <w:sz w:val="32"/>
          <w:szCs w:val="32"/>
          <w:lang w:eastAsia="zh-CN"/>
        </w:rPr>
        <w:t>经费不足。</w:t>
      </w:r>
      <w:r>
        <w:rPr>
          <w:rFonts w:hint="eastAsia" w:ascii="仿宋" w:hAnsi="仿宋" w:eastAsia="仿宋" w:cs="仿宋"/>
          <w:sz w:val="32"/>
          <w:szCs w:val="32"/>
          <w:lang w:val="en-US" w:eastAsia="zh-CN"/>
        </w:rPr>
        <w:t>2024年度，《衡阳年鉴》项目经费预算20万元整，实际支付</w:t>
      </w:r>
      <w:r>
        <w:rPr>
          <w:rFonts w:hint="eastAsia" w:ascii="Times New Roman" w:hAnsi="Times New Roman" w:eastAsia="仿宋_GB2312"/>
          <w:spacing w:val="-4"/>
          <w:sz w:val="32"/>
          <w:szCs w:val="32"/>
          <w:lang w:val="en-US" w:eastAsia="zh-CN"/>
        </w:rPr>
        <w:t>《衡阳年鉴（2024）》</w:t>
      </w:r>
      <w:r>
        <w:rPr>
          <w:rFonts w:hint="eastAsia" w:ascii="仿宋" w:hAnsi="仿宋" w:eastAsia="仿宋" w:cs="仿宋"/>
          <w:sz w:val="32"/>
          <w:szCs w:val="32"/>
          <w:lang w:val="en-US" w:eastAsia="zh-CN"/>
        </w:rPr>
        <w:t>印刷费211268元、评审费19200元、稿费53438.4元，用在《衡阳年鉴》项目的总支出为283906.4元。因预算不足，故使用单位其他资金弥补经费空缺部分。</w:t>
      </w:r>
      <w:bookmarkStart w:id="0" w:name="_GoBack"/>
      <w:bookmarkEnd w:id="0"/>
    </w:p>
    <w:p w14:paraId="67DC05BE">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57E8EC19">
      <w:pPr>
        <w:widowControl/>
        <w:spacing w:line="560" w:lineRule="exact"/>
        <w:rPr>
          <w:rStyle w:val="9"/>
          <w:rFonts w:ascii="Times New Roman" w:hAnsi="Times New Roman" w:eastAsia="黑体"/>
          <w:b w:val="0"/>
          <w:sz w:val="32"/>
          <w:szCs w:val="32"/>
        </w:rPr>
      </w:pPr>
      <w:r>
        <w:rPr>
          <w:rFonts w:hint="eastAsia" w:ascii="Times New Roman" w:hAnsi="Times New Roman" w:eastAsia="黑体"/>
          <w:sz w:val="32"/>
          <w:szCs w:val="32"/>
        </w:rPr>
        <w:t xml:space="preserve">    </w:t>
      </w:r>
      <w:r>
        <w:rPr>
          <w:rStyle w:val="9"/>
          <w:rFonts w:hint="eastAsia" w:ascii="楷体" w:hAnsi="楷体" w:eastAsia="楷体" w:cs="楷体"/>
          <w:color w:val="333333"/>
          <w:sz w:val="32"/>
          <w:szCs w:val="32"/>
        </w:rPr>
        <w:t>完善预算绩效管理工作，提高绩效管理水平</w:t>
      </w:r>
    </w:p>
    <w:p w14:paraId="4066FE6B">
      <w:pPr>
        <w:pStyle w:val="6"/>
        <w:spacing w:beforeAutospacing="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一是加强预算编制工作。在科学测算的基础上结合上年实际制定预算，对确需调整预算的，要根据本年实际情况进行调整，控制预算结余。二是是严格执行预算。按照收支平衡的原则，合理安排各项资金，不得超预算安排支出。三是加速预算管理一体化建设，实现预算绩效管理与预算管理的“一体化”。</w:t>
      </w:r>
    </w:p>
    <w:p w14:paraId="2E7347EC">
      <w:pPr>
        <w:pStyle w:val="6"/>
        <w:spacing w:beforeAutospacing="0" w:afterAutospacing="0" w:line="560" w:lineRule="exact"/>
        <w:ind w:firstLine="640" w:firstLineChars="200"/>
        <w:rPr>
          <w:rFonts w:ascii="仿宋" w:hAnsi="仿宋" w:eastAsia="仿宋" w:cs="仿宋"/>
          <w:kern w:val="2"/>
          <w:sz w:val="32"/>
          <w:szCs w:val="32"/>
        </w:rPr>
      </w:pPr>
      <w:r>
        <w:rPr>
          <w:rFonts w:ascii="Times New Roman" w:hAnsi="Times New Roman" w:eastAsia="黑体"/>
          <w:sz w:val="32"/>
          <w:szCs w:val="32"/>
        </w:rPr>
        <w:t>九、其他需要说明的情况</w:t>
      </w:r>
    </w:p>
    <w:p w14:paraId="5225B6D5">
      <w:pPr>
        <w:widowControl/>
        <w:spacing w:line="560" w:lineRule="exact"/>
        <w:ind w:firstLine="640" w:firstLineChars="200"/>
        <w:rPr>
          <w:rFonts w:ascii="Times New Roman" w:hAnsi="Times New Roman" w:eastAsiaTheme="minorEastAsia"/>
          <w:sz w:val="32"/>
          <w:szCs w:val="32"/>
        </w:rPr>
      </w:pPr>
      <w:r>
        <w:rPr>
          <w:rFonts w:hint="eastAsia" w:ascii="Times New Roman" w:hAnsi="Times New Roman" w:eastAsiaTheme="minorEastAsia"/>
          <w:sz w:val="32"/>
          <w:szCs w:val="32"/>
        </w:rPr>
        <w:t>无。</w:t>
      </w:r>
    </w:p>
    <w:p w14:paraId="53B94EFA">
      <w:pPr>
        <w:widowControl/>
        <w:spacing w:line="560" w:lineRule="exact"/>
        <w:ind w:firstLine="640" w:firstLineChars="200"/>
        <w:rPr>
          <w:rFonts w:ascii="Times New Roman" w:hAnsi="Times New Roman" w:eastAsia="仿宋"/>
          <w:sz w:val="32"/>
          <w:szCs w:val="32"/>
        </w:rPr>
      </w:pPr>
    </w:p>
    <w:p w14:paraId="1C49EB4E">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3B0A55FA">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52CB67A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6CDE6BF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011D3650">
      <w:pPr>
        <w:widowControl/>
        <w:ind w:firstLine="640" w:firstLineChars="200"/>
        <w:rPr>
          <w:rFonts w:ascii="Times New Roman" w:hAnsi="Times New Roman" w:eastAsia="仿宋"/>
          <w:sz w:val="32"/>
          <w:szCs w:val="32"/>
        </w:rPr>
      </w:pPr>
    </w:p>
    <w:p w14:paraId="09672FEB">
      <w:pPr>
        <w:widowControl/>
        <w:ind w:firstLine="640" w:firstLineChars="200"/>
        <w:rPr>
          <w:rFonts w:ascii="Times New Roman" w:hAnsi="Times New Roman" w:eastAsia="仿宋"/>
          <w:sz w:val="32"/>
          <w:szCs w:val="32"/>
        </w:rPr>
      </w:pPr>
    </w:p>
    <w:p w14:paraId="0CE15548">
      <w:pPr>
        <w:ind w:right="640"/>
        <w:rPr>
          <w:rFonts w:ascii="黑体" w:hAnsi="黑体" w:eastAsia="黑体" w:cs="黑体"/>
          <w:kern w:val="0"/>
          <w:sz w:val="32"/>
          <w:szCs w:val="32"/>
        </w:rPr>
      </w:pPr>
    </w:p>
    <w:p w14:paraId="1268DD3E">
      <w:pPr>
        <w:ind w:right="640"/>
        <w:rPr>
          <w:rFonts w:ascii="黑体" w:hAnsi="黑体" w:eastAsia="黑体" w:cs="黑体"/>
          <w:kern w:val="0"/>
          <w:sz w:val="32"/>
          <w:szCs w:val="32"/>
        </w:rPr>
      </w:pPr>
    </w:p>
    <w:p w14:paraId="336E3670">
      <w:pPr>
        <w:ind w:right="640"/>
        <w:rPr>
          <w:rFonts w:ascii="黑体" w:hAnsi="黑体" w:eastAsia="黑体" w:cs="黑体"/>
          <w:kern w:val="0"/>
          <w:sz w:val="32"/>
          <w:szCs w:val="32"/>
        </w:rPr>
      </w:pPr>
    </w:p>
    <w:p w14:paraId="36C7890B">
      <w:pPr>
        <w:ind w:right="640"/>
        <w:rPr>
          <w:rFonts w:ascii="黑体" w:hAnsi="黑体" w:eastAsia="黑体" w:cs="黑体"/>
          <w:kern w:val="0"/>
          <w:sz w:val="32"/>
          <w:szCs w:val="32"/>
        </w:rPr>
      </w:pPr>
    </w:p>
    <w:p w14:paraId="27E19EB1">
      <w:pPr>
        <w:ind w:right="640"/>
        <w:rPr>
          <w:rFonts w:ascii="黑体" w:hAnsi="黑体" w:eastAsia="黑体" w:cs="黑体"/>
          <w:kern w:val="0"/>
          <w:sz w:val="32"/>
          <w:szCs w:val="32"/>
        </w:rPr>
      </w:pPr>
    </w:p>
    <w:p w14:paraId="1F03851B">
      <w:pPr>
        <w:ind w:right="640"/>
        <w:rPr>
          <w:rFonts w:ascii="黑体" w:hAnsi="黑体" w:eastAsia="黑体" w:cs="黑体"/>
          <w:kern w:val="0"/>
          <w:sz w:val="32"/>
          <w:szCs w:val="32"/>
        </w:rPr>
      </w:pPr>
    </w:p>
    <w:p w14:paraId="328EAA65">
      <w:pPr>
        <w:ind w:right="640"/>
        <w:rPr>
          <w:rFonts w:ascii="黑体" w:hAnsi="黑体" w:eastAsia="黑体" w:cs="黑体"/>
          <w:kern w:val="0"/>
          <w:sz w:val="32"/>
          <w:szCs w:val="32"/>
        </w:rPr>
      </w:pPr>
    </w:p>
    <w:p w14:paraId="264C74E3">
      <w:pPr>
        <w:ind w:right="640"/>
        <w:rPr>
          <w:rFonts w:hint="eastAsia" w:ascii="黑体" w:hAnsi="黑体" w:eastAsia="黑体" w:cs="黑体"/>
          <w:kern w:val="0"/>
          <w:sz w:val="32"/>
          <w:szCs w:val="32"/>
        </w:rPr>
      </w:pPr>
    </w:p>
    <w:p w14:paraId="7954F8B3">
      <w:pPr>
        <w:adjustRightInd w:val="0"/>
        <w:snapToGrid w:val="0"/>
        <w:spacing w:line="600" w:lineRule="exac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start="0"/>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0F5086-F6A3-420C-A447-C7002632A9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embedRegular r:id="rId2" w:fontKey="{060C86F9-D5DE-4F75-A257-41483CE08686}"/>
  </w:font>
  <w:font w:name="方正小标宋_GBK">
    <w:panose1 w:val="02000000000000000000"/>
    <w:charset w:val="86"/>
    <w:family w:val="script"/>
    <w:pitch w:val="default"/>
    <w:sig w:usb0="A00002BF" w:usb1="38CF7CFA" w:usb2="00082016" w:usb3="00000000" w:csb0="00040001" w:csb1="00000000"/>
    <w:embedRegular r:id="rId3" w:fontKey="{2FD3B529-F1AD-4AEE-941B-898738763293}"/>
  </w:font>
  <w:font w:name="仿宋">
    <w:panose1 w:val="02010609060101010101"/>
    <w:charset w:val="86"/>
    <w:family w:val="modern"/>
    <w:pitch w:val="default"/>
    <w:sig w:usb0="800002BF" w:usb1="38CF7CFA" w:usb2="00000016" w:usb3="00000000" w:csb0="00040001" w:csb1="00000000"/>
    <w:embedRegular r:id="rId4" w:fontKey="{6341DB88-640E-41A5-88E6-DD5D7408CD9C}"/>
  </w:font>
  <w:font w:name="楷体">
    <w:panose1 w:val="02010609060101010101"/>
    <w:charset w:val="86"/>
    <w:family w:val="modern"/>
    <w:pitch w:val="default"/>
    <w:sig w:usb0="800002BF" w:usb1="38CF7CFA" w:usb2="00000016" w:usb3="00000000" w:csb0="00040001" w:csb1="00000000"/>
    <w:embedRegular r:id="rId5" w:fontKey="{4507C746-C9A9-4675-A2AC-ACDF5BFC28BD}"/>
  </w:font>
  <w:font w:name="仿宋_GB2312">
    <w:panose1 w:val="02010609030101010101"/>
    <w:charset w:val="86"/>
    <w:family w:val="modern"/>
    <w:pitch w:val="default"/>
    <w:sig w:usb0="00000001" w:usb1="080E0000" w:usb2="00000000" w:usb3="00000000" w:csb0="00040000" w:csb1="00000000"/>
    <w:embedRegular r:id="rId6" w:fontKey="{EC8601F6-76E5-483B-B960-DDE9A4EBE4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52EB">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- 2 -</w:t>
    </w:r>
    <w:r>
      <w:rPr>
        <w:rStyle w:val="10"/>
        <w:rFonts w:ascii="Times New Roman" w:hAnsi="Times New Roman"/>
        <w:sz w:val="28"/>
        <w:szCs w:val="28"/>
      </w:rPr>
      <w:fldChar w:fldCharType="end"/>
    </w:r>
  </w:p>
  <w:p w14:paraId="6B225B67">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BDF9">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9BF0C62">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8F42C"/>
    <w:multiLevelType w:val="singleLevel"/>
    <w:tmpl w:val="A968F42C"/>
    <w:lvl w:ilvl="0" w:tentative="0">
      <w:start w:val="1"/>
      <w:numFmt w:val="chineseCounting"/>
      <w:suff w:val="nothing"/>
      <w:lvlText w:val="（%1）"/>
      <w:lvlJc w:val="left"/>
      <w:rPr>
        <w:rFonts w:hint="eastAsia"/>
      </w:rPr>
    </w:lvl>
  </w:abstractNum>
  <w:abstractNum w:abstractNumId="1">
    <w:nsid w:val="3C9F5E56"/>
    <w:multiLevelType w:val="multilevel"/>
    <w:tmpl w:val="3C9F5E56"/>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35296"/>
    <w:multiLevelType w:val="multilevel"/>
    <w:tmpl w:val="60D3529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mQyZmI3M2M2MjFmNWMwM2Y0ZGVkMzk3OTBjNGMifQ=="/>
  </w:docVars>
  <w:rsids>
    <w:rsidRoot w:val="00C553EF"/>
    <w:rsid w:val="00012C93"/>
    <w:rsid w:val="00064F60"/>
    <w:rsid w:val="000734E3"/>
    <w:rsid w:val="00075FCD"/>
    <w:rsid w:val="000761CA"/>
    <w:rsid w:val="000773D5"/>
    <w:rsid w:val="00080625"/>
    <w:rsid w:val="00093B9D"/>
    <w:rsid w:val="00094646"/>
    <w:rsid w:val="000A561A"/>
    <w:rsid w:val="000D5E7F"/>
    <w:rsid w:val="000D7E6F"/>
    <w:rsid w:val="000E2B59"/>
    <w:rsid w:val="000E2BBB"/>
    <w:rsid w:val="000F775C"/>
    <w:rsid w:val="00135131"/>
    <w:rsid w:val="00135395"/>
    <w:rsid w:val="001621FB"/>
    <w:rsid w:val="00184AF2"/>
    <w:rsid w:val="001A7CAB"/>
    <w:rsid w:val="001B56F4"/>
    <w:rsid w:val="001B69B6"/>
    <w:rsid w:val="001B6D56"/>
    <w:rsid w:val="00220A85"/>
    <w:rsid w:val="002238BB"/>
    <w:rsid w:val="00225BED"/>
    <w:rsid w:val="002320EB"/>
    <w:rsid w:val="002475F9"/>
    <w:rsid w:val="00261679"/>
    <w:rsid w:val="00295BF1"/>
    <w:rsid w:val="002A03D6"/>
    <w:rsid w:val="002C766B"/>
    <w:rsid w:val="002D01D7"/>
    <w:rsid w:val="002F05A3"/>
    <w:rsid w:val="003056F3"/>
    <w:rsid w:val="003126FC"/>
    <w:rsid w:val="00323CF3"/>
    <w:rsid w:val="0032533F"/>
    <w:rsid w:val="003A1408"/>
    <w:rsid w:val="003B0548"/>
    <w:rsid w:val="003B7F5C"/>
    <w:rsid w:val="003C6FB2"/>
    <w:rsid w:val="003D1F94"/>
    <w:rsid w:val="003E1FD6"/>
    <w:rsid w:val="003E5841"/>
    <w:rsid w:val="003F1540"/>
    <w:rsid w:val="00413DDB"/>
    <w:rsid w:val="004148E0"/>
    <w:rsid w:val="004217FE"/>
    <w:rsid w:val="00426804"/>
    <w:rsid w:val="00434F12"/>
    <w:rsid w:val="00440BFE"/>
    <w:rsid w:val="0044256E"/>
    <w:rsid w:val="00452A33"/>
    <w:rsid w:val="00463FD5"/>
    <w:rsid w:val="00474AD0"/>
    <w:rsid w:val="00487AC5"/>
    <w:rsid w:val="00495B44"/>
    <w:rsid w:val="00495EEC"/>
    <w:rsid w:val="00496F05"/>
    <w:rsid w:val="004E6D28"/>
    <w:rsid w:val="00515963"/>
    <w:rsid w:val="005236D1"/>
    <w:rsid w:val="00537950"/>
    <w:rsid w:val="005402B7"/>
    <w:rsid w:val="00542883"/>
    <w:rsid w:val="00551D43"/>
    <w:rsid w:val="00566BA9"/>
    <w:rsid w:val="005741A7"/>
    <w:rsid w:val="00581EEE"/>
    <w:rsid w:val="005851E9"/>
    <w:rsid w:val="0058598C"/>
    <w:rsid w:val="00591495"/>
    <w:rsid w:val="00594AEE"/>
    <w:rsid w:val="005C1645"/>
    <w:rsid w:val="00600C2D"/>
    <w:rsid w:val="00612DA6"/>
    <w:rsid w:val="006264B7"/>
    <w:rsid w:val="00666439"/>
    <w:rsid w:val="006964D9"/>
    <w:rsid w:val="006C36EA"/>
    <w:rsid w:val="006F37DA"/>
    <w:rsid w:val="00711230"/>
    <w:rsid w:val="007123D7"/>
    <w:rsid w:val="00713B58"/>
    <w:rsid w:val="00751BF0"/>
    <w:rsid w:val="00764972"/>
    <w:rsid w:val="00771B0E"/>
    <w:rsid w:val="007A6F2C"/>
    <w:rsid w:val="007B3731"/>
    <w:rsid w:val="007C31D3"/>
    <w:rsid w:val="007C3C5A"/>
    <w:rsid w:val="007E229D"/>
    <w:rsid w:val="007E2D1B"/>
    <w:rsid w:val="007E3E71"/>
    <w:rsid w:val="007E5AE3"/>
    <w:rsid w:val="00806AB9"/>
    <w:rsid w:val="008241E1"/>
    <w:rsid w:val="00843BA0"/>
    <w:rsid w:val="00847A3C"/>
    <w:rsid w:val="0086779A"/>
    <w:rsid w:val="008742E3"/>
    <w:rsid w:val="00891203"/>
    <w:rsid w:val="00893AEC"/>
    <w:rsid w:val="008B59F0"/>
    <w:rsid w:val="008F5A03"/>
    <w:rsid w:val="00940D4A"/>
    <w:rsid w:val="00971DB4"/>
    <w:rsid w:val="0097394E"/>
    <w:rsid w:val="009D0C0A"/>
    <w:rsid w:val="00A0127D"/>
    <w:rsid w:val="00A148B9"/>
    <w:rsid w:val="00A2187E"/>
    <w:rsid w:val="00A26990"/>
    <w:rsid w:val="00A26F99"/>
    <w:rsid w:val="00A30BE0"/>
    <w:rsid w:val="00A3605E"/>
    <w:rsid w:val="00A377C0"/>
    <w:rsid w:val="00A55C61"/>
    <w:rsid w:val="00A57A5B"/>
    <w:rsid w:val="00A801F4"/>
    <w:rsid w:val="00A87F2A"/>
    <w:rsid w:val="00AA49A9"/>
    <w:rsid w:val="00AC12C1"/>
    <w:rsid w:val="00AC5F31"/>
    <w:rsid w:val="00AF15ED"/>
    <w:rsid w:val="00B01B0B"/>
    <w:rsid w:val="00B049DD"/>
    <w:rsid w:val="00B17D23"/>
    <w:rsid w:val="00B35F70"/>
    <w:rsid w:val="00B467CB"/>
    <w:rsid w:val="00B62F82"/>
    <w:rsid w:val="00B64EEB"/>
    <w:rsid w:val="00B702EE"/>
    <w:rsid w:val="00B80F97"/>
    <w:rsid w:val="00B86511"/>
    <w:rsid w:val="00B86BA1"/>
    <w:rsid w:val="00B9399A"/>
    <w:rsid w:val="00BB0A87"/>
    <w:rsid w:val="00BB2CE7"/>
    <w:rsid w:val="00BD4955"/>
    <w:rsid w:val="00C000B7"/>
    <w:rsid w:val="00C23636"/>
    <w:rsid w:val="00C553EF"/>
    <w:rsid w:val="00C641BD"/>
    <w:rsid w:val="00C91F4C"/>
    <w:rsid w:val="00C9428C"/>
    <w:rsid w:val="00CC00CD"/>
    <w:rsid w:val="00CC6012"/>
    <w:rsid w:val="00CD1ADD"/>
    <w:rsid w:val="00CD7E4E"/>
    <w:rsid w:val="00CE4DFE"/>
    <w:rsid w:val="00CF0AA7"/>
    <w:rsid w:val="00D349CB"/>
    <w:rsid w:val="00D64926"/>
    <w:rsid w:val="00D74987"/>
    <w:rsid w:val="00D812AD"/>
    <w:rsid w:val="00D8620A"/>
    <w:rsid w:val="00D90B2D"/>
    <w:rsid w:val="00D96230"/>
    <w:rsid w:val="00DC6539"/>
    <w:rsid w:val="00DC7772"/>
    <w:rsid w:val="00DC7EE1"/>
    <w:rsid w:val="00DD4AA2"/>
    <w:rsid w:val="00DD5A15"/>
    <w:rsid w:val="00DE7D47"/>
    <w:rsid w:val="00E01819"/>
    <w:rsid w:val="00E039BF"/>
    <w:rsid w:val="00E26B90"/>
    <w:rsid w:val="00E323CD"/>
    <w:rsid w:val="00E45F6C"/>
    <w:rsid w:val="00E65D1C"/>
    <w:rsid w:val="00E8571A"/>
    <w:rsid w:val="00E94B12"/>
    <w:rsid w:val="00EA17D2"/>
    <w:rsid w:val="00ED7999"/>
    <w:rsid w:val="00EF0339"/>
    <w:rsid w:val="00F10791"/>
    <w:rsid w:val="00F118B4"/>
    <w:rsid w:val="00F137EB"/>
    <w:rsid w:val="00F2080B"/>
    <w:rsid w:val="00F2369D"/>
    <w:rsid w:val="00F34E6A"/>
    <w:rsid w:val="00F53D76"/>
    <w:rsid w:val="00F55DE1"/>
    <w:rsid w:val="00FA2BB2"/>
    <w:rsid w:val="00FC450D"/>
    <w:rsid w:val="00FD081E"/>
    <w:rsid w:val="00FE100B"/>
    <w:rsid w:val="00FE4826"/>
    <w:rsid w:val="00FF2F38"/>
    <w:rsid w:val="028D58A7"/>
    <w:rsid w:val="03043E77"/>
    <w:rsid w:val="040F71B7"/>
    <w:rsid w:val="053A504A"/>
    <w:rsid w:val="090C5A49"/>
    <w:rsid w:val="091F5874"/>
    <w:rsid w:val="0B62482F"/>
    <w:rsid w:val="0BC55E7E"/>
    <w:rsid w:val="0F262ACD"/>
    <w:rsid w:val="0F782667"/>
    <w:rsid w:val="0F843E73"/>
    <w:rsid w:val="10DC2E51"/>
    <w:rsid w:val="137C2CFC"/>
    <w:rsid w:val="13EB7C09"/>
    <w:rsid w:val="15DA6FC6"/>
    <w:rsid w:val="15FC6940"/>
    <w:rsid w:val="176316B2"/>
    <w:rsid w:val="18934E7A"/>
    <w:rsid w:val="18CF5F8A"/>
    <w:rsid w:val="1CAA10FA"/>
    <w:rsid w:val="1D8E2515"/>
    <w:rsid w:val="217D46AD"/>
    <w:rsid w:val="22312A7E"/>
    <w:rsid w:val="22C25FA1"/>
    <w:rsid w:val="22F8376A"/>
    <w:rsid w:val="2A88139D"/>
    <w:rsid w:val="2C42462B"/>
    <w:rsid w:val="2CA61530"/>
    <w:rsid w:val="2D1E76B7"/>
    <w:rsid w:val="2E660FDE"/>
    <w:rsid w:val="2EEE4056"/>
    <w:rsid w:val="30776177"/>
    <w:rsid w:val="30B64BA1"/>
    <w:rsid w:val="32ED0A96"/>
    <w:rsid w:val="344446F8"/>
    <w:rsid w:val="35E3441C"/>
    <w:rsid w:val="361C4D83"/>
    <w:rsid w:val="37DB7C77"/>
    <w:rsid w:val="398B5761"/>
    <w:rsid w:val="39A72697"/>
    <w:rsid w:val="3CC241C4"/>
    <w:rsid w:val="3D276C13"/>
    <w:rsid w:val="3F292B30"/>
    <w:rsid w:val="3F52287D"/>
    <w:rsid w:val="3F663756"/>
    <w:rsid w:val="400B6CF3"/>
    <w:rsid w:val="4130777A"/>
    <w:rsid w:val="416B7C26"/>
    <w:rsid w:val="418331C2"/>
    <w:rsid w:val="41C61B6B"/>
    <w:rsid w:val="430957E5"/>
    <w:rsid w:val="448042F4"/>
    <w:rsid w:val="44A75419"/>
    <w:rsid w:val="45174C20"/>
    <w:rsid w:val="453E3A68"/>
    <w:rsid w:val="462B74D9"/>
    <w:rsid w:val="46DC2693"/>
    <w:rsid w:val="47395DE1"/>
    <w:rsid w:val="47661E40"/>
    <w:rsid w:val="47A732C1"/>
    <w:rsid w:val="483967EE"/>
    <w:rsid w:val="4A5D090E"/>
    <w:rsid w:val="4A9B34AA"/>
    <w:rsid w:val="4B16591A"/>
    <w:rsid w:val="51BF6653"/>
    <w:rsid w:val="541D4002"/>
    <w:rsid w:val="54C65EFC"/>
    <w:rsid w:val="576C706B"/>
    <w:rsid w:val="59F105E2"/>
    <w:rsid w:val="5A5B1684"/>
    <w:rsid w:val="5A7B1DF9"/>
    <w:rsid w:val="5C2F64BB"/>
    <w:rsid w:val="5DD839BC"/>
    <w:rsid w:val="5E231D6D"/>
    <w:rsid w:val="607921FE"/>
    <w:rsid w:val="609A4BD3"/>
    <w:rsid w:val="60D2627A"/>
    <w:rsid w:val="61A86601"/>
    <w:rsid w:val="62F62474"/>
    <w:rsid w:val="640815D9"/>
    <w:rsid w:val="65524343"/>
    <w:rsid w:val="66B91727"/>
    <w:rsid w:val="678F07BF"/>
    <w:rsid w:val="68113368"/>
    <w:rsid w:val="6AB672EA"/>
    <w:rsid w:val="6AF80B9B"/>
    <w:rsid w:val="6BAD2A66"/>
    <w:rsid w:val="6CDE3E9F"/>
    <w:rsid w:val="6CE75133"/>
    <w:rsid w:val="6ED63729"/>
    <w:rsid w:val="6F0C6A0E"/>
    <w:rsid w:val="6FC30AAA"/>
    <w:rsid w:val="708C0987"/>
    <w:rsid w:val="71125845"/>
    <w:rsid w:val="71316BE8"/>
    <w:rsid w:val="742070FF"/>
    <w:rsid w:val="745C5692"/>
    <w:rsid w:val="761A4A77"/>
    <w:rsid w:val="764F0043"/>
    <w:rsid w:val="76A23C31"/>
    <w:rsid w:val="76F10AEA"/>
    <w:rsid w:val="773A3B3B"/>
    <w:rsid w:val="77A24B7F"/>
    <w:rsid w:val="781B5927"/>
    <w:rsid w:val="787A18F4"/>
    <w:rsid w:val="7A543372"/>
    <w:rsid w:val="7AAA11E4"/>
    <w:rsid w:val="7BCB1412"/>
    <w:rsid w:val="7D077934"/>
    <w:rsid w:val="7D163F0A"/>
    <w:rsid w:val="7ED07DA1"/>
    <w:rsid w:val="7F1764C1"/>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alloon Text"/>
    <w:basedOn w:val="1"/>
    <w:link w:val="13"/>
    <w:qFormat/>
    <w:uiPriority w:val="99"/>
    <w:rPr>
      <w:rFonts w:ascii="Times New Roman" w:hAnsi="Times New Roman"/>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0"/>
    <w:rPr>
      <w:b/>
    </w:rPr>
  </w:style>
  <w:style w:type="character" w:styleId="10">
    <w:name w:val="page number"/>
    <w:basedOn w:val="8"/>
    <w:qFormat/>
    <w:uiPriority w:val="99"/>
    <w:rPr>
      <w:rFonts w:cs="Times New Roman"/>
    </w:rPr>
  </w:style>
  <w:style w:type="character" w:styleId="11">
    <w:name w:val="annotation reference"/>
    <w:basedOn w:val="8"/>
    <w:qFormat/>
    <w:uiPriority w:val="99"/>
    <w:rPr>
      <w:rFonts w:cs="Times New Roman"/>
      <w:sz w:val="21"/>
      <w:szCs w:val="21"/>
    </w:rPr>
  </w:style>
  <w:style w:type="character" w:customStyle="1" w:styleId="12">
    <w:name w:val="批注文字 Char"/>
    <w:basedOn w:val="8"/>
    <w:link w:val="2"/>
    <w:qFormat/>
    <w:locked/>
    <w:uiPriority w:val="99"/>
    <w:rPr>
      <w:rFonts w:ascii="Times New Roman" w:hAnsi="Times New Roman" w:eastAsia="宋体" w:cs="Times New Roman"/>
      <w:sz w:val="24"/>
      <w:szCs w:val="24"/>
    </w:rPr>
  </w:style>
  <w:style w:type="character" w:customStyle="1" w:styleId="13">
    <w:name w:val="批注框文本 Char"/>
    <w:basedOn w:val="8"/>
    <w:link w:val="3"/>
    <w:qFormat/>
    <w:locked/>
    <w:uiPriority w:val="99"/>
    <w:rPr>
      <w:rFonts w:ascii="Times New Roman" w:hAnsi="Times New Roman" w:eastAsia="宋体" w:cs="Times New Roman"/>
      <w:sz w:val="18"/>
      <w:szCs w:val="18"/>
    </w:rPr>
  </w:style>
  <w:style w:type="character" w:customStyle="1" w:styleId="14">
    <w:name w:val="页脚 Char"/>
    <w:basedOn w:val="8"/>
    <w:link w:val="4"/>
    <w:qFormat/>
    <w:locked/>
    <w:uiPriority w:val="99"/>
    <w:rPr>
      <w:rFonts w:cs="Times New Roman"/>
      <w:sz w:val="18"/>
      <w:szCs w:val="18"/>
    </w:rPr>
  </w:style>
  <w:style w:type="character" w:customStyle="1" w:styleId="15">
    <w:name w:val="页眉 Char"/>
    <w:basedOn w:val="8"/>
    <w:link w:val="5"/>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3581</Words>
  <Characters>3769</Characters>
  <Lines>72</Lines>
  <Paragraphs>20</Paragraphs>
  <TotalTime>140</TotalTime>
  <ScaleCrop>false</ScaleCrop>
  <LinksUpToDate>false</LinksUpToDate>
  <CharactersWithSpaces>3785</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2023-03-31T00:49:00Z</dcterms:created>
  <dc:creator>lenovo</dc:creator>
  <cp:lastModifiedBy>小红星</cp:lastModifiedBy>
  <cp:lastPrinted>2025-02-20T08:57:06Z</cp:lastPrinted>
  <dcterms:modified xsi:type="dcterms:W3CDTF">2025-02-20T09:06:29Z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88B46FBC8D944885A620F0BE87B0DCB9_13</vt:lpwstr>
  </property>
  <property fmtid="{D5CDD505-2E9C-101B-9397-08002B2CF9AE}" pid="4" name="KSOTemplateDocerSaveRecord">
    <vt:lpwstr>eyJoZGlkIjoiZDliYTk0N2FhODU3NGIxYmEwODU3YmQyZmRkMzdmYjAiLCJ1c2VySWQiOiIzOTg3OTUyMzIifQ==</vt:lpwstr>
  </property>
</Properties>
</file>