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040C">
      <w:bookmarkStart w:id="0" w:name="_GoBack"/>
      <w:bookmarkEnd w:id="0"/>
    </w:p>
    <w:p w14:paraId="2B09523F">
      <w:pPr>
        <w:ind w:firstLine="2880" w:firstLineChars="800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项目支出绩效自评表</w:t>
      </w:r>
    </w:p>
    <w:tbl>
      <w:tblPr>
        <w:tblStyle w:val="2"/>
        <w:tblpPr w:leftFromText="180" w:rightFromText="180" w:vertAnchor="text" w:horzAnchor="page" w:tblpX="1097" w:tblpY="830"/>
        <w:tblOverlap w:val="never"/>
        <w:tblW w:w="10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64"/>
        <w:gridCol w:w="1755"/>
        <w:gridCol w:w="1125"/>
        <w:gridCol w:w="1064"/>
        <w:gridCol w:w="964"/>
        <w:gridCol w:w="912"/>
        <w:gridCol w:w="825"/>
        <w:gridCol w:w="854"/>
      </w:tblGrid>
      <w:tr w14:paraId="216F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8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老工伤工作经费项目</w:t>
            </w:r>
          </w:p>
        </w:tc>
      </w:tr>
      <w:tr w14:paraId="6061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D0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衡阳市工伤保险服务中心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30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 单位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EC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衡阳市工伤保险服务中心</w:t>
            </w:r>
          </w:p>
        </w:tc>
      </w:tr>
      <w:tr w14:paraId="6DDC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B9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1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BA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5C8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3F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D5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EB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41E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DD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BA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39A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DBC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2A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57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6B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6C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0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62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071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A8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FD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E7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A4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8C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A2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1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74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72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45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70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DF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F0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D3E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24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0B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A2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F7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5C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57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84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707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EB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97.2%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58F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</w:t>
            </w:r>
          </w:p>
        </w:tc>
      </w:tr>
      <w:tr w14:paraId="6969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FF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52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　</w:t>
            </w:r>
          </w:p>
        </w:tc>
      </w:tr>
      <w:tr w14:paraId="472B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B5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40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老工伤人员医疗待遇及时足额发放，全面提升老工伤的生活质量、促进工伤康复，进一步做好老工伤政策宣讲、解释工作，加强对老工伤协议医院的监管，推动医疗资源合理配置和高效利用，为老工伤人员提供更加全面、优质、高效的服务。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B4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老工伤人员医疗待遇及时足额发放，全面提升老工伤的生活质量、促进工伤康复，进一步做好老工伤政策宣讲、解释工作，加强对老工伤协议医院的监管，推动医疗资源合理配置和高效利用，为老工伤人员提供更加全面、优质、高效的服务。</w:t>
            </w:r>
          </w:p>
        </w:tc>
      </w:tr>
      <w:tr w14:paraId="020D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EB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5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09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63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4A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C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45C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79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CD8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9D3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86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51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A4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老工伤待遇发放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C88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5CF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733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00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57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2B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E5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D1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C4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F8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老工伤进京上访次数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1D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B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2C5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95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39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3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0B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7A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E2A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8A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老工伤统筹管理人员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072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45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894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50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62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B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EF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9C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54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FFD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老工伤政策咨询反馈率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846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0D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FE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CB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6E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D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8E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2E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87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5D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B04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52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87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402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A6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C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F0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73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效益指标（40分）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90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01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老工伤人员就医率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7F3E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9C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AC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B0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C2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45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67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61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F5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F0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有效保障老工伤职工权益，维护社会稳定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B8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2F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42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8A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D1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D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98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4F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3A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7B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有效改善老工伤职工就医环境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94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A4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21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D7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B4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FB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E1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4E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1B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55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老工伤人员健康状况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24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4C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4F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00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AF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5F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598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3D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成本指标（20分）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60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E5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经费成本控制情况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D4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合理控制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DE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合理控制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2B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FB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7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7A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4C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42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2DD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A6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不断提高对工伤预防的宣传力度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D0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D1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A3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59E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FD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E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8A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E1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23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2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医疗物资成本控制情况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8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合理控制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32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合理控制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88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97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D8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70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5C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BB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BE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B5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老工伤人员满意度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B3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D5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ECA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D4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8A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5B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58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022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516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78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08B4639"/>
    <w:p w14:paraId="43FA93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4682EF-8EE4-4CE7-9351-C5CEDB8716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C6F1AE-3440-4C8B-BE21-010E9EE2B8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7E25479-4B94-4BB2-9830-D08CAAFFF0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30C1F"/>
    <w:rsid w:val="3A606CE7"/>
    <w:rsid w:val="3B7E4218"/>
    <w:rsid w:val="524F3501"/>
    <w:rsid w:val="52524C16"/>
    <w:rsid w:val="64A17840"/>
    <w:rsid w:val="6CC84308"/>
    <w:rsid w:val="734A2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795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2025-02-18T01:50:17Z</dcterms:created>
  <dc:creator>Administrator</dc:creator>
  <cp:lastModifiedBy>逸</cp:lastModifiedBy>
  <cp:lastPrinted>2025-09-28T02:28:32Z</cp:lastPrinted>
  <dcterms:modified xsi:type="dcterms:W3CDTF">2025-09-29T01:51:15Z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eyJoZGlkIjoiYjNjNDU2YWU4Y2I4NDFiNDM3ZjBkMzBiMjg4ZmYwMDQiLCJ1c2VySWQiOiIxNDY5NjQ3NTgyIn0=</vt:lpwstr>
  </property>
  <property fmtid="{D5CDD505-2E9C-101B-9397-08002B2CF9AE}" pid="4" name="ICV">
    <vt:lpwstr>4C3E7FEDBD5441AC8DBB6F1895CEEC5E_13</vt:lpwstr>
  </property>
</Properties>
</file>