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sz w:val="44"/>
          <w:szCs w:val="44"/>
        </w:rPr>
        <w:t>部门整体支出绩效自评报告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rPr>
      </w:pPr>
    </w:p>
    <w:p>
      <w:pPr>
        <w:pStyle w:val="5"/>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rPr>
      </w:pPr>
      <w:r>
        <w:rPr>
          <w:rFonts w:hint="default" w:ascii="Times New Roman" w:hAnsi="Times New Roman" w:eastAsia="楷体" w:cs="Times New Roman"/>
          <w:b/>
          <w:bCs/>
          <w:color w:val="000000"/>
          <w:kern w:val="0"/>
          <w:sz w:val="32"/>
          <w:szCs w:val="32"/>
          <w:lang w:val="en-US" w:eastAsia="zh-CN" w:bidi="ar"/>
        </w:rPr>
        <w:t>（一）职能职责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1.</w:t>
      </w:r>
      <w:r>
        <w:rPr>
          <w:rFonts w:hint="default" w:ascii="Times New Roman" w:hAnsi="Times New Roman" w:eastAsia="仿宋_GB2312" w:cs="Times New Roman"/>
          <w:color w:val="000000"/>
          <w:kern w:val="0"/>
          <w:sz w:val="32"/>
          <w:szCs w:val="32"/>
          <w:lang w:val="en-US" w:eastAsia="zh-CN" w:bidi="ar"/>
        </w:rPr>
        <w:t>根据市政府授权，依照《中华人民共和国公司法》 《中华人民共和国企业国有资产法》等法律和行政法规履行出资人职责，加强所监管企业国有资产的管理工作。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2.</w:t>
      </w:r>
      <w:r>
        <w:rPr>
          <w:rFonts w:hint="default" w:ascii="Times New Roman" w:hAnsi="Times New Roman" w:eastAsia="仿宋_GB2312" w:cs="Times New Roman"/>
          <w:color w:val="000000"/>
          <w:kern w:val="0"/>
          <w:sz w:val="32"/>
          <w:szCs w:val="32"/>
          <w:lang w:val="en-US" w:eastAsia="zh-CN" w:bidi="ar"/>
        </w:rPr>
        <w:t>承担监督所监管企业国有资产保值增值的职责。建立和完善国有资产保值增值指标体系，制定考核标准，通过统计、稽核，对所监管企业国有资产的保值增值情况进行监管，负责做好所监管企业工资分配管理工作，拟订所监管企业负责人收入分配政策并组织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3.</w:t>
      </w:r>
      <w:r>
        <w:rPr>
          <w:rFonts w:hint="default" w:ascii="Times New Roman" w:hAnsi="Times New Roman" w:eastAsia="仿宋_GB2312" w:cs="Times New Roman"/>
          <w:color w:val="000000"/>
          <w:kern w:val="0"/>
          <w:sz w:val="32"/>
          <w:szCs w:val="32"/>
          <w:lang w:val="en-US" w:eastAsia="zh-CN" w:bidi="ar"/>
        </w:rPr>
        <w:t>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监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4.</w:t>
      </w:r>
      <w:r>
        <w:rPr>
          <w:rFonts w:hint="default" w:ascii="Times New Roman" w:hAnsi="Times New Roman" w:eastAsia="仿宋_GB2312" w:cs="Times New Roman"/>
          <w:color w:val="000000"/>
          <w:kern w:val="0"/>
          <w:sz w:val="32"/>
          <w:szCs w:val="32"/>
          <w:lang w:val="en-US" w:eastAsia="zh-CN" w:bidi="ar"/>
        </w:rPr>
        <w:t>负责企业国有资产基础管理，拟订国有资产管理 的规范性文件，负责所监管企业国有资产处理管理，负责规范和发展国有企业产权交易市场，并进行监督管理，负责参控股企业国有股权的管理。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5.</w:t>
      </w:r>
      <w:r>
        <w:rPr>
          <w:rFonts w:hint="default" w:ascii="Times New Roman" w:hAnsi="Times New Roman" w:eastAsia="仿宋_GB2312" w:cs="Times New Roman"/>
          <w:color w:val="000000"/>
          <w:kern w:val="0"/>
          <w:sz w:val="32"/>
          <w:szCs w:val="32"/>
          <w:lang w:val="en-US" w:eastAsia="zh-CN" w:bidi="ar"/>
        </w:rPr>
        <w:t>指导推进国有企业改革和重组，推进国有企业的现代企业制度建设，完善公司治理结构，推动国有经济布局和结构的战略性调整，指导所监管企业引进战略投资者开展产权(股权)招商引资与资本合作，负责归口组织协调全市与中央企业、省属企业对接合作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6.</w:t>
      </w:r>
      <w:r>
        <w:rPr>
          <w:rFonts w:hint="default" w:ascii="Times New Roman" w:hAnsi="Times New Roman" w:eastAsia="仿宋_GB2312" w:cs="Times New Roman"/>
          <w:color w:val="000000"/>
          <w:kern w:val="0"/>
          <w:sz w:val="32"/>
          <w:szCs w:val="32"/>
          <w:lang w:val="en-US" w:eastAsia="zh-CN" w:bidi="ar"/>
        </w:rPr>
        <w:t>通过法定程序，对所监管企业的负责人进行任免、考核并根据其经营业绩进行奖惩，建立符合社会主义市场经济体制和现代企业制度要求的选人、用人机制，完善经营者激励和约束制度。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7.</w:t>
      </w:r>
      <w:r>
        <w:rPr>
          <w:rFonts w:hint="default" w:ascii="Times New Roman" w:hAnsi="Times New Roman" w:eastAsia="仿宋_GB2312" w:cs="Times New Roman"/>
          <w:color w:val="000000"/>
          <w:kern w:val="0"/>
          <w:sz w:val="32"/>
          <w:szCs w:val="32"/>
          <w:lang w:val="en-US" w:eastAsia="zh-CN" w:bidi="ar"/>
        </w:rPr>
        <w:t>指导、监督市属企业开展党建工作。协助指导、监督驻衡央企和省属国有企业开展党建工作。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8.</w:t>
      </w:r>
      <w:r>
        <w:rPr>
          <w:rFonts w:hint="default" w:ascii="Times New Roman" w:hAnsi="Times New Roman" w:eastAsia="仿宋_GB2312" w:cs="Times New Roman"/>
          <w:color w:val="000000"/>
          <w:kern w:val="0"/>
          <w:sz w:val="32"/>
          <w:szCs w:val="32"/>
          <w:lang w:val="en-US" w:eastAsia="zh-CN" w:bidi="ar"/>
        </w:rPr>
        <w:t>指导、监督全市国有企业法律顾问管理工作。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9.</w:t>
      </w:r>
      <w:r>
        <w:rPr>
          <w:rFonts w:hint="default" w:ascii="Times New Roman" w:hAnsi="Times New Roman" w:eastAsia="仿宋_GB2312" w:cs="Times New Roman"/>
          <w:color w:val="000000"/>
          <w:kern w:val="0"/>
          <w:sz w:val="32"/>
          <w:szCs w:val="32"/>
          <w:lang w:val="en-US" w:eastAsia="zh-CN" w:bidi="ar"/>
        </w:rPr>
        <w:t>按照出资人职责，负责督促检查所监管企业贯彻落实国家安全生产方针政策及有关法律法规、标准等工作。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 w:eastAsia="zh-CN" w:bidi="ar"/>
        </w:rPr>
        <w:t>10.</w:t>
      </w:r>
      <w:r>
        <w:rPr>
          <w:rFonts w:hint="default" w:ascii="Times New Roman" w:hAnsi="Times New Roman" w:eastAsia="仿宋_GB2312" w:cs="Times New Roman"/>
          <w:color w:val="000000"/>
          <w:kern w:val="0"/>
          <w:sz w:val="32"/>
          <w:szCs w:val="32"/>
          <w:lang w:val="en-US" w:eastAsia="zh-CN" w:bidi="ar"/>
        </w:rPr>
        <w:t>完成市委、市政府交办的其他任务。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color w:val="000000"/>
          <w:kern w:val="0"/>
          <w:sz w:val="32"/>
          <w:szCs w:val="32"/>
          <w:lang w:val="en-US" w:eastAsia="zh-CN" w:bidi="ar"/>
        </w:rPr>
      </w:pPr>
      <w:r>
        <w:rPr>
          <w:rFonts w:hint="default" w:ascii="Times New Roman" w:hAnsi="Times New Roman" w:eastAsia="楷体" w:cs="Times New Roman"/>
          <w:b/>
          <w:bCs/>
          <w:color w:val="000000"/>
          <w:kern w:val="0"/>
          <w:sz w:val="32"/>
          <w:szCs w:val="32"/>
          <w:lang w:val="en-US" w:eastAsia="zh-CN" w:bidi="ar"/>
        </w:rPr>
        <w:t>（二）机构设置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32"/>
          <w:szCs w:val="32"/>
          <w:lang w:val="en-US" w:eastAsia="zh-CN" w:bidi="ar"/>
        </w:rPr>
        <w:t>现有科室有办公室（党委办公室）、党建工作科（党委统战部）、综合法规科、资本收益与财务管理科、考核分配科、产权管理科（市国有企业产权交易监管中心）、企业改革与科技创新科、监督科（党委巡察工作办公室）、宣传与对外合作科、社会责任科、组织人事科（企业领导人员管理科）共计11个，编制人数38人，在职人员45人（含派驻纪检组7人），退休人员14人。</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（一）基本支出情况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一般公共预算批复数1125.96万元，按支出类型分类：其中基本支出886.53万元，项目支出239.43万元。全年预算数16929.82万元。2024年一般公共预算支出决算数16817.44万元，比上年增加15707.73万元。主要原因是：部分监管企业的资本金注入和接收的上级补助经费由财政通过委机关账户发放。其中：2024年度财政拨款基本支出943.74万元，其中：人员经费812.02万元，占基本支出的86.04%，主要包括：基本工资、津贴补贴、奖金、机关事业单位基本养老保险缴费、职业年金缴费、职工基本医疗保险缴费、公务员医疗补助缴费、其他社会保障缴费、住房公积金、其他工资福利支出、奖励金、其他对个人和家庭的补助等；公用经费131.72万元，占基本支出的13.96%，主要包括：办公费、印刷费、邮电费、维修（护）费、工会经费、公务用车运行维护费、其他交通费用、税金及附加费用等。本单位其他资金使用588.45万元，用于拨付煤矿XX。</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2024年，本单位年末结转和结余资金0元，与上年情况一致，剩余资金全部收回。</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（二）项目支出情况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项目支出15285.25万元，比上年增加15015.28万元，；</w:t>
      </w:r>
      <w:r>
        <w:rPr>
          <w:rFonts w:hint="default" w:ascii="Times New Roman" w:hAnsi="Times New Roman" w:eastAsia="仿宋" w:cs="Times New Roman"/>
          <w:sz w:val="32"/>
          <w:szCs w:val="32"/>
          <w:lang w:val="zh-CN" w:eastAsia="zh-CN"/>
        </w:rPr>
        <w:t>变化的主要原因：</w:t>
      </w:r>
      <w:r>
        <w:rPr>
          <w:rFonts w:hint="default" w:ascii="Times New Roman" w:hAnsi="Times New Roman" w:eastAsia="仿宋" w:cs="Times New Roman"/>
          <w:sz w:val="32"/>
          <w:szCs w:val="32"/>
          <w:lang w:val="en-US" w:eastAsia="zh-CN"/>
        </w:rPr>
        <w:t>部分监管企业的资本金注入和接收的上级补助经费由财政通过委机关账户发放。其中：纪检派驻机构专项经费支出12.57万元；国有资产监管支出46.42万元；维稳专项和监管企业审计专项项目支出63.86万元；国资国企在线监管平台维护支出28.12万元；弘晖公司补助资金支出40万元；国企改革工作经费（含：专家评审）支出5.99万元；困难职工走访慰问金支出10万元；衡阳智能计量衡器产业园补助经费支出1000万元；公交公司政策性补贴支出500万元；人才集团专项经费支出88万元；资本金注入支出13500万元。</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政府性基金预算支出情况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本单位无政府性基金收支。</w:t>
      </w:r>
    </w:p>
    <w:p>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本单位无国有资本经营收支。</w:t>
      </w:r>
    </w:p>
    <w:p>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 w:cs="Times New Roman"/>
          <w:kern w:val="2"/>
          <w:sz w:val="32"/>
          <w:szCs w:val="32"/>
          <w:lang w:val="en-US" w:eastAsia="zh-CN" w:bidi="ar-SA"/>
        </w:rPr>
        <w:t>本单位无社会保险基金收支。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sz w:val="32"/>
          <w:szCs w:val="32"/>
          <w:lang w:val="en-US" w:eastAsia="zh-CN"/>
        </w:rPr>
        <w:t>市国资委紧紧围绕“制造立市、文旅兴城”发展战略，持续推进国资国企改革走深走实，市属企业核心竞争力和核心功能进一步增强，呈现出布局结构新、公司治理新、经营机制新、发展方式新的“四新”发展格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委紧扣“国企出资、国资监管、国企党建”三项职能，不折不扣落实市委、市政府决策部署，巩固国企改革三年行动成果，推进国企改革深化提升行动，以平台公司市场化转型、债务风险防范化解等工作为重点，不断做强做优做大市属国有资本和国有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val="en" w:eastAsia="zh-CN"/>
        </w:rPr>
        <w:t>围绕强化党建引领</w:t>
      </w:r>
      <w:r>
        <w:rPr>
          <w:rFonts w:hint="default" w:ascii="Times New Roman" w:hAnsi="Times New Roman" w:eastAsia="楷体" w:cs="Times New Roman"/>
          <w:sz w:val="32"/>
          <w:szCs w:val="32"/>
          <w:lang w:val="en-US" w:eastAsia="zh-CN"/>
        </w:rPr>
        <w:t>,进一步开创国企党建工作新局面。</w:t>
      </w:r>
      <w:r>
        <w:rPr>
          <w:rFonts w:hint="default" w:ascii="Times New Roman" w:hAnsi="Times New Roman" w:eastAsia="仿宋_GB2312" w:cs="Times New Roman"/>
          <w:sz w:val="32"/>
          <w:szCs w:val="32"/>
          <w:lang w:val="en-US" w:eastAsia="zh-CN"/>
        </w:rPr>
        <w:t>坚持“两个一以贯之”不动摇，国有企业党组织“把方向、管大局、促落实”作用显著增强。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val="en" w:eastAsia="zh-CN"/>
        </w:rPr>
        <w:t>围绕优化资源配置，进一步加大整合重组力度</w:t>
      </w:r>
      <w:r>
        <w:rPr>
          <w:rFonts w:hint="default" w:ascii="Times New Roman" w:hAnsi="Times New Roman" w:eastAsia="楷体" w:cs="Times New Roman"/>
          <w:sz w:val="32"/>
          <w:szCs w:val="32"/>
          <w:lang w:val="en-US" w:eastAsia="zh-CN"/>
        </w:rPr>
        <w:t>。</w:t>
      </w:r>
      <w:r>
        <w:rPr>
          <w:rFonts w:hint="default" w:ascii="Times New Roman" w:hAnsi="Times New Roman" w:eastAsia="仿宋_GB2312" w:cs="Times New Roman"/>
          <w:sz w:val="32"/>
          <w:szCs w:val="32"/>
          <w:lang w:val="en-US" w:eastAsia="zh-CN"/>
        </w:rPr>
        <w:t>按照“主业相近、优势互补、经营协同、能力提升”的原则,实施战略化重组，推进市场化重塑。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（三）围绕提升治理水平，进一步健全公司治理机制。</w:t>
      </w:r>
      <w:r>
        <w:rPr>
          <w:rFonts w:hint="default" w:ascii="Times New Roman" w:hAnsi="Times New Roman" w:eastAsia="仿宋_GB2312" w:cs="Times New Roman"/>
          <w:sz w:val="32"/>
          <w:szCs w:val="32"/>
          <w:lang w:val="en-US" w:eastAsia="zh-CN"/>
        </w:rPr>
        <w:t>配齐建强董事会，开展“董事会建设年”行动，全面落实“外部董事占多数”改革要求。加强制度体系建设，形成合理有效的企业内部管理制度体系。规范监管企业运行，出台多项制度。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sz w:val="32"/>
          <w:szCs w:val="32"/>
          <w:lang w:val="en-US" w:eastAsia="zh-CN"/>
        </w:rPr>
        <w:t>（四）围绕防范化解风险，进一步巩固稳中有进的发展态势。</w:t>
      </w:r>
      <w:r>
        <w:rPr>
          <w:rFonts w:hint="default" w:ascii="Times New Roman" w:hAnsi="Times New Roman" w:eastAsia="仿宋_GB2312" w:cs="Times New Roman"/>
          <w:sz w:val="32"/>
          <w:szCs w:val="32"/>
          <w:lang w:val="en-US" w:eastAsia="zh-CN"/>
        </w:rPr>
        <w:t>按照“专业化、体系化、法治化”监管要求，构建以投资风险监管、违规经营责任追究、财务风险防控等为重点的国资监管体系。</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 w:cs="Times New Roman"/>
          <w:b w:val="0"/>
          <w:bCs w:val="0"/>
          <w:kern w:val="2"/>
          <w:sz w:val="32"/>
          <w:szCs w:val="32"/>
          <w:lang w:val="en-US" w:eastAsia="zh-CN" w:bidi="ar-SA"/>
        </w:rPr>
        <w:t>（一）转型观念滞后。</w:t>
      </w:r>
      <w:r>
        <w:rPr>
          <w:rFonts w:hint="default" w:ascii="Times New Roman" w:hAnsi="Times New Roman" w:eastAsia="仿宋_GB2312" w:cs="Times New Roman"/>
          <w:sz w:val="32"/>
          <w:szCs w:val="32"/>
          <w:lang w:val="en-US" w:eastAsia="zh-CN"/>
        </w:rPr>
        <w:t>在市级层面，部分单位存在“本位主义”，对平台公司转型和经营性资产注入的支持力度不大，未能实现平台转型“全市一盘棋”和整体同步推进；在公司层面，领导班子和高管团队多来源于行政机关，行政管理能力较强，但市场意识不足、转型思考不多、开展转型的决心不强，存在一定程度的“等靠要”思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（二）债务风险累加。</w:t>
      </w:r>
      <w:r>
        <w:rPr>
          <w:rFonts w:hint="default" w:ascii="Times New Roman" w:hAnsi="Times New Roman" w:eastAsia="仿宋_GB2312" w:cs="Times New Roman"/>
          <w:sz w:val="32"/>
          <w:szCs w:val="32"/>
          <w:lang w:val="en-US" w:eastAsia="zh-CN"/>
        </w:rPr>
        <w:t>为贯彻市委市政府战略部署、促进企业长远发展，平台公司承担了片区开发、新能源汽车等一大批重大项目，投资周期长、体量大，短时间难以实现收益，债务“雪球”越滚越大，且现有债务结构中直接融资比例过高，加之近年来一系列从严监管政策，造成整体债务风险越来越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（三）治理结构不优。</w:t>
      </w:r>
      <w:r>
        <w:rPr>
          <w:rFonts w:hint="default" w:ascii="Times New Roman" w:hAnsi="Times New Roman" w:eastAsia="仿宋_GB2312" w:cs="Times New Roman"/>
          <w:sz w:val="32"/>
          <w:szCs w:val="32"/>
          <w:lang w:val="en-US" w:eastAsia="zh-CN"/>
        </w:rPr>
        <w:t>平台公司党委会、董事会、经理层人员高度重叠，“两会一层”的职责边界不清，议事规则不明，致使科学决策程度不高、决策效率较低，各治理结构的主体功能未能有效发挥。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kern w:val="2"/>
          <w:sz w:val="32"/>
          <w:szCs w:val="32"/>
          <w:lang w:val="en-US" w:eastAsia="zh-CN" w:bidi="ar-SA"/>
        </w:rPr>
        <w:t>（四）人才矛盾突出。</w:t>
      </w:r>
      <w:r>
        <w:rPr>
          <w:rFonts w:hint="default" w:ascii="Times New Roman" w:hAnsi="Times New Roman" w:eastAsia="仿宋_GB2312" w:cs="Times New Roman"/>
          <w:sz w:val="32"/>
          <w:szCs w:val="32"/>
          <w:lang w:val="en-US" w:eastAsia="zh-CN"/>
        </w:rPr>
        <w:t>因历史原因，市级平台公司普遍缺少符合市场化经营需要的投资、法务、管理、融资等专业人才，人才的结构性矛盾突出，经营理念、管理方式与一流企业相比还有差距。</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（一）以调整优化为抓手，实施布局调整。</w:t>
      </w:r>
      <w:r>
        <w:rPr>
          <w:rFonts w:hint="default" w:ascii="Times New Roman" w:hAnsi="Times New Roman" w:eastAsia="仿宋_GB2312" w:cs="Times New Roman"/>
          <w:kern w:val="2"/>
          <w:sz w:val="32"/>
          <w:szCs w:val="32"/>
          <w:lang w:val="en-US" w:eastAsia="zh-CN" w:bidi="ar-SA"/>
        </w:rPr>
        <w:t>通过优化国有资本布局，进一步明确市属监管企业，特别是平台公司的主业主责，厘清公司构架，划分专业经营板块，满足市场需要。</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（二）以强化队伍为重点，提升经营能力。</w:t>
      </w:r>
      <w:r>
        <w:rPr>
          <w:rFonts w:hint="default" w:ascii="Times New Roman" w:hAnsi="Times New Roman" w:eastAsia="仿宋_GB2312" w:cs="Times New Roman"/>
          <w:b w:val="0"/>
          <w:bCs w:val="0"/>
          <w:kern w:val="2"/>
          <w:sz w:val="32"/>
          <w:szCs w:val="32"/>
          <w:lang w:val="en-US" w:eastAsia="zh-CN" w:bidi="ar-SA"/>
        </w:rPr>
        <w:t>围绕建设国内一流企业目标，构建“一级强、二级专、三级活”的组织架构，提升企业员工队伍能力素质。灵活运用股权激励、成果转化分红激励、员工持股、超额利润分享等多元化激励措施，提升队伍积极性、主动性和创造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（三）以管好资本为主导，建立市场机制。</w:t>
      </w:r>
      <w:r>
        <w:rPr>
          <w:rFonts w:hint="default" w:ascii="Times New Roman" w:hAnsi="Times New Roman" w:eastAsia="仿宋_GB2312" w:cs="Times New Roman"/>
          <w:b/>
          <w:bCs/>
          <w:kern w:val="2"/>
          <w:sz w:val="32"/>
          <w:szCs w:val="32"/>
          <w:lang w:val="en-US" w:eastAsia="zh-CN" w:bidi="ar-SA"/>
        </w:rPr>
        <w:t>一是实施分类监管。</w:t>
      </w:r>
      <w:r>
        <w:rPr>
          <w:rFonts w:hint="default" w:ascii="Times New Roman" w:hAnsi="Times New Roman" w:eastAsia="仿宋_GB2312" w:cs="Times New Roman"/>
          <w:b w:val="0"/>
          <w:bCs w:val="0"/>
          <w:kern w:val="2"/>
          <w:sz w:val="32"/>
          <w:szCs w:val="32"/>
          <w:lang w:val="en-US" w:eastAsia="zh-CN" w:bidi="ar-SA"/>
        </w:rPr>
        <w:t>对市属监管企业的功能类和竞争类子公司实施分类监管，其中，功能类子公司主要是依法合规承担政府性工程投资建设，竞争类子公司系有清晰的主业主责和稳定市场收益的公司，主要负责市场化项目的投资和经营。</w:t>
      </w:r>
      <w:r>
        <w:rPr>
          <w:rFonts w:hint="default" w:ascii="Times New Roman" w:hAnsi="Times New Roman" w:eastAsia="仿宋_GB2312" w:cs="Times New Roman"/>
          <w:b/>
          <w:bCs/>
          <w:kern w:val="2"/>
          <w:sz w:val="32"/>
          <w:szCs w:val="32"/>
          <w:lang w:val="en-US" w:eastAsia="zh-CN" w:bidi="ar-SA"/>
        </w:rPr>
        <w:t>二是实施过程监督。</w:t>
      </w:r>
      <w:r>
        <w:rPr>
          <w:rFonts w:hint="default" w:ascii="Times New Roman" w:hAnsi="Times New Roman" w:eastAsia="仿宋_GB2312" w:cs="Times New Roman"/>
          <w:b w:val="0"/>
          <w:bCs w:val="0"/>
          <w:kern w:val="2"/>
          <w:sz w:val="32"/>
          <w:szCs w:val="32"/>
          <w:lang w:val="en-US" w:eastAsia="zh-CN" w:bidi="ar-SA"/>
        </w:rPr>
        <w:t>严格贯彻落实《选人用人管理办法》，明确以集团公司和功能类子公司现有人员数量为限额，不再增加人员总数，明确选人用人需全过程纪实，接受外界监督。同时，赋予平台公司选人用人自主权，平台公司选人用人只需事前方案报批，事后结果备案，其他事项均由公司自主负责。</w:t>
      </w:r>
      <w:r>
        <w:rPr>
          <w:rFonts w:hint="default" w:ascii="Times New Roman" w:hAnsi="Times New Roman" w:eastAsia="仿宋_GB2312" w:cs="Times New Roman"/>
          <w:b/>
          <w:bCs/>
          <w:kern w:val="2"/>
          <w:sz w:val="32"/>
          <w:szCs w:val="32"/>
          <w:lang w:val="en-US" w:eastAsia="zh-CN" w:bidi="ar-SA"/>
        </w:rPr>
        <w:t>三是实施重大事项报告制度。</w:t>
      </w:r>
      <w:r>
        <w:rPr>
          <w:rFonts w:hint="default" w:ascii="Times New Roman" w:hAnsi="Times New Roman" w:eastAsia="仿宋_GB2312" w:cs="Times New Roman"/>
          <w:b w:val="0"/>
          <w:bCs w:val="0"/>
          <w:kern w:val="2"/>
          <w:sz w:val="32"/>
          <w:szCs w:val="32"/>
          <w:lang w:val="en-US" w:eastAsia="zh-CN" w:bidi="ar-SA"/>
        </w:rPr>
        <w:t>制定市属监管企业“三重一大”事项报告制度和报告清单，明确报告事项的内容、层级、程序和时限，做到清单内事项应报尽报，加大对违规经营责任追究力度。</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（四）以强化监管为保障，推进清廉建设。</w:t>
      </w:r>
      <w:r>
        <w:rPr>
          <w:rFonts w:hint="default" w:ascii="Times New Roman" w:hAnsi="Times New Roman" w:eastAsia="仿宋_GB2312" w:cs="Times New Roman"/>
          <w:b w:val="0"/>
          <w:bCs w:val="0"/>
          <w:kern w:val="2"/>
          <w:sz w:val="32"/>
          <w:szCs w:val="32"/>
          <w:lang w:val="en-US" w:eastAsia="zh-CN" w:bidi="ar-SA"/>
        </w:rPr>
        <w:t>一是聚焦近年来巡视巡察、审计监督、专项整治等发现的问题，组织开展以“全面清底、全面整改、全面规范”为主题的“回头看”活动，进一步改进工作作风，保障推动国资国企高质量发展。二是坚持以管资本为主加强国有资产监管,瞄准企业资本布局、关键业务、改革重点领域、运营重要环节,加强事前事中事后监管,形成监管闭环。三是强化追责问责,严格执行违规经营投资损失责任追究办法,加强对企业“一把手”和领导班子的监督，在全市国资系统营造风清气正的良好政治生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九、其他需要说明的情况</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华文仿宋"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无。</w:t>
      </w:r>
    </w:p>
    <w:p>
      <w:pPr>
        <w:ind w:right="640"/>
        <w:rPr>
          <w:rFonts w:hint="default" w:ascii="Times New Roman" w:hAnsi="Times New Roman" w:eastAsia="黑体" w:cs="Times New Roman"/>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71B9"/>
    <w:multiLevelType w:val="singleLevel"/>
    <w:tmpl w:val="BFDB71B9"/>
    <w:lvl w:ilvl="0" w:tentative="0">
      <w:start w:val="8"/>
      <w:numFmt w:val="chineseCounting"/>
      <w:suff w:val="nothing"/>
      <w:lvlText w:val="%1、"/>
      <w:lvlJc w:val="left"/>
      <w:rPr>
        <w:rFonts w:hint="eastAsia"/>
      </w:rPr>
    </w:lvl>
  </w:abstractNum>
  <w:abstractNum w:abstractNumId="1">
    <w:nsid w:val="E8ECA11A"/>
    <w:multiLevelType w:val="singleLevel"/>
    <w:tmpl w:val="E8ECA11A"/>
    <w:lvl w:ilvl="0" w:tentative="0">
      <w:start w:val="4"/>
      <w:numFmt w:val="chineseCounting"/>
      <w:suff w:val="nothing"/>
      <w:lvlText w:val="%1、"/>
      <w:lvlJc w:val="left"/>
      <w:rPr>
        <w:rFonts w:hint="eastAsia"/>
      </w:rPr>
    </w:lvl>
  </w:abstractNum>
  <w:abstractNum w:abstractNumId="2">
    <w:nsid w:val="7EBEC251"/>
    <w:multiLevelType w:val="singleLevel"/>
    <w:tmpl w:val="7EBEC25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60862"/>
    <w:rsid w:val="7496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5">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2025-02-28T09:59:00Z</dcterms:created>
  <dc:creator>huy</dc:creator>
  <cp:lastModifiedBy>huy</cp:lastModifiedBy>
  <dcterms:modified xsi:type="dcterms:W3CDTF">2025-02-28T10:00:18Z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36E88A9D7F8846E09FA54FEDDC98E566</vt:lpwstr>
  </property>
</Properties>
</file>