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33BA82">
      <w:pPr>
        <w:spacing w:afterLines="100"/>
        <w:rPr>
          <w:rFonts w:ascii="Times New Roman" w:hAnsi="Times New Roman" w:eastAsia="仿宋_GB2312"/>
          <w:kern w:val="0"/>
          <w:sz w:val="32"/>
          <w:szCs w:val="32"/>
        </w:rPr>
      </w:pPr>
    </w:p>
    <w:p w14:paraId="02701FD7">
      <w:pPr>
        <w:spacing w:afterLines="100"/>
        <w:rPr>
          <w:rFonts w:ascii="Times New Roman" w:hAnsi="Times New Roman" w:eastAsia="仿宋_GB2312"/>
          <w:kern w:val="0"/>
          <w:sz w:val="32"/>
          <w:szCs w:val="32"/>
        </w:rPr>
      </w:pPr>
    </w:p>
    <w:p w14:paraId="7E6E7BFE">
      <w:pPr>
        <w:spacing w:afterLines="100"/>
        <w:rPr>
          <w:rFonts w:ascii="Times New Roman" w:hAnsi="Times New Roman" w:eastAsia="仿宋_GB2312"/>
          <w:kern w:val="0"/>
          <w:sz w:val="32"/>
          <w:szCs w:val="32"/>
        </w:rPr>
      </w:pPr>
    </w:p>
    <w:p w14:paraId="13DF2876">
      <w:pPr>
        <w:rPr>
          <w:rFonts w:ascii="Times New Roman" w:hAnsi="Times New Roman" w:eastAsia="方正小标宋简体"/>
          <w:sz w:val="48"/>
          <w:szCs w:val="48"/>
        </w:rPr>
      </w:pPr>
    </w:p>
    <w:p w14:paraId="2FA0EBCF">
      <w:pPr>
        <w:rPr>
          <w:rFonts w:ascii="Times New Roman" w:hAnsi="Times New Roman" w:eastAsia="方正小标宋简体"/>
          <w:sz w:val="48"/>
          <w:szCs w:val="48"/>
        </w:rPr>
      </w:pPr>
    </w:p>
    <w:p w14:paraId="37E5FD25">
      <w:pPr>
        <w:jc w:val="center"/>
        <w:rPr>
          <w:rFonts w:ascii="Times New Roman" w:hAnsi="Times New Roman" w:eastAsia="方正小标宋简体"/>
          <w:sz w:val="48"/>
          <w:szCs w:val="48"/>
        </w:rPr>
      </w:pPr>
      <w:r>
        <w:rPr>
          <w:rFonts w:ascii="Times New Roman" w:hAnsi="Times New Roman" w:eastAsia="方正小标宋简体"/>
          <w:sz w:val="48"/>
          <w:szCs w:val="48"/>
        </w:rPr>
        <w:t>部门整体支出绩效自评报告</w:t>
      </w:r>
    </w:p>
    <w:p w14:paraId="5CA52A86">
      <w:pPr>
        <w:jc w:val="center"/>
        <w:rPr>
          <w:rFonts w:ascii="Times New Roman" w:hAnsi="Times New Roman" w:eastAsia="方正小标宋简体"/>
          <w:sz w:val="36"/>
          <w:szCs w:val="36"/>
        </w:rPr>
      </w:pPr>
      <w:r>
        <w:rPr>
          <w:rFonts w:hint="eastAsia" w:ascii="Times New Roman" w:hAnsi="Times New Roman" w:eastAsia="方正小标宋简体"/>
          <w:sz w:val="36"/>
          <w:szCs w:val="36"/>
        </w:rPr>
        <w:t>（</w:t>
      </w:r>
      <w:r>
        <w:rPr>
          <w:rFonts w:ascii="Times New Roman" w:hAnsi="Times New Roman" w:eastAsia="方正小标宋简体"/>
          <w:sz w:val="36"/>
          <w:szCs w:val="36"/>
        </w:rPr>
        <w:t>202</w:t>
      </w:r>
      <w:r>
        <w:rPr>
          <w:rFonts w:hint="eastAsia" w:ascii="Times New Roman" w:hAnsi="Times New Roman" w:eastAsia="方正小标宋简体"/>
          <w:sz w:val="36"/>
          <w:szCs w:val="36"/>
          <w:lang w:val="en-US" w:eastAsia="zh-CN"/>
        </w:rPr>
        <w:t>4</w:t>
      </w:r>
      <w:r>
        <w:rPr>
          <w:rFonts w:ascii="Times New Roman" w:hAnsi="Times New Roman" w:eastAsia="方正小标宋简体"/>
          <w:sz w:val="36"/>
          <w:szCs w:val="36"/>
        </w:rPr>
        <w:t>年度</w:t>
      </w:r>
      <w:r>
        <w:rPr>
          <w:rFonts w:hint="eastAsia" w:ascii="Times New Roman" w:hAnsi="Times New Roman" w:eastAsia="方正小标宋简体"/>
          <w:sz w:val="36"/>
          <w:szCs w:val="36"/>
        </w:rPr>
        <w:t>）</w:t>
      </w:r>
    </w:p>
    <w:p w14:paraId="37F51BFE">
      <w:pPr>
        <w:jc w:val="center"/>
        <w:rPr>
          <w:rFonts w:ascii="Times New Roman" w:hAnsi="Times New Roman" w:eastAsia="黑体"/>
          <w:sz w:val="32"/>
          <w:szCs w:val="32"/>
        </w:rPr>
      </w:pPr>
    </w:p>
    <w:p w14:paraId="747CAB53">
      <w:pPr>
        <w:jc w:val="center"/>
        <w:rPr>
          <w:rFonts w:ascii="Times New Roman" w:hAnsi="Times New Roman" w:eastAsia="黑体"/>
          <w:sz w:val="32"/>
          <w:szCs w:val="32"/>
        </w:rPr>
      </w:pPr>
    </w:p>
    <w:p w14:paraId="402ECBD3">
      <w:pPr>
        <w:jc w:val="center"/>
        <w:rPr>
          <w:rFonts w:ascii="Times New Roman" w:hAnsi="Times New Roman" w:eastAsia="黑体"/>
          <w:sz w:val="32"/>
          <w:szCs w:val="32"/>
        </w:rPr>
      </w:pPr>
    </w:p>
    <w:p w14:paraId="2EF12AC3">
      <w:pPr>
        <w:jc w:val="center"/>
        <w:rPr>
          <w:rFonts w:ascii="Times New Roman" w:hAnsi="Times New Roman" w:eastAsia="黑体"/>
          <w:sz w:val="32"/>
          <w:szCs w:val="32"/>
        </w:rPr>
      </w:pPr>
    </w:p>
    <w:p w14:paraId="0FEB9BF4">
      <w:pPr>
        <w:rPr>
          <w:rFonts w:ascii="Times New Roman" w:hAnsi="Times New Roman" w:eastAsia="黑体"/>
          <w:sz w:val="32"/>
          <w:szCs w:val="32"/>
        </w:rPr>
      </w:pPr>
    </w:p>
    <w:p w14:paraId="402BBCFA">
      <w:pPr>
        <w:jc w:val="center"/>
        <w:rPr>
          <w:rFonts w:ascii="Times New Roman" w:hAnsi="Times New Roman"/>
          <w:sz w:val="36"/>
          <w:szCs w:val="36"/>
        </w:rPr>
      </w:pPr>
    </w:p>
    <w:p w14:paraId="0BBEF547">
      <w:pPr>
        <w:jc w:val="center"/>
        <w:rPr>
          <w:rFonts w:ascii="Times New Roman" w:hAnsi="Times New Roman"/>
          <w:sz w:val="36"/>
          <w:szCs w:val="36"/>
        </w:rPr>
      </w:pPr>
    </w:p>
    <w:p w14:paraId="615D5113">
      <w:pPr>
        <w:jc w:val="center"/>
        <w:rPr>
          <w:rFonts w:ascii="Times New Roman" w:hAnsi="Times New Roman"/>
          <w:sz w:val="36"/>
          <w:szCs w:val="36"/>
        </w:rPr>
      </w:pPr>
    </w:p>
    <w:p w14:paraId="5AC85FB1">
      <w:pPr>
        <w:jc w:val="center"/>
        <w:rPr>
          <w:rFonts w:hint="eastAsia" w:ascii="Times New Roman" w:hAnsi="Times New Roman" w:eastAsiaTheme="minorEastAsia"/>
          <w:sz w:val="36"/>
          <w:szCs w:val="36"/>
          <w:lang w:eastAsia="zh-CN"/>
        </w:rPr>
      </w:pPr>
      <w:r>
        <w:rPr>
          <w:rFonts w:ascii="Times New Roman" w:hAnsi="Times New Roman"/>
          <w:sz w:val="36"/>
          <w:szCs w:val="36"/>
        </w:rPr>
        <w:t>单位名称</w:t>
      </w:r>
      <w:r>
        <w:rPr>
          <w:rFonts w:hint="eastAsia" w:ascii="Times New Roman" w:hAnsi="Times New Roman"/>
          <w:sz w:val="36"/>
          <w:szCs w:val="36"/>
        </w:rPr>
        <w:t>：</w:t>
      </w:r>
      <w:r>
        <w:rPr>
          <w:rFonts w:hint="eastAsia" w:ascii="Times New Roman" w:hAnsi="Times New Roman"/>
          <w:sz w:val="36"/>
          <w:szCs w:val="36"/>
          <w:lang w:eastAsia="zh-CN"/>
        </w:rPr>
        <w:t>衡阳市商务局</w:t>
      </w:r>
    </w:p>
    <w:p w14:paraId="28B7291F">
      <w:pPr>
        <w:ind w:firstLine="2160" w:firstLineChars="600"/>
        <w:jc w:val="both"/>
        <w:rPr>
          <w:rFonts w:ascii="Times New Roman" w:hAnsi="Times New Roman" w:eastAsia="黑体"/>
          <w:sz w:val="36"/>
          <w:szCs w:val="36"/>
        </w:rPr>
      </w:pPr>
      <w:r>
        <w:rPr>
          <w:rFonts w:hint="eastAsia" w:ascii="Times New Roman" w:hAnsi="Times New Roman"/>
          <w:sz w:val="36"/>
          <w:szCs w:val="36"/>
        </w:rPr>
        <w:t>主要负责人签字</w:t>
      </w:r>
      <w:r>
        <w:rPr>
          <w:rFonts w:ascii="Times New Roman" w:hAnsi="Times New Roman"/>
          <w:sz w:val="36"/>
          <w:szCs w:val="36"/>
        </w:rPr>
        <w:t>：</w:t>
      </w:r>
    </w:p>
    <w:p w14:paraId="402235CC">
      <w:pPr>
        <w:jc w:val="center"/>
        <w:rPr>
          <w:rFonts w:ascii="Times New Roman" w:hAnsi="Times New Roman" w:eastAsia="黑体"/>
          <w:sz w:val="36"/>
          <w:szCs w:val="36"/>
        </w:rPr>
      </w:pPr>
    </w:p>
    <w:p w14:paraId="5B6D9199">
      <w:pPr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2025</w:t>
      </w:r>
      <w:r>
        <w:rPr>
          <w:rFonts w:ascii="Times New Roman" w:hAnsi="Times New Roman" w:eastAsia="黑体"/>
          <w:sz w:val="32"/>
          <w:szCs w:val="32"/>
        </w:rPr>
        <w:t>年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黑体"/>
          <w:sz w:val="32"/>
          <w:szCs w:val="32"/>
        </w:rPr>
        <w:t>月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27</w:t>
      </w:r>
      <w:r>
        <w:rPr>
          <w:rFonts w:ascii="Times New Roman" w:hAnsi="Times New Roman" w:eastAsia="黑体"/>
          <w:sz w:val="32"/>
          <w:szCs w:val="32"/>
        </w:rPr>
        <w:t>日</w:t>
      </w:r>
    </w:p>
    <w:p w14:paraId="6027B190">
      <w:pPr>
        <w:jc w:val="center"/>
        <w:rPr>
          <w:rFonts w:ascii="Times New Roman" w:hAnsi="Times New Roman" w:eastAsia="黑体"/>
          <w:sz w:val="32"/>
          <w:szCs w:val="32"/>
        </w:rPr>
      </w:pPr>
    </w:p>
    <w:p w14:paraId="17544E84">
      <w:pPr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部门整体支出绩效自评报告</w:t>
      </w:r>
    </w:p>
    <w:p w14:paraId="2019968D">
      <w:pPr>
        <w:pStyle w:val="2"/>
      </w:pPr>
    </w:p>
    <w:p w14:paraId="54E9EC00">
      <w:pPr>
        <w:pStyle w:val="10"/>
        <w:widowControl/>
        <w:numPr>
          <w:ilvl w:val="0"/>
          <w:numId w:val="1"/>
        </w:numPr>
        <w:ind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单位基本情况</w:t>
      </w:r>
    </w:p>
    <w:p w14:paraId="13F4038B"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kern w:val="2"/>
          <w:sz w:val="32"/>
          <w:szCs w:val="32"/>
          <w:lang w:val="en-US" w:eastAsia="zh-CN" w:bidi="ar-SA"/>
        </w:rPr>
        <w:t>我局为市政府组成部门，正处级行政机关，加挂市政府口岸办公室牌子。其职责主要是承担全市招商引资、发展开放型经济、促进内外贸流通，负责全市对外开放口岸的规划、申报及有关审批工作等重要职责。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职责需要内设18个科室：办公室、综合调研科、财务科、市场运行和消费促进科、市场体系建设科、流通业发展科、市场秩序科、电子商务科、服务贸易和商贸服务业科、对外贸易科、投资管理科、承接产业转移科、对外投资和经济合作科、法规和国际经贸关系科、企业管理科、口岸科、行政审批服务科、组织人事科，另有机关党委与离退休人员管理服务科。</w:t>
      </w:r>
    </w:p>
    <w:p w14:paraId="0401A342">
      <w:pPr>
        <w:pStyle w:val="10"/>
        <w:widowControl/>
        <w:numPr>
          <w:ilvl w:val="0"/>
          <w:numId w:val="0"/>
        </w:num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衡阳市口岸服务中心为我局的二级机构，没有财务独立，与局机关合并进行财务核算。</w:t>
      </w:r>
    </w:p>
    <w:p w14:paraId="1779E4CC">
      <w:pPr>
        <w:spacing w:beforeLines="0" w:afterLines="0" w:line="520" w:lineRule="exact"/>
        <w:ind w:firstLine="64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24"/>
        </w:rPr>
        <w:t>202</w:t>
      </w:r>
      <w:r>
        <w:rPr>
          <w:rFonts w:hint="eastAsia" w:ascii="仿宋" w:hAnsi="仿宋" w:eastAsia="仿宋"/>
          <w:sz w:val="32"/>
          <w:szCs w:val="24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24"/>
        </w:rPr>
        <w:t>年本单位年未实有人数</w:t>
      </w:r>
      <w:r>
        <w:rPr>
          <w:rFonts w:hint="eastAsia" w:ascii="仿宋" w:hAnsi="仿宋" w:eastAsia="仿宋"/>
          <w:sz w:val="28"/>
          <w:szCs w:val="24"/>
          <w:lang w:val="en-US" w:eastAsia="zh-CN"/>
        </w:rPr>
        <w:t>58</w:t>
      </w:r>
      <w:r>
        <w:rPr>
          <w:rFonts w:hint="eastAsia" w:ascii="仿宋" w:hAnsi="仿宋" w:eastAsia="仿宋"/>
          <w:sz w:val="32"/>
          <w:szCs w:val="24"/>
        </w:rPr>
        <w:t>人</w:t>
      </w:r>
      <w:r>
        <w:rPr>
          <w:rFonts w:hint="eastAsia" w:ascii="仿宋" w:hAnsi="仿宋" w:eastAsia="仿宋"/>
          <w:sz w:val="32"/>
          <w:szCs w:val="24"/>
          <w:lang w:eastAsia="zh-CN"/>
        </w:rPr>
        <w:t>（行政编</w:t>
      </w:r>
      <w:r>
        <w:rPr>
          <w:rFonts w:hint="eastAsia" w:ascii="仿宋" w:hAnsi="仿宋" w:eastAsia="仿宋"/>
          <w:sz w:val="32"/>
          <w:szCs w:val="24"/>
          <w:lang w:val="en-US" w:eastAsia="zh-CN"/>
        </w:rPr>
        <w:t>48人，机关后勤服务人员1人，口岸服务中心的事业编9人</w:t>
      </w:r>
      <w:r>
        <w:rPr>
          <w:rFonts w:hint="eastAsia" w:ascii="仿宋" w:hAnsi="仿宋" w:eastAsia="仿宋"/>
          <w:sz w:val="32"/>
          <w:szCs w:val="24"/>
          <w:lang w:eastAsia="zh-CN"/>
        </w:rPr>
        <w:t>）</w:t>
      </w:r>
      <w:r>
        <w:rPr>
          <w:rFonts w:hint="eastAsia" w:ascii="仿宋" w:hAnsi="仿宋" w:eastAsia="仿宋"/>
          <w:sz w:val="32"/>
          <w:szCs w:val="24"/>
        </w:rPr>
        <w:t>，比上</w:t>
      </w:r>
      <w:r>
        <w:rPr>
          <w:rFonts w:hint="eastAsia" w:ascii="仿宋" w:hAnsi="仿宋" w:eastAsia="仿宋"/>
          <w:sz w:val="32"/>
          <w:szCs w:val="24"/>
          <w:lang w:eastAsia="zh-CN"/>
        </w:rPr>
        <w:t>年减少</w:t>
      </w:r>
      <w:r>
        <w:rPr>
          <w:rFonts w:hint="eastAsia" w:ascii="仿宋" w:hAnsi="仿宋" w:eastAsia="仿宋"/>
          <w:sz w:val="32"/>
          <w:szCs w:val="24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24"/>
          <w:lang w:val="en-US"/>
        </w:rPr>
        <w:t>人。人员变化的主要原因是：</w:t>
      </w:r>
      <w:r>
        <w:rPr>
          <w:rFonts w:hint="eastAsia" w:ascii="仿宋" w:hAnsi="仿宋" w:eastAsia="仿宋"/>
          <w:sz w:val="32"/>
          <w:szCs w:val="24"/>
          <w:lang w:val="en-US" w:eastAsia="zh-CN"/>
        </w:rPr>
        <w:t>有人退休</w:t>
      </w:r>
      <w:r>
        <w:rPr>
          <w:rFonts w:hint="eastAsia" w:ascii="仿宋" w:hAnsi="仿宋" w:eastAsia="仿宋"/>
          <w:sz w:val="32"/>
          <w:szCs w:val="24"/>
          <w:lang w:val="en-US"/>
        </w:rPr>
        <w:t>。</w:t>
      </w:r>
    </w:p>
    <w:p w14:paraId="5C376F4F">
      <w:pPr>
        <w:pStyle w:val="10"/>
        <w:widowControl/>
        <w:ind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二、一般公共预算支出情况</w:t>
      </w:r>
    </w:p>
    <w:p w14:paraId="502782F0">
      <w:pPr>
        <w:pStyle w:val="10"/>
        <w:widowControl/>
        <w:ind w:firstLine="643"/>
        <w:rPr>
          <w:rFonts w:eastAsia="楷体"/>
          <w:b/>
          <w:sz w:val="32"/>
          <w:szCs w:val="32"/>
        </w:rPr>
      </w:pPr>
      <w:r>
        <w:rPr>
          <w:rFonts w:eastAsia="楷体"/>
          <w:b/>
          <w:sz w:val="32"/>
          <w:szCs w:val="32"/>
        </w:rPr>
        <w:t>（一）基本支出情况</w:t>
      </w:r>
    </w:p>
    <w:p w14:paraId="3DFFD27A"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2024年，基本支出年初预算为1431.1万元，实际基本支出数为1484.22万元，年末结转和结余为0。</w:t>
      </w:r>
    </w:p>
    <w:p w14:paraId="1FE98CF7">
      <w:pPr>
        <w:bidi w:val="0"/>
        <w:ind w:firstLine="640" w:firstLineChars="200"/>
        <w:rPr>
          <w:rFonts w:eastAsia="楷体"/>
          <w:b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基本支出决算数为1484.22万元，其中工资福利支出969.03万元、商品和服务支出218.9万元、对个人和家庭的补助296.29万元。</w:t>
      </w:r>
    </w:p>
    <w:p w14:paraId="1E7B69C3">
      <w:pPr>
        <w:pStyle w:val="10"/>
        <w:widowControl/>
        <w:ind w:firstLine="643"/>
        <w:rPr>
          <w:rFonts w:eastAsia="楷体"/>
          <w:b/>
          <w:sz w:val="32"/>
          <w:szCs w:val="32"/>
        </w:rPr>
      </w:pPr>
      <w:r>
        <w:rPr>
          <w:rFonts w:eastAsia="楷体"/>
          <w:b/>
          <w:sz w:val="32"/>
          <w:szCs w:val="32"/>
        </w:rPr>
        <w:t>（二）项目支出情况</w:t>
      </w:r>
    </w:p>
    <w:p w14:paraId="2A93D449"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2024年，项目支出年初预算为50万元，实际项目支出数为2981.65万元，年末结转和结余为0。</w:t>
      </w:r>
    </w:p>
    <w:p w14:paraId="6F3A450D"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项目支出决算数为2981.65万元，其中工资福利支出0万元、商品和服务支出401.67万元、对个人和家庭的补助2089.98万元、对企业补助490万元。</w:t>
      </w:r>
    </w:p>
    <w:p w14:paraId="1A1771B2">
      <w:pPr>
        <w:pStyle w:val="10"/>
        <w:widowControl/>
        <w:ind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三、政府性基金预算支出情况</w:t>
      </w:r>
    </w:p>
    <w:p w14:paraId="30BFF015">
      <w:pPr>
        <w:pStyle w:val="10"/>
        <w:widowControl/>
        <w:ind w:firstLine="64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2024年政府下基金全年预算数为17029.65万元，全年支出数为17029.65万元，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其中工资福利支出0万元、商品和服务支出0万元、对个人和家庭的补助17029.65万元。</w:t>
      </w:r>
    </w:p>
    <w:p w14:paraId="5EA5CE9B">
      <w:pPr>
        <w:pStyle w:val="10"/>
        <w:widowControl/>
        <w:numPr>
          <w:ilvl w:val="0"/>
          <w:numId w:val="2"/>
        </w:numPr>
        <w:ind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国有资本经营预算支出情况</w:t>
      </w:r>
    </w:p>
    <w:p w14:paraId="6BA02170">
      <w:pPr>
        <w:pStyle w:val="10"/>
        <w:widowControl/>
        <w:numPr>
          <w:ilvl w:val="0"/>
          <w:numId w:val="0"/>
        </w:numPr>
        <w:rPr>
          <w:rFonts w:hint="default" w:eastAsia="黑体"/>
          <w:sz w:val="32"/>
          <w:szCs w:val="32"/>
          <w:lang w:val="en-US" w:eastAsia="zh-CN"/>
        </w:rPr>
      </w:pPr>
      <w:r>
        <w:rPr>
          <w:rFonts w:hint="eastAsia" w:eastAsia="黑体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5320F628">
      <w:pPr>
        <w:pStyle w:val="10"/>
        <w:widowControl/>
        <w:numPr>
          <w:ilvl w:val="0"/>
          <w:numId w:val="2"/>
        </w:numPr>
        <w:ind w:left="0" w:leftChars="0"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社会保险基金预算支出情况</w:t>
      </w:r>
    </w:p>
    <w:p w14:paraId="71EC4D23">
      <w:pPr>
        <w:pStyle w:val="10"/>
        <w:widowControl/>
        <w:numPr>
          <w:ilvl w:val="0"/>
          <w:numId w:val="0"/>
        </w:numPr>
        <w:ind w:leftChars="200"/>
        <w:rPr>
          <w:rFonts w:hint="default" w:eastAsia="黑体"/>
          <w:sz w:val="32"/>
          <w:szCs w:val="32"/>
          <w:lang w:val="en-US" w:eastAsia="zh-CN"/>
        </w:rPr>
      </w:pPr>
      <w:r>
        <w:rPr>
          <w:rFonts w:hint="eastAsia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67DA56ED">
      <w:pPr>
        <w:widowControl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六、部门整体支出绩效情况</w:t>
      </w:r>
    </w:p>
    <w:p w14:paraId="733788E2">
      <w:pPr>
        <w:pStyle w:val="7"/>
        <w:spacing w:line="560" w:lineRule="exact"/>
        <w:ind w:firstLine="643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楷体"/>
          <w:b/>
          <w:bCs/>
          <w:color w:val="000000"/>
          <w:sz w:val="32"/>
          <w:szCs w:val="40"/>
        </w:rPr>
        <w:t>1、</w:t>
      </w:r>
      <w:r>
        <w:rPr>
          <w:rFonts w:ascii="Times New Roman" w:hAnsi="Times New Roman" w:eastAsia="楷体"/>
          <w:b/>
          <w:bCs/>
          <w:color w:val="000000"/>
          <w:sz w:val="32"/>
          <w:szCs w:val="40"/>
        </w:rPr>
        <w:t>引龙头、补链条、强聚集，招商引资蓄势赋能。</w:t>
      </w:r>
      <w:r>
        <w:rPr>
          <w:rFonts w:ascii="Times New Roman" w:hAnsi="Times New Roman" w:eastAsia="仿宋_GB2312"/>
          <w:color w:val="000000"/>
          <w:sz w:val="32"/>
          <w:szCs w:val="32"/>
        </w:rPr>
        <w:t>坚持把“制造立市、文旅兴城”作为招商引资工作的主攻方向，立足构建现代化产业体系，更高站位、更大格局重招商、增后劲，为“走在前、做示范”注入强劲动能。</w:t>
      </w:r>
      <w:r>
        <w:rPr>
          <w:rFonts w:ascii="Times New Roman" w:hAnsi="Times New Roman" w:eastAsia="仿宋_GB2312"/>
          <w:b/>
          <w:bCs/>
          <w:color w:val="000000"/>
          <w:sz w:val="32"/>
          <w:szCs w:val="32"/>
        </w:rPr>
        <w:t>引进大项目。</w:t>
      </w:r>
      <w:r>
        <w:rPr>
          <w:rFonts w:ascii="Times New Roman" w:hAnsi="Times New Roman" w:eastAsia="仿宋_GB2312"/>
          <w:color w:val="000000"/>
          <w:sz w:val="32"/>
          <w:szCs w:val="32"/>
        </w:rPr>
        <w:t>抢抓第三届湖南旅发大会机遇，市委市政府主要领导亲自带队，先后10余次赴长三角、京津冀等地招商。1-</w:t>
      </w:r>
      <w:r>
        <w:rPr>
          <w:rFonts w:ascii="Times New Roman" w:hAnsi="Times New Roman" w:eastAsia="仿宋_GB2312"/>
          <w:color w:val="000000"/>
          <w:sz w:val="32"/>
          <w:szCs w:val="32"/>
          <w:lang w:val="e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月，</w:t>
      </w:r>
      <w:r>
        <w:rPr>
          <w:rFonts w:ascii="Times New Roman" w:hAnsi="Times New Roman" w:eastAsia="仿宋_GB2312"/>
          <w:color w:val="000000"/>
          <w:sz w:val="32"/>
          <w:szCs w:val="32"/>
          <w:lang w:val="en"/>
        </w:rPr>
        <w:t>预计</w:t>
      </w:r>
      <w:r>
        <w:rPr>
          <w:rFonts w:ascii="Times New Roman" w:hAnsi="Times New Roman" w:eastAsia="仿宋_GB2312"/>
          <w:color w:val="000000"/>
          <w:sz w:val="32"/>
          <w:szCs w:val="32"/>
        </w:rPr>
        <w:t>全市洽谈引进重大项目</w:t>
      </w:r>
      <w:r>
        <w:rPr>
          <w:rFonts w:ascii="Times New Roman" w:hAnsi="Times New Roman" w:eastAsia="仿宋_GB2312"/>
          <w:color w:val="000000"/>
          <w:sz w:val="32"/>
          <w:szCs w:val="32"/>
          <w:lang w:val="en"/>
        </w:rPr>
        <w:t>370</w:t>
      </w:r>
      <w:r>
        <w:rPr>
          <w:rFonts w:ascii="Times New Roman" w:hAnsi="Times New Roman" w:eastAsia="仿宋_GB2312"/>
          <w:color w:val="000000"/>
          <w:sz w:val="32"/>
          <w:szCs w:val="32"/>
        </w:rPr>
        <w:t>个，总投资额约</w:t>
      </w:r>
      <w:r>
        <w:rPr>
          <w:rFonts w:ascii="Times New Roman" w:hAnsi="Times New Roman" w:eastAsia="仿宋_GB2312"/>
          <w:color w:val="000000"/>
          <w:sz w:val="32"/>
          <w:szCs w:val="32"/>
          <w:lang w:val="en"/>
        </w:rPr>
        <w:t>1300</w:t>
      </w:r>
      <w:r>
        <w:rPr>
          <w:rFonts w:ascii="Times New Roman" w:hAnsi="Times New Roman" w:eastAsia="仿宋_GB2312"/>
          <w:color w:val="000000"/>
          <w:sz w:val="32"/>
          <w:szCs w:val="32"/>
        </w:rPr>
        <w:t>亿元；完成内联引资到位资金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607.09</w:t>
      </w:r>
      <w:r>
        <w:rPr>
          <w:rFonts w:ascii="Times New Roman" w:hAnsi="Times New Roman" w:eastAsia="仿宋_GB2312"/>
          <w:color w:val="000000"/>
          <w:sz w:val="32"/>
          <w:szCs w:val="32"/>
        </w:rPr>
        <w:t>亿元；</w:t>
      </w:r>
      <w:r>
        <w:rPr>
          <w:rFonts w:ascii="Times New Roman" w:hAnsi="Times New Roman" w:eastAsia="仿宋_GB2312"/>
          <w:color w:val="000000"/>
          <w:sz w:val="32"/>
          <w:szCs w:val="32"/>
          <w:lang w:val="en"/>
        </w:rPr>
        <w:t>实际利用外资预计完成1748万美元</w:t>
      </w:r>
      <w:r>
        <w:rPr>
          <w:rFonts w:ascii="Times New Roman" w:hAnsi="Times New Roman" w:eastAsia="仿宋_GB2312"/>
          <w:color w:val="000000"/>
          <w:sz w:val="32"/>
          <w:szCs w:val="32"/>
        </w:rPr>
        <w:t>。签约“幻多奇”文旅康养产业园等10亿元以上项目30个；签约引进中航集团等“三类500强”项目30个，总投资额131.7亿元，超额完成省级任务</w:t>
      </w:r>
      <w:r>
        <w:rPr>
          <w:rFonts w:ascii="Times New Roman" w:hAnsi="Times New Roman" w:eastAsia="仿宋_GB2312"/>
          <w:color w:val="000000"/>
          <w:sz w:val="32"/>
          <w:szCs w:val="32"/>
          <w:lang w:val="en"/>
        </w:rPr>
        <w:t>。</w:t>
      </w:r>
      <w:r>
        <w:rPr>
          <w:rFonts w:ascii="Times New Roman" w:hAnsi="Times New Roman" w:eastAsia="仿宋_GB2312"/>
          <w:b/>
          <w:bCs/>
          <w:color w:val="000000"/>
          <w:sz w:val="32"/>
          <w:szCs w:val="32"/>
        </w:rPr>
        <w:t>推动大回归。</w:t>
      </w:r>
      <w:r>
        <w:rPr>
          <w:rFonts w:ascii="Times New Roman" w:hAnsi="Times New Roman" w:eastAsia="仿宋_GB2312"/>
          <w:color w:val="000000"/>
          <w:sz w:val="32"/>
          <w:szCs w:val="32"/>
        </w:rPr>
        <w:t>盘活商会、校友会资源，大力开展“湘里乡情话发展——与湘商面对面”系列活动。1-12月，全市湘商回归新增注册企业</w:t>
      </w:r>
      <w:r>
        <w:rPr>
          <w:rFonts w:ascii="Times New Roman" w:hAnsi="Times New Roman" w:eastAsia="仿宋_GB2312"/>
          <w:color w:val="000000"/>
          <w:sz w:val="32"/>
          <w:szCs w:val="32"/>
          <w:lang w:val="en"/>
        </w:rPr>
        <w:t>1</w:t>
      </w:r>
      <w:r>
        <w:rPr>
          <w:rFonts w:ascii="Times New Roman" w:hAnsi="Times New Roman" w:eastAsia="仿宋_GB2312"/>
          <w:color w:val="000000"/>
          <w:sz w:val="32"/>
          <w:szCs w:val="32"/>
        </w:rPr>
        <w:t>56家，实际累计到位资金416.11亿元，涉税市场主体</w:t>
      </w:r>
      <w:r>
        <w:rPr>
          <w:rFonts w:ascii="Times New Roman" w:hAnsi="Times New Roman" w:eastAsia="仿宋_GB2312"/>
          <w:color w:val="000000"/>
          <w:sz w:val="32"/>
          <w:szCs w:val="32"/>
          <w:lang w:val="en"/>
        </w:rPr>
        <w:t>1</w:t>
      </w:r>
      <w:r>
        <w:rPr>
          <w:rFonts w:ascii="Times New Roman" w:hAnsi="Times New Roman" w:eastAsia="仿宋_GB2312"/>
          <w:color w:val="000000"/>
          <w:sz w:val="32"/>
          <w:szCs w:val="32"/>
        </w:rPr>
        <w:t>2</w:t>
      </w:r>
      <w:r>
        <w:rPr>
          <w:rFonts w:ascii="Times New Roman" w:hAnsi="Times New Roman" w:eastAsia="仿宋_GB2312"/>
          <w:color w:val="000000"/>
          <w:sz w:val="32"/>
          <w:szCs w:val="32"/>
          <w:lang w:val="en"/>
        </w:rPr>
        <w:t>1</w:t>
      </w:r>
      <w:r>
        <w:rPr>
          <w:rFonts w:ascii="Times New Roman" w:hAnsi="Times New Roman" w:eastAsia="仿宋_GB2312"/>
          <w:color w:val="000000"/>
          <w:sz w:val="32"/>
          <w:szCs w:val="32"/>
        </w:rPr>
        <w:t>个，均超额完成省厅阶段任务</w:t>
      </w:r>
      <w:r>
        <w:rPr>
          <w:rFonts w:ascii="Times New Roman" w:hAnsi="Times New Roman" w:eastAsia="仿宋_GB2312"/>
          <w:color w:val="000000"/>
          <w:sz w:val="32"/>
          <w:szCs w:val="32"/>
          <w:lang w:val="en"/>
        </w:rPr>
        <w:t>。</w:t>
      </w:r>
      <w:r>
        <w:rPr>
          <w:rFonts w:ascii="Times New Roman" w:hAnsi="Times New Roman" w:eastAsia="仿宋_GB2312"/>
          <w:b/>
          <w:bCs/>
          <w:color w:val="000000"/>
          <w:sz w:val="32"/>
          <w:szCs w:val="32"/>
        </w:rPr>
        <w:t>强化大统筹。</w:t>
      </w:r>
      <w:r>
        <w:rPr>
          <w:rFonts w:ascii="Times New Roman" w:hAnsi="Times New Roman" w:eastAsia="仿宋_GB2312"/>
          <w:color w:val="000000"/>
          <w:sz w:val="32"/>
          <w:szCs w:val="32"/>
        </w:rPr>
        <w:t>聚焦第三届湖南旅发大会，建立重点观摩项目招商信息库，共铺排重点观摩项目18个、总投资50.63亿元；带动实施“文旅兴城”项目68个，总投资618亿元，衡山幻多奇文旅康养产业园、南岳一龄医养综合体等一批文旅项目相继落户衡阳。</w:t>
      </w:r>
    </w:p>
    <w:p w14:paraId="0A19A87B">
      <w:pPr>
        <w:pStyle w:val="12"/>
        <w:spacing w:after="0" w:line="560" w:lineRule="exact"/>
        <w:ind w:firstLine="643" w:firstLineChars="200"/>
        <w:rPr>
          <w:rFonts w:eastAsia="仿宋_GB2312"/>
          <w:b/>
          <w:bCs/>
          <w:color w:val="000000"/>
          <w:sz w:val="28"/>
          <w:szCs w:val="28"/>
        </w:rPr>
      </w:pPr>
      <w:r>
        <w:rPr>
          <w:rFonts w:hint="eastAsia" w:eastAsia="楷体"/>
          <w:b/>
          <w:bCs/>
          <w:color w:val="000000"/>
          <w:sz w:val="32"/>
          <w:szCs w:val="40"/>
        </w:rPr>
        <w:t>2、</w:t>
      </w:r>
      <w:r>
        <w:rPr>
          <w:rFonts w:eastAsia="楷体"/>
          <w:b/>
          <w:bCs/>
          <w:color w:val="000000"/>
          <w:sz w:val="32"/>
          <w:szCs w:val="40"/>
        </w:rPr>
        <w:t>拓市场、兴业态、聚合力，</w:t>
      </w:r>
      <w:r>
        <w:rPr>
          <w:rFonts w:eastAsia="楷体"/>
          <w:b/>
          <w:bCs/>
          <w:color w:val="000000"/>
          <w:sz w:val="32"/>
          <w:szCs w:val="32"/>
        </w:rPr>
        <w:t>对外经贸承压奋进。</w:t>
      </w:r>
      <w:r>
        <w:rPr>
          <w:rFonts w:eastAsia="仿宋_GB2312"/>
          <w:color w:val="000000"/>
          <w:sz w:val="32"/>
          <w:szCs w:val="32"/>
        </w:rPr>
        <w:t>主动融入高质量共建“一带一路”，在推动外贸发展、拓展经贸合作上实现融合互补、互利共赢。</w:t>
      </w:r>
      <w:r>
        <w:rPr>
          <w:rFonts w:eastAsia="仿宋_GB2312"/>
          <w:b/>
          <w:bCs/>
          <w:color w:val="000000"/>
          <w:sz w:val="32"/>
          <w:szCs w:val="32"/>
        </w:rPr>
        <w:t>推动贸易互促。</w:t>
      </w:r>
      <w:r>
        <w:rPr>
          <w:rFonts w:eastAsia="仿宋_GB2312"/>
          <w:color w:val="000000"/>
          <w:sz w:val="32"/>
          <w:szCs w:val="32"/>
        </w:rPr>
        <w:t>开展稳外贸“六大行动”，与全球160多个国家和地区实现贸易往来。</w:t>
      </w:r>
      <w:r>
        <w:rPr>
          <w:rFonts w:eastAsia="仿宋_GB2312"/>
          <w:color w:val="000000"/>
          <w:sz w:val="32"/>
          <w:szCs w:val="32"/>
          <w:lang w:val="en"/>
        </w:rPr>
        <w:t>1-</w:t>
      </w:r>
      <w:r>
        <w:rPr>
          <w:rFonts w:eastAsia="仿宋_GB2312"/>
          <w:color w:val="000000"/>
          <w:sz w:val="32"/>
          <w:szCs w:val="32"/>
        </w:rPr>
        <w:t>1</w:t>
      </w:r>
      <w:r>
        <w:rPr>
          <w:rFonts w:eastAsia="仿宋_GB2312"/>
          <w:color w:val="000000"/>
          <w:sz w:val="32"/>
          <w:szCs w:val="32"/>
          <w:lang w:val="en"/>
        </w:rPr>
        <w:t>1月，</w:t>
      </w:r>
      <w:r>
        <w:rPr>
          <w:rFonts w:eastAsia="仿宋_GB2312"/>
          <w:color w:val="000000"/>
          <w:sz w:val="32"/>
          <w:szCs w:val="32"/>
        </w:rPr>
        <w:t>全市进出口总额</w:t>
      </w:r>
      <w:r>
        <w:rPr>
          <w:rFonts w:eastAsia="仿宋_GB2312"/>
          <w:color w:val="000000"/>
          <w:sz w:val="32"/>
          <w:szCs w:val="32"/>
          <w:lang w:val="en"/>
        </w:rPr>
        <w:t>295.4</w:t>
      </w:r>
      <w:r>
        <w:rPr>
          <w:rFonts w:eastAsia="仿宋_GB2312"/>
          <w:color w:val="000000"/>
          <w:sz w:val="32"/>
          <w:szCs w:val="32"/>
        </w:rPr>
        <w:t>亿元，同比下降</w:t>
      </w:r>
      <w:r>
        <w:rPr>
          <w:rFonts w:eastAsia="仿宋_GB2312"/>
          <w:color w:val="000000"/>
          <w:sz w:val="32"/>
          <w:szCs w:val="32"/>
          <w:lang w:val="en"/>
        </w:rPr>
        <w:t>29</w:t>
      </w:r>
      <w:r>
        <w:rPr>
          <w:rFonts w:eastAsia="仿宋_GB2312"/>
          <w:color w:val="000000"/>
          <w:sz w:val="32"/>
          <w:szCs w:val="32"/>
        </w:rPr>
        <w:t>.4%，降幅较上半年收窄</w:t>
      </w:r>
      <w:r>
        <w:rPr>
          <w:rFonts w:eastAsia="仿宋_GB2312"/>
          <w:color w:val="000000"/>
          <w:sz w:val="32"/>
          <w:szCs w:val="32"/>
          <w:lang w:val="en"/>
        </w:rPr>
        <w:t>8</w:t>
      </w:r>
      <w:r>
        <w:rPr>
          <w:rFonts w:eastAsia="仿宋_GB2312"/>
          <w:color w:val="000000"/>
          <w:sz w:val="32"/>
          <w:szCs w:val="32"/>
        </w:rPr>
        <w:t>.6个百分点。积极开展外贸业绩回流行动，华利汽车等联动出口，预计实现8亿元订单回流。</w:t>
      </w:r>
      <w:r>
        <w:rPr>
          <w:rFonts w:eastAsia="仿宋_GB2312"/>
          <w:b/>
          <w:bCs/>
          <w:color w:val="000000"/>
          <w:sz w:val="32"/>
          <w:szCs w:val="32"/>
        </w:rPr>
        <w:t>推动政企互动。</w:t>
      </w:r>
      <w:r>
        <w:rPr>
          <w:rFonts w:eastAsia="仿宋_GB2312"/>
          <w:color w:val="000000"/>
          <w:sz w:val="32"/>
          <w:szCs w:val="32"/>
        </w:rPr>
        <w:t>联动海关、税务等相关部门，建立完善跨部门、多层级工作推进机制，快速协同为企业纾困解难，全市外贸实绩企业234家，“破零倍增”企业87家。1-</w:t>
      </w:r>
      <w:r>
        <w:rPr>
          <w:rFonts w:eastAsia="仿宋_GB2312"/>
          <w:color w:val="000000"/>
          <w:sz w:val="32"/>
          <w:szCs w:val="32"/>
          <w:lang w:val="en"/>
        </w:rPr>
        <w:t>11</w:t>
      </w:r>
      <w:r>
        <w:rPr>
          <w:rFonts w:eastAsia="仿宋_GB2312"/>
          <w:color w:val="000000"/>
          <w:sz w:val="32"/>
          <w:szCs w:val="32"/>
        </w:rPr>
        <w:t>月，申报退税企业</w:t>
      </w:r>
      <w:r>
        <w:rPr>
          <w:rFonts w:eastAsia="仿宋_GB2312"/>
          <w:color w:val="000000"/>
          <w:sz w:val="32"/>
          <w:szCs w:val="32"/>
          <w:lang w:val="en"/>
        </w:rPr>
        <w:t>626</w:t>
      </w:r>
      <w:r>
        <w:rPr>
          <w:rFonts w:eastAsia="仿宋_GB2312"/>
          <w:color w:val="000000"/>
          <w:sz w:val="32"/>
          <w:szCs w:val="32"/>
        </w:rPr>
        <w:t>户次，退税金额</w:t>
      </w:r>
      <w:r>
        <w:rPr>
          <w:rFonts w:eastAsia="仿宋_GB2312"/>
          <w:color w:val="000000"/>
          <w:sz w:val="32"/>
          <w:szCs w:val="32"/>
          <w:lang w:val="en"/>
        </w:rPr>
        <w:t>2.48</w:t>
      </w:r>
      <w:r>
        <w:rPr>
          <w:rFonts w:eastAsia="仿宋_GB2312"/>
          <w:color w:val="000000"/>
          <w:sz w:val="32"/>
          <w:szCs w:val="32"/>
        </w:rPr>
        <w:t>亿元。</w:t>
      </w:r>
      <w:r>
        <w:rPr>
          <w:rFonts w:eastAsia="仿宋_GB2312"/>
          <w:b/>
          <w:bCs/>
          <w:color w:val="000000"/>
          <w:sz w:val="32"/>
          <w:szCs w:val="32"/>
        </w:rPr>
        <w:t>推动通道互联。</w:t>
      </w:r>
      <w:r>
        <w:rPr>
          <w:rFonts w:eastAsia="仿宋_GB2312"/>
          <w:color w:val="000000"/>
          <w:sz w:val="32"/>
          <w:szCs w:val="32"/>
        </w:rPr>
        <w:t>大力推动跨境电商综试区、自贸试验区协同联动区建设。1-1</w:t>
      </w:r>
      <w:r>
        <w:rPr>
          <w:rFonts w:eastAsia="仿宋_GB2312"/>
          <w:color w:val="000000"/>
          <w:sz w:val="32"/>
          <w:szCs w:val="32"/>
          <w:lang w:val="en"/>
        </w:rPr>
        <w:t>2</w:t>
      </w:r>
      <w:r>
        <w:rPr>
          <w:rFonts w:eastAsia="仿宋_GB2312"/>
          <w:color w:val="000000"/>
          <w:sz w:val="32"/>
          <w:szCs w:val="32"/>
        </w:rPr>
        <w:t>月，全市跨境电商进出口交易额2.49亿元；中欧（中亚）班列、湘粤非铁海联运分别开行</w:t>
      </w:r>
      <w:r>
        <w:rPr>
          <w:rFonts w:eastAsia="仿宋_GB2312"/>
          <w:color w:val="000000"/>
          <w:sz w:val="32"/>
          <w:szCs w:val="32"/>
          <w:lang w:val="en"/>
        </w:rPr>
        <w:t>42</w:t>
      </w:r>
      <w:r>
        <w:rPr>
          <w:rFonts w:eastAsia="仿宋_GB2312"/>
          <w:color w:val="000000"/>
          <w:sz w:val="32"/>
          <w:szCs w:val="32"/>
        </w:rPr>
        <w:t>列、</w:t>
      </w:r>
      <w:r>
        <w:rPr>
          <w:rFonts w:eastAsia="仿宋_GB2312"/>
          <w:color w:val="000000"/>
          <w:sz w:val="32"/>
          <w:szCs w:val="32"/>
          <w:lang w:val="en"/>
        </w:rPr>
        <w:t>421</w:t>
      </w:r>
      <w:r>
        <w:rPr>
          <w:rFonts w:eastAsia="仿宋_GB2312"/>
          <w:color w:val="000000"/>
          <w:sz w:val="32"/>
          <w:szCs w:val="32"/>
        </w:rPr>
        <w:t>列，货值分别增长</w:t>
      </w:r>
      <w:r>
        <w:rPr>
          <w:rFonts w:eastAsia="仿宋_GB2312"/>
          <w:color w:val="000000"/>
          <w:sz w:val="32"/>
          <w:szCs w:val="32"/>
          <w:lang w:val="en"/>
        </w:rPr>
        <w:t>7</w:t>
      </w:r>
      <w:r>
        <w:rPr>
          <w:rFonts w:eastAsia="仿宋_GB2312"/>
          <w:color w:val="000000"/>
          <w:sz w:val="32"/>
          <w:szCs w:val="32"/>
        </w:rPr>
        <w:t>%、</w:t>
      </w:r>
      <w:r>
        <w:rPr>
          <w:rFonts w:eastAsia="仿宋_GB2312"/>
          <w:color w:val="000000"/>
          <w:sz w:val="32"/>
          <w:szCs w:val="32"/>
          <w:lang w:val="en"/>
        </w:rPr>
        <w:t>16倍</w:t>
      </w:r>
      <w:r>
        <w:rPr>
          <w:rFonts w:eastAsia="仿宋_GB2312"/>
          <w:color w:val="000000"/>
          <w:sz w:val="32"/>
          <w:szCs w:val="32"/>
        </w:rPr>
        <w:t>。</w:t>
      </w:r>
    </w:p>
    <w:p w14:paraId="36AEFFD9">
      <w:pPr>
        <w:pStyle w:val="12"/>
        <w:spacing w:after="0" w:line="560" w:lineRule="exact"/>
        <w:ind w:firstLine="643" w:firstLineChars="200"/>
        <w:rPr>
          <w:rFonts w:eastAsia="仿宋_GB2312"/>
          <w:color w:val="000000"/>
          <w:sz w:val="32"/>
          <w:szCs w:val="32"/>
          <w:lang w:val="en"/>
        </w:rPr>
      </w:pPr>
      <w:r>
        <w:rPr>
          <w:rFonts w:hint="eastAsia" w:eastAsia="楷体"/>
          <w:b/>
          <w:bCs/>
          <w:color w:val="000000"/>
          <w:sz w:val="32"/>
          <w:szCs w:val="40"/>
        </w:rPr>
        <w:t>3、</w:t>
      </w:r>
      <w:r>
        <w:rPr>
          <w:rFonts w:eastAsia="楷体"/>
          <w:b/>
          <w:bCs/>
          <w:color w:val="000000"/>
          <w:sz w:val="32"/>
          <w:szCs w:val="40"/>
        </w:rPr>
        <w:t>办活动、挖潜力、优服务，消费市场提质扩容。</w:t>
      </w:r>
      <w:r>
        <w:rPr>
          <w:rFonts w:eastAsia="仿宋_GB2312"/>
          <w:color w:val="000000"/>
          <w:sz w:val="32"/>
          <w:szCs w:val="32"/>
        </w:rPr>
        <w:t>牢牢把握扩大内需这个战略基点，促进消费回升和潜力释放，消费市场活力迸发、热潮涌动，1-11月，全市社会消费品零售总额1905.24亿元，同比增长6.9%，全省第1。全市激发消费需求行动典型经验，先后在省政府《政务要情与交流》、省商务厅《激发需求行动工作专报》上推介。</w:t>
      </w:r>
      <w:r>
        <w:rPr>
          <w:rFonts w:eastAsia="仿宋_GB2312"/>
          <w:b/>
          <w:bCs/>
          <w:color w:val="000000"/>
          <w:sz w:val="32"/>
          <w:szCs w:val="32"/>
        </w:rPr>
        <w:t>全力做强消费市场。</w:t>
      </w:r>
      <w:r>
        <w:rPr>
          <w:rFonts w:eastAsia="仿宋_GB2312"/>
          <w:color w:val="000000"/>
          <w:sz w:val="32"/>
          <w:szCs w:val="32"/>
        </w:rPr>
        <w:t>设立4.02亿元专项资金池，大力推进消费品以旧换新行动，成功举办汽车博览会等系列活动40余场次。持续推动消费品以旧换新行动，1-11月，全市汽车销售量为43992辆，销售额61.59亿元；家电以旧换新补贴1.18亿元，带动消费6.27亿元，均居全省第2位。</w:t>
      </w:r>
      <w:r>
        <w:rPr>
          <w:rFonts w:eastAsia="仿宋_GB2312"/>
          <w:b/>
          <w:bCs/>
          <w:color w:val="000000"/>
          <w:sz w:val="32"/>
          <w:szCs w:val="32"/>
        </w:rPr>
        <w:t>全力提升消费场景。</w:t>
      </w:r>
      <w:r>
        <w:rPr>
          <w:rFonts w:eastAsia="仿宋_GB2312"/>
          <w:color w:val="000000"/>
          <w:sz w:val="32"/>
          <w:szCs w:val="32"/>
        </w:rPr>
        <w:t>打造“智慧+”“景区+”消费新场景，新增融冠乐街等4处省级夜间消费集聚示范区。实施县域商业体系、农产品冷链建设项目5</w:t>
      </w:r>
      <w:r>
        <w:rPr>
          <w:rFonts w:eastAsia="仿宋_GB2312"/>
          <w:color w:val="000000"/>
          <w:sz w:val="32"/>
          <w:szCs w:val="32"/>
          <w:lang w:val="en"/>
        </w:rPr>
        <w:t>3</w:t>
      </w:r>
      <w:r>
        <w:rPr>
          <w:rFonts w:eastAsia="仿宋_GB2312"/>
          <w:color w:val="000000"/>
          <w:sz w:val="32"/>
          <w:szCs w:val="32"/>
        </w:rPr>
        <w:t>个，新增有效投资额</w:t>
      </w:r>
      <w:r>
        <w:rPr>
          <w:rFonts w:eastAsia="仿宋_GB2312"/>
          <w:color w:val="000000"/>
          <w:sz w:val="32"/>
          <w:szCs w:val="32"/>
          <w:lang w:val="en"/>
        </w:rPr>
        <w:t>7411万</w:t>
      </w:r>
      <w:r>
        <w:rPr>
          <w:rFonts w:eastAsia="仿宋_GB2312"/>
          <w:color w:val="000000"/>
          <w:sz w:val="32"/>
          <w:szCs w:val="32"/>
        </w:rPr>
        <w:t>元，争取中央奖补资金2223.38万元，全省第3。</w:t>
      </w:r>
      <w:r>
        <w:rPr>
          <w:rFonts w:eastAsia="仿宋_GB2312"/>
          <w:b/>
          <w:bCs/>
          <w:color w:val="000000"/>
          <w:sz w:val="32"/>
          <w:szCs w:val="32"/>
          <w:lang w:val="en"/>
        </w:rPr>
        <w:t>全力攻坚社零挖潜。</w:t>
      </w:r>
      <w:r>
        <w:rPr>
          <w:rFonts w:eastAsia="仿宋_GB2312"/>
          <w:color w:val="000000"/>
          <w:sz w:val="32"/>
          <w:szCs w:val="32"/>
        </w:rPr>
        <w:t>采取联动、清底、培育、壮大、创新、激励等六项举措，结合“五经普”，10组指导员下沉300余家重点企业，深挖潜力、扩大增量，预计全市累计新增限上批零住餐企业230家。</w:t>
      </w:r>
    </w:p>
    <w:p w14:paraId="04C5C31A">
      <w:pPr>
        <w:spacing w:line="560" w:lineRule="exact"/>
        <w:ind w:firstLine="643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eastAsia="楷体"/>
          <w:b/>
          <w:bCs/>
          <w:color w:val="000000"/>
          <w:sz w:val="32"/>
          <w:szCs w:val="40"/>
        </w:rPr>
        <w:t>4、</w:t>
      </w:r>
      <w:r>
        <w:rPr>
          <w:rFonts w:eastAsia="楷体"/>
          <w:b/>
          <w:bCs/>
          <w:color w:val="000000"/>
          <w:sz w:val="32"/>
          <w:szCs w:val="40"/>
        </w:rPr>
        <w:t>守底线、强监管、重整治，平安商务成效显著。</w:t>
      </w:r>
      <w:r>
        <w:rPr>
          <w:rFonts w:eastAsia="仿宋_GB2312"/>
          <w:color w:val="000000"/>
          <w:sz w:val="32"/>
          <w:szCs w:val="32"/>
        </w:rPr>
        <w:t>统筹发展和安全两件大事，把法治建设贯穿全过程，为高质量发展提供有力支撑。</w:t>
      </w:r>
      <w:r>
        <w:rPr>
          <w:rFonts w:eastAsia="仿宋_GB2312"/>
          <w:b/>
          <w:bCs/>
          <w:color w:val="000000"/>
          <w:sz w:val="32"/>
          <w:szCs w:val="32"/>
        </w:rPr>
        <w:t>做实安全生产。</w:t>
      </w:r>
      <w:r>
        <w:rPr>
          <w:rFonts w:eastAsia="仿宋_GB2312"/>
          <w:color w:val="000000"/>
          <w:sz w:val="32"/>
          <w:szCs w:val="32"/>
        </w:rPr>
        <w:t>立足“五全一常态”机制和“三管三必须”要求，围绕治本攻坚三年行动、畅通“生命通道”、“破窗拆网”、“两电”专项整治和市场消防安全专项整治等行动，紧盯大型商业综合体、超市、加油站、非星级宾馆、报废机动车拆解、农贸市场、餐饮燃气等重点领域，开展各项检查督查督导73次，出动检查巡查人员311余人次，排查事故隐患1263条，一般性事故隐患整改率97.4%，重大事故隐患动态整改率100%，全年未发生一般及以上安全事故，行业领域安全生产形势持续平稳向好。</w:t>
      </w:r>
      <w:r>
        <w:rPr>
          <w:rFonts w:eastAsia="仿宋_GB2312"/>
          <w:b/>
          <w:bCs/>
          <w:color w:val="000000"/>
          <w:sz w:val="32"/>
          <w:szCs w:val="32"/>
        </w:rPr>
        <w:t>抓好信访维稳。</w:t>
      </w:r>
      <w:r>
        <w:rPr>
          <w:rFonts w:eastAsia="仿宋_GB2312"/>
          <w:color w:val="000000"/>
          <w:sz w:val="32"/>
          <w:szCs w:val="32"/>
        </w:rPr>
        <w:t>绷紧绷牢信访维稳这根弦，扛起保稳定、促发展政治责任，以纵深推进高质量信访维稳为牵引，实行领导干部接访制度，共接待来访40余人次，办理来信3件，妥善处置企业改制等信访案件，实现了全年进京非访“零登记”目标。</w:t>
      </w:r>
      <w:r>
        <w:rPr>
          <w:rFonts w:eastAsia="仿宋_GB2312"/>
          <w:b/>
          <w:bCs/>
          <w:color w:val="000000"/>
          <w:sz w:val="32"/>
          <w:szCs w:val="32"/>
        </w:rPr>
        <w:t>构筑禁毒防线。</w:t>
      </w:r>
      <w:r>
        <w:rPr>
          <w:rFonts w:eastAsia="仿宋_GB2312"/>
          <w:color w:val="000000"/>
          <w:sz w:val="32"/>
          <w:szCs w:val="32"/>
        </w:rPr>
        <w:t>常态化开展禁毒专题学习和公职人员毛发毒品检测工作，设置禁毒警示标语和禁毒宣传橱窗，全面筑牢禁毒安全屏障。</w:t>
      </w:r>
    </w:p>
    <w:p w14:paraId="0F1F77E5">
      <w:pPr>
        <w:pStyle w:val="10"/>
        <w:widowControl/>
        <w:ind w:firstLine="640"/>
        <w:rPr>
          <w:rFonts w:eastAsia="黑体"/>
          <w:sz w:val="32"/>
          <w:szCs w:val="32"/>
        </w:rPr>
      </w:pPr>
      <w:bookmarkStart w:id="0" w:name="_GoBack"/>
      <w:bookmarkEnd w:id="0"/>
      <w:r>
        <w:rPr>
          <w:rFonts w:eastAsia="黑体"/>
          <w:sz w:val="32"/>
          <w:szCs w:val="32"/>
        </w:rPr>
        <w:t>七、存在的问题及原因分析</w:t>
      </w:r>
    </w:p>
    <w:p w14:paraId="6DFF4EBF">
      <w:pPr>
        <w:bidi w:val="0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部门整体绩效评价工作中，由于在单位内部预算绩效管理意识没有完全树立起来，在绩效目标的设定时未进行充分的调研与认证，存在的主要问题如下：一是部门绩效管理不够科学，有的预算项目整体支出绩效目标与产出的数量指标、质量指标缺乏对应性，关联性和可操作性不强，有的科室对专项绩效目标的设定和各项指标的理解、认识不到位，导致绩效目标不够明确、不够细化、不够量化、缺乏可衡量性和可实现性；二是绩效目标设定不合理，在设定绩效目标时，往往是把年度工作方案或总结中的重点内容直接用来作为绩效目标，或者是在设定绩效目标时沿用工作方案或总结中的语言形式，指标设定不科学、根据不充分。</w:t>
      </w:r>
    </w:p>
    <w:p w14:paraId="26C12BE1">
      <w:pPr>
        <w:pStyle w:val="2"/>
        <w:ind w:firstLine="64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下一步改进措施</w:t>
      </w:r>
    </w:p>
    <w:p w14:paraId="393E929E"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针对部门整体支出绩效评价工作中存在的问题，应在坚持“提高认识、强化管理、科学认定、注重实效”的原则上，进一步提高整体支出绩效评价的质量。</w:t>
      </w:r>
    </w:p>
    <w:p w14:paraId="6D62BCA3">
      <w:pPr>
        <w:bidi w:val="0"/>
        <w:ind w:firstLine="42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提高认识，突出重点。进一步提高对预算绩效管理的认识，充分理解财政绩效评价指标体系，注重绩效目的、评价指标的关联性，更加科学合理的确定部门绩效目标和评价目的，突出绩效指标的重要性和综合性，有些科室任务多，支出数额大、范围广，这就要求在设定绩效目标时，应兼顾好重要性和综合性原则，对于整体工作的反映，尽量采用综合性指标；对于详细项目资金的反映，尽量采用有代表性的重要指标。</w:t>
      </w:r>
    </w:p>
    <w:p w14:paraId="7EBEC19E"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2、强化管理，标准行为。强化部门预算约束细化预算编制，严格预算执行，加强项目资金的事前、事中、事后管控，做到事前有评价、事中有监控、事后有评价，并且按预期绩效目标完成程度进行考核。</w:t>
      </w:r>
    </w:p>
    <w:p w14:paraId="4410C1FF"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科学考核，注重实效。建立科学合理的预算考核机制，根据预设的绩效数量、质量指标全面衡量预算施行效果，既重“绩”，更重“效”，同时注重考核的全面性和客观性，对年中追加的项目资金同样纳入考核评价范围。</w:t>
      </w:r>
    </w:p>
    <w:p w14:paraId="25DA186C">
      <w:pPr>
        <w:pStyle w:val="2"/>
        <w:numPr>
          <w:ilvl w:val="0"/>
          <w:numId w:val="0"/>
        </w:numPr>
        <w:rPr>
          <w:rFonts w:hint="default" w:eastAsia="宋体"/>
          <w:lang w:val="en-US" w:eastAsia="zh-CN"/>
        </w:rPr>
      </w:pPr>
    </w:p>
    <w:p w14:paraId="006C1FF7">
      <w:pPr>
        <w:widowControl/>
        <w:numPr>
          <w:ilvl w:val="0"/>
          <w:numId w:val="3"/>
        </w:numPr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其他需要说明的情况</w:t>
      </w:r>
    </w:p>
    <w:p w14:paraId="606D41AB">
      <w:pPr>
        <w:pStyle w:val="2"/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 xml:space="preserve">  无</w:t>
      </w:r>
    </w:p>
    <w:p w14:paraId="106995C4">
      <w:pPr>
        <w:jc w:val="center"/>
        <w:rPr>
          <w:rFonts w:ascii="Times New Roman" w:hAnsi="Times New Roman" w:eastAsia="方正小标宋简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405E4F"/>
    <w:multiLevelType w:val="singleLevel"/>
    <w:tmpl w:val="B9405E4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F917CEB"/>
    <w:multiLevelType w:val="singleLevel"/>
    <w:tmpl w:val="FF917CE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E7E3F2B"/>
    <w:multiLevelType w:val="singleLevel"/>
    <w:tmpl w:val="1E7E3F2B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jMjRjODdiOGNiY2JjZDgzZTI4MDhjMjQzNmMzMmQifQ=="/>
  </w:docVars>
  <w:rsids>
    <w:rsidRoot w:val="00000000"/>
    <w:rsid w:val="1A84194A"/>
    <w:rsid w:val="2F2908A0"/>
    <w:rsid w:val="365D0F1F"/>
    <w:rsid w:val="4CDF2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0"/>
    <w:pPr>
      <w:widowControl w:val="0"/>
    </w:pPr>
    <w:rPr>
      <w:rFonts w:hint="eastAsia" w:ascii="Calibri" w:hAnsi="Calibri" w:eastAsia="宋体" w:cs="Times New Roman"/>
      <w:sz w:val="21"/>
      <w:szCs w:val="24"/>
      <w:lang w:val="en-US" w:eastAsia="zh-CN" w:bidi="ar-SA"/>
    </w:rPr>
  </w:style>
  <w:style w:type="paragraph" w:styleId="3">
    <w:name w:val="toc 5"/>
    <w:basedOn w:val="1"/>
    <w:next w:val="1"/>
    <w:unhideWhenUsed/>
    <w:qFormat/>
    <w:uiPriority w:val="39"/>
    <w:pPr>
      <w:spacing w:beforeLines="0" w:afterLines="0"/>
      <w:ind w:left="1680" w:leftChars="800"/>
    </w:pPr>
    <w:rPr>
      <w:rFonts w:hint="eastAsia"/>
      <w:sz w:val="21"/>
      <w:szCs w:val="24"/>
    </w:rPr>
  </w:style>
  <w:style w:type="paragraph" w:styleId="4">
    <w:name w:val="Body Text Indent"/>
    <w:basedOn w:val="1"/>
    <w:next w:val="5"/>
    <w:unhideWhenUsed/>
    <w:qFormat/>
    <w:uiPriority w:val="99"/>
    <w:pPr>
      <w:ind w:firstLine="420"/>
    </w:pPr>
    <w:rPr>
      <w:rFonts w:ascii="仿宋_GB2312" w:hAnsi="仿宋_GB2312"/>
    </w:r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Block Text"/>
    <w:basedOn w:val="1"/>
    <w:qFormat/>
    <w:uiPriority w:val="0"/>
    <w:pPr>
      <w:autoSpaceDE w:val="0"/>
      <w:autoSpaceDN w:val="0"/>
      <w:adjustRightInd w:val="0"/>
      <w:spacing w:line="300" w:lineRule="auto"/>
      <w:ind w:left="29" w:leftChars="12" w:right="6" w:firstLine="560" w:firstLineChars="200"/>
    </w:pPr>
    <w:rPr>
      <w:kern w:val="0"/>
      <w:sz w:val="28"/>
    </w:rPr>
  </w:style>
  <w:style w:type="paragraph" w:styleId="7">
    <w:name w:val="Body Text First Indent 2"/>
    <w:basedOn w:val="4"/>
    <w:next w:val="6"/>
    <w:unhideWhenUsed/>
    <w:qFormat/>
    <w:uiPriority w:val="99"/>
    <w:pPr>
      <w:ind w:firstLineChars="200"/>
    </w:pPr>
  </w:style>
  <w:style w:type="paragraph" w:styleId="10">
    <w:name w:val="List Paragraph"/>
    <w:basedOn w:val="1"/>
    <w:autoRedefine/>
    <w:qFormat/>
    <w:uiPriority w:val="99"/>
    <w:pPr>
      <w:ind w:firstLine="420" w:firstLineChars="200"/>
    </w:pPr>
    <w:rPr>
      <w:rFonts w:ascii="Times New Roman" w:hAnsi="Times New Roman"/>
      <w:szCs w:val="24"/>
    </w:rPr>
  </w:style>
  <w:style w:type="character" w:customStyle="1" w:styleId="11">
    <w:name w:val="NormalCharacter"/>
    <w:semiHidden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2">
    <w:name w:val="UserStyle_0"/>
    <w:basedOn w:val="1"/>
    <w:qFormat/>
    <w:uiPriority w:val="0"/>
    <w:pPr>
      <w:spacing w:after="120"/>
      <w:textAlignment w:val="baseline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3424</Words>
  <Characters>3659</Characters>
  <Lines>0</Lines>
  <Paragraphs>0</Paragraphs>
  <TotalTime>0</TotalTime>
  <ScaleCrop>false</ScaleCrop>
  <LinksUpToDate>false</LinksUpToDate>
  <CharactersWithSpaces>3675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2024-03-27T08:15:00Z</dcterms:created>
  <dc:creator>Administrator.USER-2019YCKVMZ</dc:creator>
  <cp:lastModifiedBy>Administrator</cp:lastModifiedBy>
  <dcterms:modified xsi:type="dcterms:W3CDTF">2025-02-20T03:26:24Z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4158740959EA483FA3865CF2833DB623_12</vt:lpwstr>
  </property>
  <property fmtid="{D5CDD505-2E9C-101B-9397-08002B2CF9AE}" pid="4" name="KSOTemplateDocerSaveRecord">
    <vt:lpwstr>eyJoZGlkIjoiYTljMjRjODdiOGNiY2JjZDgzZTI4MDhjMjQzNmMzMmQifQ==</vt:lpwstr>
  </property>
</Properties>
</file>