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95A9">
      <w:pPr>
        <w:spacing w:after="312" w:afterLines="100"/>
        <w:rPr>
          <w:rFonts w:ascii="Times New Roman" w:hAnsi="Times New Roman" w:eastAsia="黑体"/>
          <w:kern w:val="0"/>
          <w:sz w:val="32"/>
          <w:szCs w:val="32"/>
        </w:rPr>
      </w:pPr>
      <w:bookmarkStart w:id="0" w:name="_GoBack"/>
      <w:bookmarkEnd w:id="0"/>
      <w:r>
        <w:rPr>
          <w:rFonts w:hint="eastAsia" w:ascii="黑体" w:hAnsi="黑体" w:eastAsia="黑体" w:cs="黑体"/>
          <w:kern w:val="0"/>
          <w:sz w:val="32"/>
          <w:szCs w:val="32"/>
        </w:rPr>
        <w:t>附件2</w:t>
      </w:r>
    </w:p>
    <w:p w14:paraId="297F4B20">
      <w:pPr>
        <w:spacing w:line="600" w:lineRule="exact"/>
        <w:jc w:val="both"/>
        <w:rPr>
          <w:rFonts w:ascii="Times New Roman" w:hAnsi="Times New Roman" w:eastAsia="方正小标宋简体"/>
          <w:sz w:val="44"/>
          <w:szCs w:val="44"/>
        </w:rPr>
      </w:pPr>
    </w:p>
    <w:p w14:paraId="088060C9">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衡阳市计量测试中心</w:t>
      </w:r>
      <w:r>
        <w:rPr>
          <w:rFonts w:ascii="Times New Roman" w:hAnsi="Times New Roman" w:eastAsia="方正小标宋简体"/>
          <w:sz w:val="44"/>
          <w:szCs w:val="44"/>
        </w:rPr>
        <w:t>部门整体支出绩效自评报告</w:t>
      </w:r>
    </w:p>
    <w:p w14:paraId="3A20B77F">
      <w:pPr>
        <w:spacing w:line="600" w:lineRule="exact"/>
        <w:jc w:val="center"/>
        <w:rPr>
          <w:rFonts w:hint="eastAsia" w:ascii="Times New Roman" w:hAnsi="Times New Roman" w:eastAsia="楷体_GB2312"/>
          <w:sz w:val="32"/>
          <w:szCs w:val="32"/>
        </w:rPr>
      </w:pPr>
    </w:p>
    <w:p w14:paraId="156DDD83">
      <w:pPr>
        <w:rPr>
          <w:rFonts w:ascii="Times New Roman" w:hAnsi="Times New Roman" w:eastAsia="方正小标宋_GBK"/>
          <w:sz w:val="32"/>
          <w:szCs w:val="32"/>
        </w:rPr>
      </w:pPr>
    </w:p>
    <w:p w14:paraId="2B7CA201">
      <w:pPr>
        <w:pStyle w:val="17"/>
        <w:widowControl/>
        <w:ind w:firstLine="640"/>
        <w:rPr>
          <w:rFonts w:eastAsia="黑体"/>
          <w:sz w:val="32"/>
          <w:szCs w:val="32"/>
        </w:rPr>
      </w:pPr>
      <w:r>
        <w:rPr>
          <w:rFonts w:eastAsia="黑体"/>
          <w:sz w:val="32"/>
          <w:szCs w:val="32"/>
        </w:rPr>
        <w:t>一、部门、单位基本情况</w:t>
      </w:r>
    </w:p>
    <w:p w14:paraId="7C7523F2">
      <w:pPr>
        <w:pStyle w:val="17"/>
        <w:widowControl/>
        <w:ind w:firstLine="640"/>
        <w:rPr>
          <w:rFonts w:hint="eastAsia" w:ascii="仿宋" w:hAnsi="仿宋" w:eastAsia="仿宋" w:cs="仿宋"/>
          <w:sz w:val="32"/>
          <w:szCs w:val="32"/>
        </w:rPr>
      </w:pPr>
      <w:r>
        <w:rPr>
          <w:rFonts w:hint="eastAsia" w:ascii="仿宋" w:hAnsi="仿宋" w:eastAsia="仿宋" w:cs="仿宋"/>
          <w:sz w:val="32"/>
          <w:szCs w:val="32"/>
        </w:rPr>
        <w:t>衡阳市计量测试中心为市市场监督管理局所属正科级公益一类事业单位，主要负责全市计量器具的检定、校准、测试、比对等相关检验检测和市场风险监控工作，为市场监管和执法提供技术服务。我单位共有事业编制59个，现有总人数9</w:t>
      </w:r>
      <w:r>
        <w:rPr>
          <w:rFonts w:hint="eastAsia" w:ascii="仿宋" w:hAnsi="仿宋" w:eastAsia="仿宋" w:cs="仿宋"/>
          <w:sz w:val="32"/>
          <w:szCs w:val="32"/>
          <w:lang w:val="en-US" w:eastAsia="zh-CN"/>
        </w:rPr>
        <w:t>2</w:t>
      </w:r>
      <w:r>
        <w:rPr>
          <w:rFonts w:hint="eastAsia" w:ascii="仿宋" w:hAnsi="仿宋" w:eastAsia="仿宋" w:cs="仿宋"/>
          <w:sz w:val="32"/>
          <w:szCs w:val="32"/>
        </w:rPr>
        <w:t>人，其中在职在编人员5</w:t>
      </w:r>
      <w:r>
        <w:rPr>
          <w:rFonts w:hint="eastAsia" w:ascii="仿宋" w:hAnsi="仿宋" w:eastAsia="仿宋" w:cs="仿宋"/>
          <w:sz w:val="32"/>
          <w:szCs w:val="32"/>
          <w:lang w:val="en-US" w:eastAsia="zh-CN"/>
        </w:rPr>
        <w:t>2</w:t>
      </w:r>
      <w:r>
        <w:rPr>
          <w:rFonts w:hint="eastAsia" w:ascii="仿宋" w:hAnsi="仿宋" w:eastAsia="仿宋" w:cs="仿宋"/>
          <w:sz w:val="32"/>
          <w:szCs w:val="32"/>
        </w:rPr>
        <w:t>人，临聘人员</w:t>
      </w:r>
      <w:r>
        <w:rPr>
          <w:rFonts w:hint="eastAsia" w:ascii="仿宋" w:hAnsi="仿宋" w:eastAsia="仿宋" w:cs="仿宋"/>
          <w:sz w:val="32"/>
          <w:szCs w:val="32"/>
          <w:lang w:val="en-US" w:eastAsia="zh-CN"/>
        </w:rPr>
        <w:t>5</w:t>
      </w:r>
      <w:r>
        <w:rPr>
          <w:rFonts w:hint="eastAsia" w:ascii="仿宋" w:hAnsi="仿宋" w:eastAsia="仿宋" w:cs="仿宋"/>
          <w:sz w:val="32"/>
          <w:szCs w:val="32"/>
        </w:rPr>
        <w:t>人，离退休人员3</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14:paraId="69848DFA">
      <w:pPr>
        <w:pStyle w:val="17"/>
        <w:widowControl/>
        <w:ind w:firstLine="640"/>
        <w:rPr>
          <w:rFonts w:eastAsia="黑体"/>
          <w:sz w:val="32"/>
          <w:szCs w:val="32"/>
        </w:rPr>
      </w:pPr>
      <w:r>
        <w:rPr>
          <w:rFonts w:eastAsia="黑体"/>
          <w:sz w:val="32"/>
          <w:szCs w:val="32"/>
        </w:rPr>
        <w:t>二、一般公共预算支出情况</w:t>
      </w:r>
    </w:p>
    <w:p w14:paraId="4E1E0C90">
      <w:pPr>
        <w:pStyle w:val="17"/>
        <w:widowControl/>
        <w:ind w:firstLine="643"/>
        <w:rPr>
          <w:rFonts w:eastAsia="楷体"/>
          <w:b/>
          <w:sz w:val="32"/>
          <w:szCs w:val="32"/>
        </w:rPr>
      </w:pPr>
      <w:r>
        <w:rPr>
          <w:rFonts w:eastAsia="楷体"/>
          <w:b/>
          <w:sz w:val="32"/>
          <w:szCs w:val="32"/>
        </w:rPr>
        <w:t>（一）基本支出情况</w:t>
      </w:r>
    </w:p>
    <w:p w14:paraId="13B550CF">
      <w:pPr>
        <w:pStyle w:val="17"/>
        <w:widowControl/>
        <w:ind w:firstLine="640"/>
        <w:rPr>
          <w:rFonts w:eastAsia="仿宋"/>
          <w:sz w:val="32"/>
          <w:szCs w:val="32"/>
        </w:rPr>
      </w:pPr>
      <w:r>
        <w:rPr>
          <w:rFonts w:hint="eastAsia" w:eastAsia="仿宋"/>
          <w:sz w:val="32"/>
          <w:szCs w:val="32"/>
        </w:rPr>
        <w:t>衡阳市计量测试中心202</w:t>
      </w:r>
      <w:r>
        <w:rPr>
          <w:rFonts w:hint="eastAsia" w:eastAsia="仿宋"/>
          <w:sz w:val="32"/>
          <w:szCs w:val="32"/>
          <w:lang w:val="en-US" w:eastAsia="zh-CN"/>
        </w:rPr>
        <w:t>4</w:t>
      </w:r>
      <w:r>
        <w:rPr>
          <w:rFonts w:hint="eastAsia" w:eastAsia="仿宋"/>
          <w:sz w:val="32"/>
          <w:szCs w:val="32"/>
        </w:rPr>
        <w:t>年度基本支出资金为</w:t>
      </w:r>
      <w:r>
        <w:rPr>
          <w:rFonts w:hint="eastAsia" w:eastAsia="仿宋"/>
          <w:sz w:val="32"/>
          <w:szCs w:val="32"/>
          <w:lang w:val="en-US" w:eastAsia="zh-CN"/>
        </w:rPr>
        <w:t>1020.37</w:t>
      </w:r>
      <w:r>
        <w:rPr>
          <w:rFonts w:hint="eastAsia" w:eastAsia="仿宋"/>
          <w:sz w:val="32"/>
          <w:szCs w:val="32"/>
        </w:rPr>
        <w:t>万元，基本支出是为保障各部门正常运转完成日常工作任务而发生的各项支出，包括工资福利支出</w:t>
      </w:r>
      <w:r>
        <w:rPr>
          <w:rFonts w:hint="eastAsia" w:eastAsia="仿宋"/>
          <w:sz w:val="32"/>
          <w:szCs w:val="32"/>
          <w:lang w:val="en-US" w:eastAsia="zh-CN"/>
        </w:rPr>
        <w:t>832.83</w:t>
      </w:r>
      <w:r>
        <w:rPr>
          <w:rFonts w:hint="eastAsia" w:eastAsia="仿宋"/>
          <w:sz w:val="32"/>
          <w:szCs w:val="32"/>
        </w:rPr>
        <w:t>万元;商品与服务支出</w:t>
      </w:r>
      <w:r>
        <w:rPr>
          <w:rFonts w:hint="eastAsia" w:eastAsia="仿宋"/>
          <w:sz w:val="32"/>
          <w:szCs w:val="32"/>
          <w:lang w:val="en-US" w:eastAsia="zh-CN"/>
        </w:rPr>
        <w:t>88.92</w:t>
      </w:r>
      <w:r>
        <w:rPr>
          <w:rFonts w:hint="eastAsia" w:eastAsia="仿宋"/>
          <w:sz w:val="32"/>
          <w:szCs w:val="32"/>
        </w:rPr>
        <w:t>万元;对个人和家庭补助</w:t>
      </w:r>
      <w:r>
        <w:rPr>
          <w:rFonts w:hint="eastAsia" w:eastAsia="仿宋"/>
          <w:sz w:val="32"/>
          <w:szCs w:val="32"/>
          <w:lang w:val="en-US" w:eastAsia="zh-CN"/>
        </w:rPr>
        <w:t>98.62</w:t>
      </w:r>
      <w:r>
        <w:rPr>
          <w:rFonts w:hint="eastAsia" w:eastAsia="仿宋"/>
          <w:sz w:val="32"/>
          <w:szCs w:val="32"/>
        </w:rPr>
        <w:t>万元。</w:t>
      </w:r>
    </w:p>
    <w:p w14:paraId="209465A1">
      <w:pPr>
        <w:pStyle w:val="17"/>
        <w:widowControl/>
        <w:ind w:firstLine="643"/>
        <w:rPr>
          <w:rFonts w:eastAsia="楷体"/>
          <w:b/>
          <w:sz w:val="32"/>
          <w:szCs w:val="32"/>
        </w:rPr>
      </w:pPr>
      <w:r>
        <w:rPr>
          <w:rFonts w:eastAsia="楷体"/>
          <w:b/>
          <w:sz w:val="32"/>
          <w:szCs w:val="32"/>
        </w:rPr>
        <w:t>（二）项目支出情况</w:t>
      </w:r>
    </w:p>
    <w:p w14:paraId="35D181F2">
      <w:pPr>
        <w:widowControl/>
        <w:ind w:firstLine="640" w:firstLineChars="200"/>
        <w:rPr>
          <w:rFonts w:eastAsia="黑体"/>
          <w:sz w:val="32"/>
          <w:szCs w:val="32"/>
        </w:rPr>
      </w:pPr>
      <w:r>
        <w:rPr>
          <w:rFonts w:hint="eastAsia" w:ascii="Times New Roman" w:hAnsi="Times New Roman" w:eastAsia="仿宋"/>
          <w:sz w:val="32"/>
          <w:szCs w:val="32"/>
        </w:rPr>
        <w:t>衡阳市计量测试中心202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年度项目支出</w:t>
      </w:r>
      <w:r>
        <w:rPr>
          <w:rFonts w:hint="eastAsia" w:ascii="Times New Roman" w:hAnsi="Times New Roman" w:eastAsia="仿宋"/>
          <w:sz w:val="32"/>
          <w:szCs w:val="32"/>
          <w:lang w:val="en-US" w:eastAsia="zh-CN"/>
        </w:rPr>
        <w:t>363.74</w:t>
      </w:r>
      <w:r>
        <w:rPr>
          <w:rFonts w:hint="eastAsia" w:ascii="Times New Roman" w:hAnsi="Times New Roman" w:eastAsia="仿宋"/>
          <w:sz w:val="32"/>
          <w:szCs w:val="32"/>
        </w:rPr>
        <w:t>万元，其中</w:t>
      </w:r>
      <w:r>
        <w:rPr>
          <w:rFonts w:hint="eastAsia" w:ascii="Times New Roman" w:hAnsi="Times New Roman" w:eastAsia="仿宋"/>
          <w:sz w:val="32"/>
          <w:szCs w:val="32"/>
          <w:lang w:eastAsia="zh-CN"/>
        </w:rPr>
        <w:t>：</w:t>
      </w:r>
      <w:r>
        <w:rPr>
          <w:rFonts w:hint="eastAsia" w:ascii="Times New Roman" w:hAnsi="Times New Roman" w:eastAsia="仿宋"/>
          <w:sz w:val="32"/>
          <w:szCs w:val="32"/>
        </w:rPr>
        <w:t>强检计量器具工作经费</w:t>
      </w:r>
      <w:r>
        <w:rPr>
          <w:rFonts w:ascii="Times New Roman" w:hAnsi="Times New Roman" w:eastAsia="仿宋"/>
          <w:sz w:val="32"/>
          <w:szCs w:val="32"/>
        </w:rPr>
        <w:t xml:space="preserve"> </w:t>
      </w:r>
      <w:r>
        <w:rPr>
          <w:rFonts w:hint="eastAsia" w:ascii="Times New Roman" w:hAnsi="Times New Roman" w:eastAsia="仿宋"/>
          <w:sz w:val="32"/>
          <w:szCs w:val="32"/>
          <w:lang w:val="en-US" w:eastAsia="zh-CN"/>
        </w:rPr>
        <w:t>50</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rPr>
        <w:t>省级市场监督管理专项资金</w:t>
      </w:r>
      <w:r>
        <w:rPr>
          <w:rFonts w:hint="eastAsia" w:ascii="Times New Roman" w:hAnsi="Times New Roman" w:eastAsia="仿宋"/>
          <w:sz w:val="32"/>
          <w:szCs w:val="32"/>
          <w:lang w:val="en-US" w:eastAsia="zh-CN"/>
        </w:rPr>
        <w:t>80</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衡器产业园科技资金68.47</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rPr>
        <w:t>非税执收成本及事业性收费执收成本</w:t>
      </w:r>
      <w:r>
        <w:rPr>
          <w:rFonts w:hint="eastAsia" w:ascii="Times New Roman" w:hAnsi="Times New Roman" w:eastAsia="仿宋"/>
          <w:sz w:val="32"/>
          <w:szCs w:val="32"/>
          <w:lang w:val="en-US" w:eastAsia="zh-CN"/>
        </w:rPr>
        <w:t>165.27</w:t>
      </w:r>
      <w:r>
        <w:rPr>
          <w:rFonts w:hint="eastAsia" w:ascii="Times New Roman" w:hAnsi="Times New Roman" w:eastAsia="仿宋"/>
          <w:sz w:val="32"/>
          <w:szCs w:val="32"/>
        </w:rPr>
        <w:t>万元</w:t>
      </w:r>
      <w:r>
        <w:rPr>
          <w:rFonts w:ascii="Times New Roman" w:hAnsi="Times New Roman" w:eastAsia="仿宋"/>
          <w:sz w:val="32"/>
          <w:szCs w:val="32"/>
        </w:rPr>
        <w:t>。</w:t>
      </w:r>
    </w:p>
    <w:p w14:paraId="24A1FFB0">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、部门整体支出绩效情况</w:t>
      </w:r>
    </w:p>
    <w:p w14:paraId="1995AEF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党纪学习凝心铸魂。第一时间成立中心党纪学习教育工作领导小组，制定印发《党纪学习教育实施方案》，切实加强组织领导，将责任落实到人，把党纪学习教育工作谋划好、组织好、落实好。党总支书记上专题党课4次，党总支组织专题研讨5次，递交心得及研讨材料20篇；第一、二支部书记上纪律党课各3次，支部党员、干部讲微党课各4次，开展党员集中学习7次，交流研讨4次，开展主题党日活动5次；第一支部观看警示教育片34人次，参加实践活动36人次，第二支部观看警示教育片42人次，参加实践活动39人次。中心积极开展党纪学习教育，有效确保党纪学习教育全覆盖、全方位融入日常，起到凝心铸魂作用。</w:t>
      </w:r>
    </w:p>
    <w:p w14:paraId="1A77D52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廉政建设</w:t>
      </w:r>
      <w:r>
        <w:rPr>
          <w:rFonts w:hint="eastAsia" w:ascii="仿宋" w:hAnsi="仿宋" w:eastAsia="仿宋" w:cs="仿宋"/>
          <w:sz w:val="32"/>
          <w:szCs w:val="32"/>
        </w:rPr>
        <w:t>走深走实。组织全体干部职工召开专题警示教育大会2次，上廉政党课5次，组织典型案例通报学习7次，召开党风廉政专题班子会议10次；认真按照驻局纪检组要求开展廉政风险防范和化解专题会议3次，形成衡阳市计量测试中心廉政风险防范和化解清单并做好规定动作；纪检廉洁谈心谈话57人次；植树节发动全体干部职工植树，将办公楼西侧闲置荒地建成廉洁文化广场。进一步加强廉政教育，筑牢思想防线，以清正优廉的党风带动作风、行风，交“清廉市监”“清廉计量”满意答卷，推动计量工作高质量发展。</w:t>
      </w:r>
    </w:p>
    <w:p w14:paraId="7A519F6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（三）检校业务有声有色。中心履好计量器具强制检定法定职责，并在完成强检主业的前提下，依法受理和组织开展好校准业务。累计受理E-CQS网上强检申请备案7610条，全年共完成强制检定计量器具</w:t>
      </w:r>
      <w:r>
        <w:rPr>
          <w:rFonts w:hint="eastAsia" w:ascii="仿宋" w:hAnsi="仿宋" w:eastAsia="仿宋" w:cs="仿宋"/>
          <w:sz w:val="32"/>
          <w:szCs w:val="32"/>
          <w:lang w:val="en-US" w:eastAsia="zh-CN"/>
        </w:rPr>
        <w:t>近11.5万</w:t>
      </w:r>
      <w:r>
        <w:rPr>
          <w:rFonts w:hint="eastAsia" w:ascii="仿宋" w:hAnsi="仿宋" w:eastAsia="仿宋" w:cs="仿宋"/>
          <w:sz w:val="32"/>
          <w:szCs w:val="32"/>
        </w:rPr>
        <w:t>台件，免征强检费用</w:t>
      </w:r>
      <w:r>
        <w:rPr>
          <w:rFonts w:hint="eastAsia" w:ascii="仿宋" w:hAnsi="仿宋" w:eastAsia="仿宋" w:cs="仿宋"/>
          <w:sz w:val="32"/>
          <w:szCs w:val="32"/>
          <w:lang w:val="en-US" w:eastAsia="zh-CN"/>
        </w:rPr>
        <w:t>850</w:t>
      </w:r>
      <w:r>
        <w:rPr>
          <w:rFonts w:hint="eastAsia" w:ascii="仿宋" w:hAnsi="仿宋" w:eastAsia="仿宋" w:cs="仿宋"/>
          <w:sz w:val="32"/>
          <w:szCs w:val="32"/>
        </w:rPr>
        <w:t>余万元，高质高效按期完成年度强检任务目标；校准业务收入增势强劲，“计量服务中小企业行”服务活动赢得好口碑，服务单位企业</w:t>
      </w:r>
      <w:r>
        <w:rPr>
          <w:rFonts w:hint="eastAsia" w:ascii="仿宋" w:hAnsi="仿宋" w:eastAsia="仿宋" w:cs="仿宋"/>
          <w:sz w:val="32"/>
          <w:szCs w:val="32"/>
          <w:lang w:val="en-US" w:eastAsia="zh-CN"/>
        </w:rPr>
        <w:t>14</w:t>
      </w:r>
      <w:r>
        <w:rPr>
          <w:rFonts w:hint="eastAsia" w:ascii="仿宋" w:hAnsi="仿宋" w:eastAsia="仿宋" w:cs="仿宋"/>
          <w:sz w:val="32"/>
          <w:szCs w:val="32"/>
        </w:rPr>
        <w:t>00余家，全年共计校准计量器具</w:t>
      </w:r>
      <w:r>
        <w:rPr>
          <w:rFonts w:hint="eastAsia" w:ascii="仿宋" w:hAnsi="仿宋" w:eastAsia="仿宋" w:cs="仿宋"/>
          <w:sz w:val="32"/>
          <w:szCs w:val="32"/>
          <w:lang w:val="en-US" w:eastAsia="zh-CN"/>
        </w:rPr>
        <w:t>逾万</w:t>
      </w:r>
      <w:r>
        <w:rPr>
          <w:rFonts w:hint="eastAsia" w:ascii="仿宋" w:hAnsi="仿宋" w:eastAsia="仿宋" w:cs="仿宋"/>
          <w:sz w:val="32"/>
          <w:szCs w:val="32"/>
        </w:rPr>
        <w:t>台件，完成财政预算收入</w:t>
      </w:r>
      <w:r>
        <w:rPr>
          <w:rFonts w:hint="eastAsia" w:ascii="仿宋" w:hAnsi="仿宋" w:eastAsia="仿宋" w:cs="仿宋"/>
          <w:sz w:val="32"/>
          <w:szCs w:val="32"/>
          <w:lang w:val="en-US" w:eastAsia="zh-CN"/>
        </w:rPr>
        <w:t>300余</w:t>
      </w:r>
      <w:r>
        <w:rPr>
          <w:rFonts w:hint="eastAsia" w:ascii="仿宋" w:hAnsi="仿宋" w:eastAsia="仿宋" w:cs="仿宋"/>
          <w:sz w:val="32"/>
          <w:szCs w:val="32"/>
        </w:rPr>
        <w:t>万元。</w:t>
      </w:r>
    </w:p>
    <w:p w14:paraId="72CC20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科研创新持续发力。完成省局主持科技项目《自动售水机运营服务标准的研究》和《智能配平仪校准方法的研究》，参与《15KA高精度直流大电流标准源校准装置》和《冲击试验低温仪校准规范》等地方技术规范的制订，申请国家专利两项：《一种用于电力计量设备检测装置》和《一种可调节的管道流量检测装置》，发表专业论文9篇。完成“燃油加油机检定装置”和“水表检定装置”及“超声波燃气表检定装置”3个项目的能力提升，新建社会公用计量标准</w:t>
      </w:r>
      <w:r>
        <w:rPr>
          <w:rFonts w:hint="eastAsia" w:ascii="仿宋" w:hAnsi="仿宋" w:eastAsia="仿宋" w:cs="仿宋"/>
          <w:sz w:val="32"/>
          <w:szCs w:val="32"/>
          <w:lang w:val="en-US" w:eastAsia="zh-CN"/>
        </w:rPr>
        <w:t>4</w:t>
      </w:r>
      <w:r>
        <w:rPr>
          <w:rFonts w:hint="eastAsia" w:ascii="仿宋" w:hAnsi="仿宋" w:eastAsia="仿宋" w:cs="仿宋"/>
          <w:sz w:val="32"/>
          <w:szCs w:val="32"/>
        </w:rPr>
        <w:t>项，全年筹集资金120万元用于科研和项目能力建设，进一步夯实了发展基础。</w:t>
      </w:r>
    </w:p>
    <w:p w14:paraId="3A937E0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（五）机构建设扎实推进。计量人才队伍建设工作稳步推进，</w:t>
      </w:r>
      <w:r>
        <w:rPr>
          <w:rFonts w:hint="eastAsia" w:ascii="仿宋" w:hAnsi="仿宋" w:eastAsia="仿宋" w:cs="仿宋"/>
          <w:sz w:val="32"/>
          <w:szCs w:val="32"/>
          <w:lang w:val="en-US" w:eastAsia="zh-CN"/>
        </w:rPr>
        <w:t>全年新获取注册计量师资格4人、正高级工程师1人、工程师3人；</w:t>
      </w:r>
      <w:r>
        <w:rPr>
          <w:rFonts w:hint="eastAsia" w:ascii="仿宋" w:hAnsi="仿宋" w:eastAsia="仿宋" w:cs="仿宋"/>
          <w:sz w:val="32"/>
          <w:szCs w:val="32"/>
        </w:rPr>
        <w:t>通过全市人才引进，招入2名研究生学历专业技术人才</w:t>
      </w:r>
      <w:r>
        <w:rPr>
          <w:rFonts w:hint="eastAsia" w:ascii="仿宋" w:hAnsi="仿宋" w:eastAsia="仿宋" w:cs="仿宋"/>
          <w:sz w:val="32"/>
          <w:szCs w:val="32"/>
          <w:lang w:eastAsia="zh-CN"/>
        </w:rPr>
        <w:t>；</w:t>
      </w:r>
      <w:r>
        <w:rPr>
          <w:rFonts w:hint="eastAsia" w:ascii="仿宋" w:hAnsi="仿宋" w:eastAsia="仿宋" w:cs="仿宋"/>
          <w:sz w:val="32"/>
          <w:szCs w:val="32"/>
        </w:rPr>
        <w:t>狠抓人员学习培训，全年安排赴省院培训考核取证107人次。采取向省院专家学习的同时加强内部培养，加大注册计量师在职称评定考量中的比重，营造良好学习氛围，提高了技术人员服务水平和能力。如期完成《质量手册》和《程序文件》等体系文件修改更新工作，健全完善风险管控全链条闭环体系，最大程度防范化解重大风险隐患。通过“婴儿培养箱校准装置”等5项新建计量标准和8项已建计量标准复查考核，社会公用计量标准建设工作走在全省地市级机构前列。</w:t>
      </w:r>
    </w:p>
    <w:p w14:paraId="495D3CAC">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文明创建开花结果。成功创成三星级文明单位，干部职工志愿者注册率达100%，“衡阳群众”志愿者积分稳步提升。积极配合上级部门开展</w:t>
      </w:r>
      <w:r>
        <w:rPr>
          <w:rFonts w:hint="eastAsia" w:ascii="仿宋" w:hAnsi="仿宋" w:eastAsia="仿宋" w:cs="仿宋"/>
          <w:sz w:val="32"/>
          <w:szCs w:val="32"/>
          <w:lang w:val="en-US" w:eastAsia="zh-CN"/>
        </w:rPr>
        <w:t>创文创城</w:t>
      </w:r>
      <w:r>
        <w:rPr>
          <w:rFonts w:hint="eastAsia" w:ascii="仿宋" w:hAnsi="仿宋" w:eastAsia="仿宋" w:cs="仿宋"/>
          <w:sz w:val="32"/>
          <w:szCs w:val="32"/>
        </w:rPr>
        <w:t>工作，深入开展“敲门行动”“包路段”“创文督导”“身边好人”“我们的节日”“联社区志愿服务”等文明创建活动，大力宣扬社会主义核心价值观、职业道德、社会公德、家庭美德，培育良好道德风尚，中心党员干部职工参与达270余人次。</w:t>
      </w:r>
    </w:p>
    <w:p w14:paraId="645AF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总之，2024年，衡阳市计量测试中心各项工作均圆满完成。党纪学习见实效，</w:t>
      </w:r>
      <w:r>
        <w:rPr>
          <w:rFonts w:hint="eastAsia" w:ascii="仿宋" w:hAnsi="仿宋" w:eastAsia="仿宋" w:cs="仿宋"/>
          <w:sz w:val="32"/>
          <w:szCs w:val="32"/>
          <w:lang w:eastAsia="zh-CN"/>
        </w:rPr>
        <w:t>廉政建设</w:t>
      </w:r>
      <w:r>
        <w:rPr>
          <w:rFonts w:hint="eastAsia" w:ascii="仿宋" w:hAnsi="仿宋" w:eastAsia="仿宋" w:cs="仿宋"/>
          <w:sz w:val="32"/>
          <w:szCs w:val="32"/>
        </w:rPr>
        <w:t>树清风，产业计量谱新篇，民生计量办实事，基础建设固根本，强检主业不断档，扩容提质蓄后劲，科创助力新发展，多点开花助推我市经济社会高质量发展，交出了计量工作的满意答卷。</w:t>
      </w:r>
    </w:p>
    <w:p w14:paraId="2A75AC75">
      <w:pPr>
        <w:pStyle w:val="17"/>
        <w:widowControl/>
        <w:ind w:firstLine="640"/>
        <w:rPr>
          <w:rFonts w:eastAsia="黑体"/>
          <w:sz w:val="32"/>
          <w:szCs w:val="32"/>
        </w:rPr>
      </w:pPr>
      <w:r>
        <w:rPr>
          <w:rFonts w:hint="eastAsia" w:eastAsia="黑体"/>
          <w:sz w:val="32"/>
          <w:szCs w:val="32"/>
          <w:lang w:val="en-US" w:eastAsia="zh-CN"/>
        </w:rPr>
        <w:t>四</w:t>
      </w:r>
      <w:r>
        <w:rPr>
          <w:rFonts w:eastAsia="黑体"/>
          <w:sz w:val="32"/>
          <w:szCs w:val="32"/>
        </w:rPr>
        <w:t>、存在的问题及原因分析</w:t>
      </w:r>
    </w:p>
    <w:p w14:paraId="5A6D7734">
      <w:pPr>
        <w:pStyle w:val="17"/>
        <w:widowControl/>
        <w:ind w:firstLine="419" w:firstLineChars="131"/>
        <w:rPr>
          <w:rFonts w:eastAsia="黑体"/>
          <w:sz w:val="32"/>
          <w:szCs w:val="32"/>
        </w:rPr>
      </w:pPr>
      <w:r>
        <w:rPr>
          <w:rFonts w:hint="eastAsia" w:eastAsia="仿宋"/>
          <w:sz w:val="32"/>
          <w:szCs w:val="32"/>
        </w:rPr>
        <w:t>在总结成绩和经验的同时，我们也清醒地看到，中心仍然存在一些困难和一些不容忽视的问题，具体表现在以下几个方面：一是单位人员年龄结构老龄化依然严重，人才队伍青黄不接亟待改善；二是硬件投入缺乏经费保障，标准器和检定设备不能及时升级换代，难以满足经济社会发展和校准业务市场竞争的需要；三是校准市场无序竞争的不良风气影响单位业务正常开展；四是科技创新奖励激励难以落实</w:t>
      </w:r>
      <w:r>
        <w:rPr>
          <w:rFonts w:eastAsia="仿宋"/>
          <w:sz w:val="32"/>
          <w:szCs w:val="32"/>
        </w:rPr>
        <w:t>。</w:t>
      </w:r>
    </w:p>
    <w:p w14:paraId="1844D70E">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、下一步改进措施</w:t>
      </w:r>
    </w:p>
    <w:p w14:paraId="3107780A">
      <w:pPr>
        <w:widowControl/>
        <w:numPr>
          <w:ilvl w:val="0"/>
          <w:numId w:val="2"/>
        </w:numPr>
        <w:adjustRightInd w:val="0"/>
        <w:snapToGrid w:val="0"/>
        <w:spacing w:line="480" w:lineRule="exact"/>
        <w:ind w:left="100" w:leftChars="0" w:firstLine="280" w:firstLineChars="0"/>
        <w:rPr>
          <w:rFonts w:ascii="仿宋" w:hAnsi="仿宋" w:eastAsia="仿宋"/>
          <w:sz w:val="32"/>
          <w:szCs w:val="32"/>
        </w:rPr>
      </w:pPr>
      <w:r>
        <w:rPr>
          <w:rFonts w:hint="eastAsia" w:ascii="仿宋" w:hAnsi="仿宋" w:eastAsia="仿宋"/>
          <w:sz w:val="32"/>
          <w:szCs w:val="32"/>
        </w:rPr>
        <w:t>贯彻党建引领，抓好</w:t>
      </w:r>
      <w:r>
        <w:rPr>
          <w:rFonts w:hint="eastAsia" w:ascii="仿宋" w:hAnsi="仿宋" w:eastAsia="仿宋"/>
          <w:sz w:val="32"/>
          <w:szCs w:val="32"/>
          <w:lang w:eastAsia="zh-CN"/>
        </w:rPr>
        <w:t>廉政建设</w:t>
      </w:r>
      <w:r>
        <w:rPr>
          <w:rFonts w:hint="eastAsia" w:ascii="仿宋" w:hAnsi="仿宋" w:eastAsia="仿宋"/>
          <w:sz w:val="32"/>
          <w:szCs w:val="32"/>
        </w:rPr>
        <w:t>，汇聚干事创业动能，增强单位全体人员凝聚力和向心力，营造风清气正、担当有为、和谐敬业的良好氛围。</w:t>
      </w:r>
    </w:p>
    <w:p w14:paraId="150FB27F">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尽职履责，抓好主业，不拖不靠不等，为广大人民群众和企业客户服务好，继续保质保量按期完成全年强检工作任务。</w:t>
      </w:r>
    </w:p>
    <w:p w14:paraId="4BF4AAE4">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主动作为，为企业提供优质全面的计量技术服务，力争完成市财政下达的全年非税预算收入的总目标，减轻财政负担，确保</w:t>
      </w:r>
      <w:r>
        <w:rPr>
          <w:rFonts w:hint="eastAsia" w:ascii="仿宋" w:hAnsi="仿宋" w:eastAsia="仿宋"/>
          <w:sz w:val="32"/>
          <w:szCs w:val="32"/>
          <w:lang w:val="en-US" w:eastAsia="zh-CN"/>
        </w:rPr>
        <w:t>运转。</w:t>
      </w:r>
    </w:p>
    <w:p w14:paraId="0D3976C7">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严抓绩效考核，加强对中心各项制度落实情况的监督检查，奖勤罚懒，狠抓执行力建设。</w:t>
      </w:r>
    </w:p>
    <w:p w14:paraId="24D2B32C">
      <w:pPr>
        <w:widowControl/>
        <w:ind w:firstLine="320" w:firstLineChars="100"/>
        <w:rPr>
          <w:rFonts w:ascii="Times New Roman" w:hAnsi="Times New Roman" w:eastAsia="黑体"/>
          <w:sz w:val="32"/>
          <w:szCs w:val="32"/>
        </w:rPr>
      </w:pPr>
      <w:r>
        <w:rPr>
          <w:rFonts w:hint="eastAsia" w:ascii="仿宋" w:hAnsi="仿宋" w:eastAsia="仿宋"/>
          <w:sz w:val="32"/>
          <w:szCs w:val="32"/>
          <w:lang w:val="en-US" w:eastAsia="zh-CN"/>
        </w:rPr>
        <w:t>5</w:t>
      </w:r>
      <w:r>
        <w:rPr>
          <w:rFonts w:hint="eastAsia" w:ascii="仿宋" w:hAnsi="仿宋" w:eastAsia="仿宋"/>
          <w:sz w:val="32"/>
          <w:szCs w:val="32"/>
        </w:rPr>
        <w:t>、巩固二星级文明单位成果，争创三星级文明单位，进一步增强单位软实力</w:t>
      </w:r>
    </w:p>
    <w:p w14:paraId="6B508EBB">
      <w:pPr>
        <w:widowControl/>
        <w:ind w:firstLine="640" w:firstLineChars="200"/>
        <w:rPr>
          <w:rFonts w:ascii="黑体" w:hAnsi="黑体" w:eastAsia="黑体" w:cs="黑体"/>
          <w:kern w:val="0"/>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、其他需要说明的情况</w:t>
      </w:r>
    </w:p>
    <w:p w14:paraId="0282A3A7">
      <w:pPr>
        <w:ind w:right="640" w:firstLine="640" w:firstLineChars="200"/>
        <w:rPr>
          <w:rFonts w:ascii="黑体" w:hAnsi="黑体" w:eastAsia="黑体" w:cs="黑体"/>
          <w:kern w:val="0"/>
          <w:sz w:val="32"/>
          <w:szCs w:val="32"/>
        </w:rPr>
      </w:pPr>
      <w:r>
        <w:rPr>
          <w:rFonts w:hint="eastAsia" w:ascii="黑体" w:hAnsi="黑体" w:eastAsia="黑体" w:cs="黑体"/>
          <w:kern w:val="0"/>
          <w:sz w:val="32"/>
          <w:szCs w:val="32"/>
        </w:rPr>
        <w:t>无</w:t>
      </w:r>
    </w:p>
    <w:p w14:paraId="657079C8">
      <w:pPr>
        <w:ind w:right="640"/>
        <w:rPr>
          <w:rFonts w:ascii="黑体" w:hAnsi="黑体" w:eastAsia="黑体" w:cs="黑体"/>
          <w:kern w:val="0"/>
          <w:sz w:val="32"/>
          <w:szCs w:val="32"/>
        </w:rPr>
      </w:pPr>
    </w:p>
    <w:p w14:paraId="1AEAEBEE">
      <w:pPr>
        <w:ind w:right="640"/>
        <w:rPr>
          <w:rFonts w:ascii="黑体" w:hAnsi="黑体" w:eastAsia="黑体" w:cs="黑体"/>
          <w:kern w:val="0"/>
          <w:sz w:val="32"/>
          <w:szCs w:val="32"/>
        </w:rPr>
      </w:pPr>
    </w:p>
    <w:p w14:paraId="18FB35B6">
      <w:pPr>
        <w:ind w:right="640"/>
        <w:rPr>
          <w:rFonts w:ascii="黑体" w:hAnsi="黑体" w:eastAsia="黑体" w:cs="黑体"/>
          <w:kern w:val="0"/>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EC54">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- 15 -</w:t>
    </w:r>
    <w:r>
      <w:rPr>
        <w:rStyle w:val="9"/>
        <w:rFonts w:ascii="Times New Roman" w:hAnsi="Times New Roman"/>
        <w:sz w:val="28"/>
        <w:szCs w:val="28"/>
      </w:rPr>
      <w:fldChar w:fldCharType="end"/>
    </w:r>
  </w:p>
  <w:p w14:paraId="7FC3F82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EA34">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A8518F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FB2F9"/>
    <w:multiLevelType w:val="singleLevel"/>
    <w:tmpl w:val="91EFB2F9"/>
    <w:lvl w:ilvl="0" w:tentative="0">
      <w:start w:val="6"/>
      <w:numFmt w:val="chineseCounting"/>
      <w:suff w:val="nothing"/>
      <w:lvlText w:val="（%1）"/>
      <w:lvlJc w:val="left"/>
      <w:rPr>
        <w:rFonts w:hint="eastAsia"/>
      </w:rPr>
    </w:lvl>
  </w:abstractNum>
  <w:abstractNum w:abstractNumId="1">
    <w:nsid w:val="5FE28FB2"/>
    <w:multiLevelType w:val="singleLevel"/>
    <w:tmpl w:val="5FE28FB2"/>
    <w:lvl w:ilvl="0" w:tentative="0">
      <w:start w:val="1"/>
      <w:numFmt w:val="decimal"/>
      <w:suff w:val="nothing"/>
      <w:lvlText w:val="%1、"/>
      <w:lvlJc w:val="left"/>
      <w:pPr>
        <w:ind w:left="100"/>
      </w:pPr>
      <w:rPr>
        <w:rFonts w:ascii="仿宋" w:hAnsi="仿宋" w:eastAsia="仿宋" w:cs="方正粗黑宋简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jUzN2M4ZWNmZmUwNGRhMGVjYWRlZjVhYWM1YWEifQ=="/>
  </w:docVars>
  <w:rsids>
    <w:rsidRoot w:val="00C553EF"/>
    <w:rsid w:val="00012C93"/>
    <w:rsid w:val="000734E3"/>
    <w:rsid w:val="000773D5"/>
    <w:rsid w:val="00080625"/>
    <w:rsid w:val="00082293"/>
    <w:rsid w:val="00093B9D"/>
    <w:rsid w:val="00094646"/>
    <w:rsid w:val="000A561A"/>
    <w:rsid w:val="000D2A53"/>
    <w:rsid w:val="000D5E7F"/>
    <w:rsid w:val="000E2B59"/>
    <w:rsid w:val="000E2E9C"/>
    <w:rsid w:val="000F775C"/>
    <w:rsid w:val="00135131"/>
    <w:rsid w:val="00135395"/>
    <w:rsid w:val="00173AA9"/>
    <w:rsid w:val="00184AF2"/>
    <w:rsid w:val="00197E64"/>
    <w:rsid w:val="001A7CAB"/>
    <w:rsid w:val="001B56F4"/>
    <w:rsid w:val="001B69B6"/>
    <w:rsid w:val="001B6D56"/>
    <w:rsid w:val="001C048E"/>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07B9"/>
    <w:rsid w:val="00463FD5"/>
    <w:rsid w:val="00474AD0"/>
    <w:rsid w:val="00487AC5"/>
    <w:rsid w:val="00496F05"/>
    <w:rsid w:val="00537950"/>
    <w:rsid w:val="00551D43"/>
    <w:rsid w:val="00566BA9"/>
    <w:rsid w:val="005709FF"/>
    <w:rsid w:val="00581EEE"/>
    <w:rsid w:val="005851E9"/>
    <w:rsid w:val="00591495"/>
    <w:rsid w:val="00594AEE"/>
    <w:rsid w:val="005D031D"/>
    <w:rsid w:val="00623486"/>
    <w:rsid w:val="006264B7"/>
    <w:rsid w:val="00655B95"/>
    <w:rsid w:val="00677EDD"/>
    <w:rsid w:val="006964D9"/>
    <w:rsid w:val="006F37DA"/>
    <w:rsid w:val="007109A0"/>
    <w:rsid w:val="007123D7"/>
    <w:rsid w:val="00713B58"/>
    <w:rsid w:val="00735018"/>
    <w:rsid w:val="00751BF0"/>
    <w:rsid w:val="00764972"/>
    <w:rsid w:val="00771B0E"/>
    <w:rsid w:val="007A6F2C"/>
    <w:rsid w:val="007B3731"/>
    <w:rsid w:val="007C3C5A"/>
    <w:rsid w:val="007E2D1B"/>
    <w:rsid w:val="007E3E71"/>
    <w:rsid w:val="008241E1"/>
    <w:rsid w:val="00835818"/>
    <w:rsid w:val="00847A3C"/>
    <w:rsid w:val="00893AEC"/>
    <w:rsid w:val="0092243F"/>
    <w:rsid w:val="00940D4A"/>
    <w:rsid w:val="00971DB4"/>
    <w:rsid w:val="0097394E"/>
    <w:rsid w:val="00990C7C"/>
    <w:rsid w:val="009C58B9"/>
    <w:rsid w:val="009D0C0A"/>
    <w:rsid w:val="00A0127D"/>
    <w:rsid w:val="00A148B9"/>
    <w:rsid w:val="00A2187E"/>
    <w:rsid w:val="00A3605E"/>
    <w:rsid w:val="00A377C0"/>
    <w:rsid w:val="00A55C61"/>
    <w:rsid w:val="00A801F4"/>
    <w:rsid w:val="00AC12C1"/>
    <w:rsid w:val="00AC5F31"/>
    <w:rsid w:val="00AF15ED"/>
    <w:rsid w:val="00B049DD"/>
    <w:rsid w:val="00B17D23"/>
    <w:rsid w:val="00B40A07"/>
    <w:rsid w:val="00B61B46"/>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302DF"/>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02883"/>
    <w:rsid w:val="00F137EB"/>
    <w:rsid w:val="00F2080B"/>
    <w:rsid w:val="00F55DE1"/>
    <w:rsid w:val="00FA2BB2"/>
    <w:rsid w:val="00FC450D"/>
    <w:rsid w:val="00FD081E"/>
    <w:rsid w:val="00FE100B"/>
    <w:rsid w:val="00FE4826"/>
    <w:rsid w:val="028D58A7"/>
    <w:rsid w:val="03043E77"/>
    <w:rsid w:val="06EF4AB2"/>
    <w:rsid w:val="07C71168"/>
    <w:rsid w:val="0A0D53EC"/>
    <w:rsid w:val="0D605732"/>
    <w:rsid w:val="0DD57ECE"/>
    <w:rsid w:val="0F262ACD"/>
    <w:rsid w:val="15DA6FC6"/>
    <w:rsid w:val="168B1A5F"/>
    <w:rsid w:val="18934E7A"/>
    <w:rsid w:val="18D53E65"/>
    <w:rsid w:val="217D46AD"/>
    <w:rsid w:val="232778B2"/>
    <w:rsid w:val="2CA61530"/>
    <w:rsid w:val="2E660FDE"/>
    <w:rsid w:val="2E7071F6"/>
    <w:rsid w:val="341C4786"/>
    <w:rsid w:val="37D56A93"/>
    <w:rsid w:val="398B5761"/>
    <w:rsid w:val="3A987BA2"/>
    <w:rsid w:val="3BFC0501"/>
    <w:rsid w:val="3F52287D"/>
    <w:rsid w:val="416B7C26"/>
    <w:rsid w:val="41C61B6B"/>
    <w:rsid w:val="431F6A03"/>
    <w:rsid w:val="44A75419"/>
    <w:rsid w:val="480C191B"/>
    <w:rsid w:val="485B4839"/>
    <w:rsid w:val="4A6F6D2D"/>
    <w:rsid w:val="4B92138C"/>
    <w:rsid w:val="4B95421D"/>
    <w:rsid w:val="4DE30FF0"/>
    <w:rsid w:val="4E516B22"/>
    <w:rsid w:val="506643DA"/>
    <w:rsid w:val="522E2CD6"/>
    <w:rsid w:val="55D63CAA"/>
    <w:rsid w:val="577B43C0"/>
    <w:rsid w:val="591C2557"/>
    <w:rsid w:val="5C2F64BB"/>
    <w:rsid w:val="5F247EBB"/>
    <w:rsid w:val="6031230F"/>
    <w:rsid w:val="609A4BD3"/>
    <w:rsid w:val="62882016"/>
    <w:rsid w:val="62EE2458"/>
    <w:rsid w:val="62F62474"/>
    <w:rsid w:val="640815D9"/>
    <w:rsid w:val="65A22784"/>
    <w:rsid w:val="65B31738"/>
    <w:rsid w:val="665516C6"/>
    <w:rsid w:val="66B91727"/>
    <w:rsid w:val="6AF80B9B"/>
    <w:rsid w:val="6BAD2A66"/>
    <w:rsid w:val="6CDE3E9F"/>
    <w:rsid w:val="6D2817E7"/>
    <w:rsid w:val="6EF74444"/>
    <w:rsid w:val="71125845"/>
    <w:rsid w:val="744D2A74"/>
    <w:rsid w:val="7708194D"/>
    <w:rsid w:val="773A3B3B"/>
    <w:rsid w:val="77A24B7F"/>
    <w:rsid w:val="79336CA0"/>
    <w:rsid w:val="79A2386E"/>
    <w:rsid w:val="7C6C2C17"/>
    <w:rsid w:val="7E0A5DEF"/>
    <w:rsid w:val="7F20194F"/>
    <w:rsid w:val="7F4A2182"/>
    <w:rsid w:val="7F531EB8"/>
    <w:rsid w:val="7F910F92"/>
    <w:rsid w:val="7F9F76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99"/>
    <w:pPr>
      <w:jc w:val="left"/>
    </w:pPr>
    <w:rPr>
      <w:rFonts w:ascii="Times New Roman" w:hAnsi="Times New Roman"/>
      <w:szCs w:val="24"/>
    </w:rPr>
  </w:style>
  <w:style w:type="paragraph" w:styleId="3">
    <w:name w:val="Balloon Text"/>
    <w:basedOn w:val="1"/>
    <w:link w:val="13"/>
    <w:autoRedefine/>
    <w:qFormat/>
    <w:uiPriority w:val="99"/>
    <w:rPr>
      <w:rFonts w:ascii="Times New Roman" w:hAnsi="Times New Roman"/>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autoRedefine/>
    <w:qFormat/>
    <w:uiPriority w:val="99"/>
    <w:rPr>
      <w:rFonts w:cs="Times New Roman"/>
    </w:rPr>
  </w:style>
  <w:style w:type="character" w:styleId="10">
    <w:name w:val="Hyperlink"/>
    <w:autoRedefine/>
    <w:unhideWhenUsed/>
    <w:qFormat/>
    <w:uiPriority w:val="99"/>
    <w:rPr>
      <w:color w:val="0000FF"/>
      <w:u w:val="single"/>
    </w:rPr>
  </w:style>
  <w:style w:type="character" w:styleId="11">
    <w:name w:val="annotation reference"/>
    <w:autoRedefine/>
    <w:qFormat/>
    <w:uiPriority w:val="99"/>
    <w:rPr>
      <w:rFonts w:cs="Times New Roman"/>
      <w:sz w:val="21"/>
      <w:szCs w:val="21"/>
    </w:rPr>
  </w:style>
  <w:style w:type="character" w:customStyle="1" w:styleId="12">
    <w:name w:val="批注文字 字符"/>
    <w:link w:val="2"/>
    <w:autoRedefine/>
    <w:qFormat/>
    <w:locked/>
    <w:uiPriority w:val="99"/>
    <w:rPr>
      <w:rFonts w:ascii="Times New Roman" w:hAnsi="Times New Roman" w:eastAsia="宋体" w:cs="Times New Roman"/>
      <w:sz w:val="24"/>
      <w:szCs w:val="24"/>
    </w:rPr>
  </w:style>
  <w:style w:type="character" w:customStyle="1" w:styleId="13">
    <w:name w:val="批注框文本 字符"/>
    <w:link w:val="3"/>
    <w:autoRedefine/>
    <w:qFormat/>
    <w:locked/>
    <w:uiPriority w:val="99"/>
    <w:rPr>
      <w:rFonts w:ascii="Times New Roman" w:hAnsi="Times New Roman" w:eastAsia="宋体" w:cs="Times New Roman"/>
      <w:sz w:val="18"/>
      <w:szCs w:val="18"/>
    </w:rPr>
  </w:style>
  <w:style w:type="character" w:customStyle="1" w:styleId="14">
    <w:name w:val="页脚 字符"/>
    <w:link w:val="4"/>
    <w:autoRedefine/>
    <w:qFormat/>
    <w:locked/>
    <w:uiPriority w:val="99"/>
    <w:rPr>
      <w:rFonts w:cs="Times New Roman"/>
      <w:sz w:val="18"/>
      <w:szCs w:val="18"/>
    </w:rPr>
  </w:style>
  <w:style w:type="character" w:customStyle="1" w:styleId="15">
    <w:name w:val="页眉 字符"/>
    <w:link w:val="5"/>
    <w:autoRedefine/>
    <w:qFormat/>
    <w:locked/>
    <w:uiPriority w:val="99"/>
    <w:rPr>
      <w:rFonts w:cs="Times New Roman"/>
      <w:sz w:val="18"/>
      <w:szCs w:val="18"/>
    </w:rPr>
  </w:style>
  <w:style w:type="paragraph" w:customStyle="1" w:styleId="16">
    <w:name w:val="列出段落1"/>
    <w:basedOn w:val="1"/>
    <w:autoRedefine/>
    <w:qFormat/>
    <w:uiPriority w:val="99"/>
    <w:pPr>
      <w:ind w:firstLine="420" w:firstLineChars="200"/>
    </w:pPr>
    <w:rPr>
      <w:rFonts w:ascii="Times New Roman" w:hAnsi="Times New Roman"/>
      <w:szCs w:val="24"/>
    </w:rPr>
  </w:style>
  <w:style w:type="paragraph" w:styleId="17">
    <w:name w:val="List Paragraph"/>
    <w:basedOn w:val="1"/>
    <w:autoRedefine/>
    <w:qFormat/>
    <w:uiPriority w:val="99"/>
    <w:pPr>
      <w:ind w:firstLine="420" w:firstLineChars="200"/>
    </w:pPr>
    <w:rPr>
      <w:rFonts w:ascii="Times New Roman" w:hAnsi="Times New Roman"/>
      <w:szCs w:val="24"/>
    </w:rPr>
  </w:style>
  <w:style w:type="paragraph" w:customStyle="1" w:styleId="18">
    <w:name w:val="修订1"/>
    <w:autoRedefine/>
    <w:hidden/>
    <w:qFormat/>
    <w:uiPriority w:val="99"/>
    <w:rPr>
      <w:rFonts w:ascii="Times New Roman" w:hAnsi="Times New Roman" w:eastAsia="宋体" w:cs="Times New Roman"/>
      <w:kern w:val="2"/>
      <w:sz w:val="21"/>
      <w:szCs w:val="24"/>
      <w:lang w:val="en-US" w:eastAsia="zh-CN" w:bidi="ar-SA"/>
    </w:rPr>
  </w:style>
  <w:style w:type="character" w:customStyle="1" w:styleId="19">
    <w:name w:val="font21"/>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2369</Words>
  <Characters>2453</Characters>
  <Lines>17</Lines>
  <Paragraphs>4</Paragraphs>
  <TotalTime>31</TotalTime>
  <ScaleCrop>false</ScaleCrop>
  <LinksUpToDate>false</LinksUpToDate>
  <CharactersWithSpaces>2454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2024-03-11T07:49:00Z</cp:lastPrinted>
  <dcterms:modified xsi:type="dcterms:W3CDTF">2025-09-30T02:14:36Z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ED195B869FEA4AC68E244FDD2CD8C0EC_13</vt:lpwstr>
  </property>
  <property fmtid="{D5CDD505-2E9C-101B-9397-08002B2CF9AE}" pid="4" name="KSOTemplateDocerSaveRecord">
    <vt:lpwstr>eyJoZGlkIjoiN2Y2YTkzM2Q3ZjFmZDA3MzYxZmZlNThiZjdiNmYxNGYiLCJ1c2VySWQiOiIxMDY5MjgzMDcxIn0=</vt:lpwstr>
  </property>
</Properties>
</file>