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1765B2">
      <w:pPr>
        <w:spacing w:after="312" w:afterLines="100"/>
        <w:rPr>
          <w:rFonts w:ascii="Times New Roman" w:hAnsi="Times New Roman" w:eastAsia="仿宋_GB2312"/>
          <w:kern w:val="0"/>
          <w:sz w:val="32"/>
          <w:szCs w:val="32"/>
        </w:rPr>
      </w:pPr>
      <w:r>
        <w:rPr>
          <w:rFonts w:hint="eastAsia" w:ascii="黑体" w:hAnsi="黑体" w:eastAsia="黑体" w:cs="黑体"/>
          <w:kern w:val="0"/>
          <w:sz w:val="32"/>
          <w:szCs w:val="32"/>
        </w:rPr>
        <w:t>附件</w:t>
      </w:r>
      <w:r>
        <w:rPr>
          <w:rFonts w:ascii="Times New Roman" w:hAnsi="Times New Roman" w:eastAsia="仿宋_GB2312"/>
          <w:kern w:val="0"/>
          <w:sz w:val="32"/>
          <w:szCs w:val="32"/>
        </w:rPr>
        <w:t>1</w:t>
      </w:r>
    </w:p>
    <w:p w14:paraId="6B92AA21">
      <w:pPr>
        <w:rPr>
          <w:rFonts w:ascii="Times New Roman" w:hAnsi="Times New Roman" w:eastAsia="方正小标宋简体"/>
          <w:sz w:val="48"/>
          <w:szCs w:val="48"/>
        </w:rPr>
      </w:pPr>
    </w:p>
    <w:p w14:paraId="7786F580">
      <w:pPr>
        <w:rPr>
          <w:rFonts w:ascii="Times New Roman" w:hAnsi="Times New Roman" w:eastAsia="方正小标宋简体"/>
          <w:sz w:val="48"/>
          <w:szCs w:val="48"/>
        </w:rPr>
      </w:pPr>
    </w:p>
    <w:p w14:paraId="7FF545C0">
      <w:pPr>
        <w:jc w:val="center"/>
        <w:rPr>
          <w:rFonts w:ascii="Times New Roman" w:hAnsi="Times New Roman" w:eastAsia="方正小标宋简体"/>
          <w:sz w:val="48"/>
          <w:szCs w:val="48"/>
        </w:rPr>
      </w:pPr>
      <w:r>
        <w:rPr>
          <w:rFonts w:ascii="Times New Roman" w:hAnsi="Times New Roman" w:eastAsia="方正小标宋简体"/>
          <w:sz w:val="48"/>
          <w:szCs w:val="48"/>
        </w:rPr>
        <w:t>衡阳市市场监督管理局</w:t>
      </w:r>
      <w:r>
        <w:rPr>
          <w:rFonts w:hint="eastAsia" w:ascii="Times New Roman" w:hAnsi="Times New Roman" w:eastAsia="方正小标宋简体"/>
          <w:sz w:val="48"/>
          <w:szCs w:val="48"/>
        </w:rPr>
        <w:t>高新分局</w:t>
      </w:r>
    </w:p>
    <w:p w14:paraId="38EC17F7">
      <w:pPr>
        <w:jc w:val="center"/>
        <w:rPr>
          <w:rFonts w:ascii="Times New Roman" w:hAnsi="Times New Roman" w:eastAsia="方正小标宋简体"/>
          <w:sz w:val="48"/>
          <w:szCs w:val="48"/>
        </w:rPr>
      </w:pPr>
      <w:r>
        <w:rPr>
          <w:rFonts w:ascii="Times New Roman" w:hAnsi="Times New Roman" w:eastAsia="方正小标宋简体"/>
          <w:sz w:val="48"/>
          <w:szCs w:val="48"/>
        </w:rPr>
        <w:t>部门整体支出绩效自评报告</w:t>
      </w:r>
    </w:p>
    <w:p w14:paraId="5EA5AB1C">
      <w:pPr>
        <w:jc w:val="center"/>
        <w:rPr>
          <w:rFonts w:ascii="Times New Roman" w:hAnsi="Times New Roman" w:eastAsia="方正小标宋简体"/>
          <w:sz w:val="36"/>
          <w:szCs w:val="36"/>
        </w:rPr>
      </w:pPr>
      <w:r>
        <w:rPr>
          <w:rFonts w:hint="eastAsia" w:ascii="Times New Roman" w:hAnsi="Times New Roman" w:eastAsia="方正小标宋简体"/>
          <w:sz w:val="36"/>
          <w:szCs w:val="36"/>
        </w:rPr>
        <w:t>（</w:t>
      </w:r>
      <w:r>
        <w:rPr>
          <w:rFonts w:ascii="Times New Roman" w:hAnsi="Times New Roman" w:eastAsia="方正小标宋简体"/>
          <w:sz w:val="36"/>
          <w:szCs w:val="36"/>
        </w:rPr>
        <w:t>202</w:t>
      </w:r>
      <w:r>
        <w:rPr>
          <w:rFonts w:hint="eastAsia" w:ascii="Times New Roman" w:hAnsi="Times New Roman" w:eastAsia="方正小标宋简体"/>
          <w:sz w:val="36"/>
          <w:szCs w:val="36"/>
          <w:lang w:val="en-US" w:eastAsia="zh-CN"/>
        </w:rPr>
        <w:t>4</w:t>
      </w:r>
      <w:r>
        <w:rPr>
          <w:rFonts w:ascii="Times New Roman" w:hAnsi="Times New Roman" w:eastAsia="方正小标宋简体"/>
          <w:sz w:val="36"/>
          <w:szCs w:val="36"/>
        </w:rPr>
        <w:t>年度</w:t>
      </w:r>
      <w:r>
        <w:rPr>
          <w:rFonts w:hint="eastAsia" w:ascii="Times New Roman" w:hAnsi="Times New Roman" w:eastAsia="方正小标宋简体"/>
          <w:sz w:val="36"/>
          <w:szCs w:val="36"/>
        </w:rPr>
        <w:t>）</w:t>
      </w:r>
    </w:p>
    <w:p w14:paraId="1191610B">
      <w:pPr>
        <w:jc w:val="center"/>
        <w:rPr>
          <w:rFonts w:ascii="Times New Roman" w:hAnsi="Times New Roman" w:eastAsia="黑体"/>
          <w:sz w:val="32"/>
          <w:szCs w:val="32"/>
        </w:rPr>
      </w:pPr>
    </w:p>
    <w:p w14:paraId="6ABAC754">
      <w:pPr>
        <w:jc w:val="center"/>
        <w:rPr>
          <w:rFonts w:ascii="Times New Roman" w:hAnsi="Times New Roman" w:eastAsia="黑体"/>
          <w:sz w:val="32"/>
          <w:szCs w:val="32"/>
        </w:rPr>
      </w:pPr>
    </w:p>
    <w:p w14:paraId="46090F8E">
      <w:pPr>
        <w:jc w:val="center"/>
        <w:rPr>
          <w:rFonts w:ascii="Times New Roman" w:hAnsi="Times New Roman" w:eastAsia="黑体"/>
          <w:sz w:val="32"/>
          <w:szCs w:val="32"/>
        </w:rPr>
      </w:pPr>
    </w:p>
    <w:p w14:paraId="1159CCCF">
      <w:pPr>
        <w:jc w:val="center"/>
        <w:rPr>
          <w:rFonts w:ascii="Times New Roman" w:hAnsi="Times New Roman" w:eastAsia="黑体"/>
          <w:sz w:val="32"/>
          <w:szCs w:val="32"/>
        </w:rPr>
      </w:pPr>
    </w:p>
    <w:p w14:paraId="5302D524">
      <w:pPr>
        <w:rPr>
          <w:rFonts w:ascii="Times New Roman" w:hAnsi="Times New Roman" w:eastAsia="黑体"/>
          <w:sz w:val="32"/>
          <w:szCs w:val="32"/>
        </w:rPr>
      </w:pPr>
    </w:p>
    <w:p w14:paraId="34547B2B">
      <w:pPr>
        <w:jc w:val="center"/>
        <w:rPr>
          <w:rFonts w:ascii="Times New Roman" w:hAnsi="Times New Roman"/>
          <w:sz w:val="36"/>
          <w:szCs w:val="36"/>
        </w:rPr>
      </w:pPr>
    </w:p>
    <w:p w14:paraId="13426ECB">
      <w:pPr>
        <w:jc w:val="center"/>
        <w:rPr>
          <w:rFonts w:ascii="Times New Roman" w:hAnsi="Times New Roman"/>
          <w:sz w:val="36"/>
          <w:szCs w:val="36"/>
        </w:rPr>
      </w:pPr>
    </w:p>
    <w:p w14:paraId="36FD99F9">
      <w:pPr>
        <w:jc w:val="center"/>
        <w:rPr>
          <w:rFonts w:ascii="Times New Roman" w:hAnsi="Times New Roman"/>
          <w:sz w:val="36"/>
          <w:szCs w:val="36"/>
        </w:rPr>
      </w:pPr>
    </w:p>
    <w:p w14:paraId="49CFF874">
      <w:pPr>
        <w:jc w:val="center"/>
        <w:rPr>
          <w:rFonts w:ascii="Times New Roman" w:hAnsi="Times New Roman"/>
          <w:sz w:val="36"/>
          <w:szCs w:val="36"/>
        </w:rPr>
      </w:pPr>
      <w:r>
        <w:rPr>
          <w:rFonts w:ascii="Times New Roman" w:hAnsi="Times New Roman"/>
          <w:sz w:val="36"/>
          <w:szCs w:val="36"/>
        </w:rPr>
        <w:t>单位名称</w:t>
      </w:r>
      <w:r>
        <w:rPr>
          <w:rFonts w:hint="eastAsia" w:ascii="Times New Roman" w:hAnsi="Times New Roman"/>
          <w:sz w:val="36"/>
          <w:szCs w:val="36"/>
        </w:rPr>
        <w:t>：（盖章）</w:t>
      </w:r>
    </w:p>
    <w:p w14:paraId="045FC9F9">
      <w:pPr>
        <w:jc w:val="center"/>
        <w:rPr>
          <w:rFonts w:ascii="Times New Roman" w:hAnsi="Times New Roman" w:eastAsia="黑体"/>
          <w:sz w:val="36"/>
          <w:szCs w:val="36"/>
        </w:rPr>
      </w:pPr>
      <w:r>
        <w:rPr>
          <w:rFonts w:hint="eastAsia" w:ascii="Times New Roman" w:hAnsi="Times New Roman"/>
          <w:sz w:val="36"/>
          <w:szCs w:val="36"/>
        </w:rPr>
        <w:t>主要负责人签字</w:t>
      </w:r>
      <w:r>
        <w:rPr>
          <w:rFonts w:ascii="Times New Roman" w:hAnsi="Times New Roman"/>
          <w:sz w:val="36"/>
          <w:szCs w:val="36"/>
        </w:rPr>
        <w:t>：</w:t>
      </w:r>
    </w:p>
    <w:p w14:paraId="13F5FE29">
      <w:pPr>
        <w:jc w:val="center"/>
        <w:rPr>
          <w:rFonts w:ascii="Times New Roman" w:hAnsi="Times New Roman" w:eastAsia="黑体"/>
          <w:sz w:val="36"/>
          <w:szCs w:val="36"/>
        </w:rPr>
      </w:pPr>
    </w:p>
    <w:p w14:paraId="0E56007B">
      <w:pPr>
        <w:jc w:val="center"/>
        <w:rPr>
          <w:rFonts w:ascii="Times New Roman" w:hAnsi="Times New Roman" w:eastAsia="黑体"/>
          <w:sz w:val="32"/>
          <w:szCs w:val="32"/>
        </w:rPr>
      </w:pPr>
      <w:r>
        <w:rPr>
          <w:rFonts w:hint="eastAsia" w:ascii="Times New Roman" w:hAnsi="Times New Roman" w:eastAsia="黑体"/>
          <w:sz w:val="32"/>
          <w:szCs w:val="32"/>
        </w:rPr>
        <w:t>202</w:t>
      </w:r>
      <w:r>
        <w:rPr>
          <w:rFonts w:hint="eastAsia" w:ascii="Times New Roman" w:hAnsi="Times New Roman" w:eastAsia="黑体"/>
          <w:sz w:val="32"/>
          <w:szCs w:val="32"/>
          <w:lang w:val="en-US" w:eastAsia="zh-CN"/>
        </w:rPr>
        <w:t>4</w:t>
      </w:r>
      <w:r>
        <w:rPr>
          <w:rFonts w:ascii="Times New Roman" w:hAnsi="Times New Roman" w:eastAsia="黑体"/>
          <w:sz w:val="32"/>
          <w:szCs w:val="32"/>
        </w:rPr>
        <w:t xml:space="preserve">年 </w:t>
      </w:r>
      <w:r>
        <w:rPr>
          <w:rFonts w:hint="eastAsia" w:ascii="Times New Roman" w:hAnsi="Times New Roman" w:eastAsia="黑体"/>
          <w:sz w:val="32"/>
          <w:szCs w:val="32"/>
        </w:rPr>
        <w:t>0</w:t>
      </w:r>
      <w:r>
        <w:rPr>
          <w:rFonts w:hint="eastAsia" w:ascii="Times New Roman" w:hAnsi="Times New Roman" w:eastAsia="黑体"/>
          <w:sz w:val="32"/>
          <w:szCs w:val="32"/>
          <w:lang w:val="en-US" w:eastAsia="zh-CN"/>
        </w:rPr>
        <w:t>2</w:t>
      </w:r>
      <w:r>
        <w:rPr>
          <w:rFonts w:ascii="Times New Roman" w:hAnsi="Times New Roman" w:eastAsia="黑体"/>
          <w:sz w:val="32"/>
          <w:szCs w:val="32"/>
        </w:rPr>
        <w:t xml:space="preserve">月 </w:t>
      </w:r>
      <w:r>
        <w:rPr>
          <w:rFonts w:hint="eastAsia" w:ascii="Times New Roman" w:hAnsi="Times New Roman" w:eastAsia="黑体"/>
          <w:sz w:val="32"/>
          <w:szCs w:val="32"/>
          <w:lang w:val="en-US" w:eastAsia="zh-CN"/>
        </w:rPr>
        <w:t>20</w:t>
      </w:r>
      <w:r>
        <w:rPr>
          <w:rFonts w:ascii="Times New Roman" w:hAnsi="Times New Roman" w:eastAsia="黑体"/>
          <w:sz w:val="32"/>
          <w:szCs w:val="32"/>
        </w:rPr>
        <w:t>日</w:t>
      </w:r>
    </w:p>
    <w:p w14:paraId="385F7B40">
      <w:pPr>
        <w:jc w:val="center"/>
        <w:rPr>
          <w:rFonts w:ascii="Times New Roman" w:hAnsi="Times New Roman" w:eastAsia="黑体"/>
          <w:sz w:val="32"/>
          <w:szCs w:val="32"/>
        </w:rPr>
      </w:pPr>
    </w:p>
    <w:p w14:paraId="7A6DB305">
      <w:pPr>
        <w:spacing w:line="600" w:lineRule="exact"/>
        <w:rPr>
          <w:rFonts w:ascii="Times New Roman" w:hAnsi="Times New Roman" w:eastAsia="方正小标宋简体"/>
          <w:sz w:val="44"/>
          <w:szCs w:val="44"/>
        </w:rPr>
      </w:pPr>
    </w:p>
    <w:p w14:paraId="4BED7281">
      <w:pPr>
        <w:spacing w:line="600" w:lineRule="exact"/>
        <w:jc w:val="center"/>
        <w:rPr>
          <w:rFonts w:ascii="Times New Roman" w:hAnsi="Times New Roman" w:eastAsia="方正小标宋简体"/>
          <w:sz w:val="44"/>
          <w:szCs w:val="44"/>
        </w:rPr>
      </w:pPr>
    </w:p>
    <w:p w14:paraId="40D41DD0">
      <w:pPr>
        <w:spacing w:line="600" w:lineRule="exact"/>
        <w:jc w:val="center"/>
        <w:rPr>
          <w:rFonts w:ascii="Times New Roman" w:hAnsi="Times New Roman" w:eastAsia="方正小标宋简体"/>
          <w:sz w:val="44"/>
          <w:szCs w:val="44"/>
        </w:rPr>
      </w:pPr>
      <w:r>
        <w:rPr>
          <w:rFonts w:ascii="Times New Roman" w:hAnsi="Times New Roman" w:eastAsia="方正小标宋简体"/>
          <w:sz w:val="44"/>
          <w:szCs w:val="44"/>
        </w:rPr>
        <w:t>部门整体支出绩效自评报告</w:t>
      </w:r>
    </w:p>
    <w:p w14:paraId="57EAA20C">
      <w:pPr>
        <w:rPr>
          <w:rFonts w:ascii="Times New Roman" w:hAnsi="Times New Roman" w:eastAsia="方正小标宋_GBK"/>
          <w:sz w:val="32"/>
          <w:szCs w:val="32"/>
        </w:rPr>
      </w:pPr>
    </w:p>
    <w:p w14:paraId="26D4D920">
      <w:pPr>
        <w:pStyle w:val="17"/>
        <w:widowControl/>
        <w:ind w:firstLine="640"/>
        <w:rPr>
          <w:rFonts w:eastAsia="黑体"/>
          <w:sz w:val="32"/>
          <w:szCs w:val="32"/>
        </w:rPr>
      </w:pPr>
      <w:r>
        <w:rPr>
          <w:rFonts w:eastAsia="黑体"/>
          <w:sz w:val="32"/>
          <w:szCs w:val="32"/>
        </w:rPr>
        <w:t>一、部门、单位基本情况</w:t>
      </w:r>
    </w:p>
    <w:p w14:paraId="0F301642">
      <w:pPr>
        <w:widowControl/>
        <w:spacing w:line="600" w:lineRule="exact"/>
        <w:ind w:firstLine="560" w:firstLineChars="200"/>
        <w:rPr>
          <w:rFonts w:ascii="宋体" w:hAnsi="宋体"/>
          <w:sz w:val="28"/>
          <w:szCs w:val="28"/>
        </w:rPr>
      </w:pPr>
      <w:r>
        <w:rPr>
          <w:rFonts w:hint="eastAsia" w:ascii="宋体" w:hAnsi="宋体"/>
          <w:sz w:val="28"/>
          <w:szCs w:val="28"/>
        </w:rPr>
        <w:t>衡阳市市场监督管理局</w:t>
      </w:r>
      <w:r>
        <w:rPr>
          <w:rFonts w:hint="eastAsia" w:ascii="宋体" w:hAnsi="宋体"/>
          <w:sz w:val="28"/>
          <w:szCs w:val="28"/>
          <w:lang w:eastAsia="zh-CN"/>
        </w:rPr>
        <w:t>高新分局</w:t>
      </w:r>
      <w:r>
        <w:rPr>
          <w:rFonts w:hint="eastAsia" w:ascii="宋体" w:hAnsi="宋体"/>
          <w:sz w:val="28"/>
          <w:szCs w:val="28"/>
        </w:rPr>
        <w:t>是衡阳市市场监管工作部门，贯彻落实党中央关于市场监督管理工作的方针政策和决策部署，全面贯彻落实市委、市局和高新区管委会关于市场监督管理工作的部署要求，在履行职责过程中坚持和加强党对市场监督管理工作的集中统一领导。根据《衡阳市市场监督管理局园区分局职能配置、内设机构和人员编制规定》文件，本部门主要职责是：</w:t>
      </w:r>
    </w:p>
    <w:p w14:paraId="5A96F7FE">
      <w:pPr>
        <w:widowControl/>
        <w:spacing w:line="600" w:lineRule="exact"/>
        <w:ind w:firstLine="560" w:firstLineChars="200"/>
        <w:rPr>
          <w:rFonts w:ascii="宋体" w:hAnsi="宋体"/>
          <w:sz w:val="28"/>
          <w:szCs w:val="28"/>
        </w:rPr>
      </w:pPr>
      <w:r>
        <w:rPr>
          <w:rFonts w:hint="eastAsia" w:ascii="宋体" w:hAnsi="宋体"/>
          <w:sz w:val="28"/>
          <w:szCs w:val="28"/>
        </w:rPr>
        <w:t>负责市场监督管理；负责市场主体统一登记注册；指导市场监管综合执法工作；负责食品、药品、化妆品安全监督管理；负责特种设备安全监督管理；负责消费维权工作；负责保护知识产权；根据授权开展反垄断的相关工作等。</w:t>
      </w:r>
    </w:p>
    <w:p w14:paraId="50179C17">
      <w:pPr>
        <w:widowControl/>
        <w:spacing w:line="600" w:lineRule="exact"/>
        <w:ind w:firstLine="560" w:firstLineChars="200"/>
        <w:rPr>
          <w:rFonts w:ascii="宋体" w:hAnsi="宋体"/>
          <w:sz w:val="28"/>
          <w:szCs w:val="28"/>
        </w:rPr>
      </w:pPr>
      <w:r>
        <w:rPr>
          <w:rFonts w:hint="eastAsia" w:ascii="宋体" w:hAnsi="宋体"/>
          <w:sz w:val="28"/>
          <w:szCs w:val="28"/>
        </w:rPr>
        <w:t>衡阳市市场监督管理局</w:t>
      </w:r>
      <w:r>
        <w:rPr>
          <w:rFonts w:hint="eastAsia" w:ascii="宋体" w:hAnsi="宋体"/>
          <w:sz w:val="28"/>
          <w:szCs w:val="28"/>
          <w:lang w:eastAsia="zh-CN"/>
        </w:rPr>
        <w:t>高新分局</w:t>
      </w:r>
      <w:r>
        <w:rPr>
          <w:rFonts w:hint="eastAsia" w:ascii="宋体" w:hAnsi="宋体"/>
          <w:sz w:val="28"/>
          <w:szCs w:val="28"/>
        </w:rPr>
        <w:t>部门为2021年新二级独立核算单位，总编制数36人，年末实有在职人员3</w:t>
      </w:r>
      <w:r>
        <w:rPr>
          <w:rFonts w:hint="eastAsia" w:ascii="宋体" w:hAnsi="宋体"/>
          <w:sz w:val="28"/>
          <w:szCs w:val="28"/>
          <w:lang w:val="en-US" w:eastAsia="zh-CN"/>
        </w:rPr>
        <w:t>2</w:t>
      </w:r>
      <w:r>
        <w:rPr>
          <w:rFonts w:hint="eastAsia" w:ascii="宋体" w:hAnsi="宋体"/>
          <w:sz w:val="28"/>
          <w:szCs w:val="28"/>
        </w:rPr>
        <w:t>人（行政编制35人，事业编制1人）。离退休1</w:t>
      </w:r>
      <w:r>
        <w:rPr>
          <w:rFonts w:hint="eastAsia" w:ascii="宋体" w:hAnsi="宋体"/>
          <w:sz w:val="28"/>
          <w:szCs w:val="28"/>
          <w:lang w:val="en-US" w:eastAsia="zh-CN"/>
        </w:rPr>
        <w:t>3</w:t>
      </w:r>
      <w:r>
        <w:rPr>
          <w:rFonts w:hint="eastAsia" w:ascii="宋体" w:hAnsi="宋体"/>
          <w:sz w:val="28"/>
          <w:szCs w:val="28"/>
        </w:rPr>
        <w:t>人（离休0人，退休1</w:t>
      </w:r>
      <w:r>
        <w:rPr>
          <w:rFonts w:hint="eastAsia" w:ascii="宋体" w:hAnsi="宋体"/>
          <w:sz w:val="28"/>
          <w:szCs w:val="28"/>
          <w:lang w:val="en-US" w:eastAsia="zh-CN"/>
        </w:rPr>
        <w:t>3</w:t>
      </w:r>
      <w:r>
        <w:rPr>
          <w:rFonts w:hint="eastAsia" w:ascii="宋体" w:hAnsi="宋体"/>
          <w:sz w:val="28"/>
          <w:szCs w:val="28"/>
        </w:rPr>
        <w:t>人）。</w:t>
      </w:r>
    </w:p>
    <w:p w14:paraId="37EEE6E2">
      <w:pPr>
        <w:pStyle w:val="17"/>
        <w:widowControl/>
        <w:ind w:firstLine="640"/>
        <w:rPr>
          <w:rFonts w:eastAsia="黑体"/>
          <w:sz w:val="32"/>
          <w:szCs w:val="32"/>
        </w:rPr>
      </w:pPr>
    </w:p>
    <w:p w14:paraId="26B2D1D4">
      <w:pPr>
        <w:pStyle w:val="17"/>
        <w:widowControl/>
        <w:ind w:firstLine="640"/>
        <w:rPr>
          <w:rFonts w:eastAsia="黑体"/>
          <w:sz w:val="32"/>
          <w:szCs w:val="32"/>
        </w:rPr>
      </w:pPr>
    </w:p>
    <w:p w14:paraId="6B55B35A">
      <w:pPr>
        <w:pStyle w:val="17"/>
        <w:widowControl/>
        <w:ind w:firstLine="640"/>
        <w:rPr>
          <w:rFonts w:eastAsia="黑体"/>
          <w:sz w:val="32"/>
          <w:szCs w:val="32"/>
        </w:rPr>
      </w:pPr>
    </w:p>
    <w:p w14:paraId="6CFB44BC">
      <w:pPr>
        <w:pStyle w:val="17"/>
        <w:widowControl/>
        <w:ind w:firstLine="640"/>
        <w:rPr>
          <w:rFonts w:eastAsia="黑体"/>
          <w:sz w:val="32"/>
          <w:szCs w:val="32"/>
        </w:rPr>
      </w:pPr>
    </w:p>
    <w:p w14:paraId="7590B4B3">
      <w:pPr>
        <w:pStyle w:val="17"/>
        <w:widowControl/>
        <w:ind w:firstLine="640"/>
        <w:rPr>
          <w:rFonts w:hint="eastAsia" w:eastAsia="黑体"/>
          <w:sz w:val="32"/>
          <w:szCs w:val="32"/>
        </w:rPr>
      </w:pPr>
    </w:p>
    <w:p w14:paraId="1165F0F3">
      <w:pPr>
        <w:pStyle w:val="17"/>
        <w:widowControl/>
        <w:ind w:firstLine="640"/>
        <w:rPr>
          <w:rFonts w:eastAsia="黑体"/>
          <w:sz w:val="32"/>
          <w:szCs w:val="32"/>
        </w:rPr>
      </w:pPr>
    </w:p>
    <w:p w14:paraId="23E6B8CF">
      <w:pPr>
        <w:pStyle w:val="17"/>
        <w:widowControl/>
        <w:ind w:firstLine="640"/>
        <w:rPr>
          <w:rFonts w:eastAsia="黑体"/>
          <w:sz w:val="32"/>
          <w:szCs w:val="32"/>
        </w:rPr>
      </w:pPr>
    </w:p>
    <w:p w14:paraId="4CF9DF64">
      <w:pPr>
        <w:pStyle w:val="17"/>
        <w:widowControl/>
        <w:ind w:firstLine="640"/>
        <w:rPr>
          <w:rFonts w:eastAsia="黑体"/>
          <w:sz w:val="32"/>
          <w:szCs w:val="32"/>
        </w:rPr>
      </w:pPr>
      <w:r>
        <w:rPr>
          <w:rFonts w:eastAsia="黑体"/>
          <w:sz w:val="32"/>
          <w:szCs w:val="32"/>
        </w:rPr>
        <w:t>二、一般公共预算支出情况</w:t>
      </w:r>
    </w:p>
    <w:p w14:paraId="1709206B">
      <w:pPr>
        <w:pStyle w:val="17"/>
        <w:widowControl/>
        <w:ind w:firstLine="643"/>
        <w:rPr>
          <w:rFonts w:eastAsia="楷体"/>
          <w:b/>
          <w:sz w:val="32"/>
          <w:szCs w:val="32"/>
        </w:rPr>
      </w:pPr>
      <w:r>
        <w:rPr>
          <w:rFonts w:eastAsia="楷体"/>
          <w:b/>
          <w:sz w:val="32"/>
          <w:szCs w:val="32"/>
        </w:rPr>
        <w:t>（一）基本支出情况</w:t>
      </w:r>
    </w:p>
    <w:p w14:paraId="02312637">
      <w:pPr>
        <w:pStyle w:val="17"/>
        <w:widowControl/>
        <w:spacing w:line="600" w:lineRule="exact"/>
        <w:ind w:firstLine="560"/>
        <w:rPr>
          <w:rFonts w:ascii="宋体" w:hAnsi="宋体"/>
          <w:sz w:val="28"/>
          <w:szCs w:val="28"/>
        </w:rPr>
      </w:pPr>
      <w:r>
        <w:rPr>
          <w:rFonts w:hint="eastAsia" w:ascii="宋体" w:hAnsi="宋体"/>
          <w:sz w:val="28"/>
          <w:szCs w:val="28"/>
        </w:rPr>
        <w:t>2023年基本支出</w:t>
      </w:r>
      <w:r>
        <w:rPr>
          <w:rFonts w:hint="eastAsia" w:ascii="宋体" w:hAnsi="宋体"/>
          <w:sz w:val="28"/>
          <w:szCs w:val="28"/>
          <w:lang w:val="en-US" w:eastAsia="zh-CN"/>
        </w:rPr>
        <w:t>684.85</w:t>
      </w:r>
      <w:r>
        <w:rPr>
          <w:rFonts w:hint="eastAsia" w:ascii="宋体" w:hAnsi="宋体"/>
          <w:sz w:val="28"/>
          <w:szCs w:val="28"/>
        </w:rPr>
        <w:t>万元，其中：人员经费支出</w:t>
      </w:r>
      <w:r>
        <w:rPr>
          <w:rFonts w:hint="eastAsia" w:ascii="宋体" w:hAnsi="宋体"/>
          <w:sz w:val="28"/>
          <w:szCs w:val="28"/>
          <w:lang w:val="en-US" w:eastAsia="zh-CN"/>
        </w:rPr>
        <w:t>555.73</w:t>
      </w:r>
      <w:r>
        <w:rPr>
          <w:rFonts w:hint="eastAsia" w:ascii="宋体" w:hAnsi="宋体"/>
          <w:sz w:val="28"/>
          <w:szCs w:val="28"/>
        </w:rPr>
        <w:t>万元，日常公用经费支出</w:t>
      </w:r>
      <w:r>
        <w:rPr>
          <w:rFonts w:hint="eastAsia" w:ascii="宋体" w:hAnsi="宋体"/>
          <w:sz w:val="28"/>
          <w:szCs w:val="28"/>
          <w:lang w:val="en-US" w:eastAsia="zh-CN"/>
        </w:rPr>
        <w:t>129.38</w:t>
      </w:r>
      <w:r>
        <w:rPr>
          <w:rFonts w:hint="eastAsia" w:ascii="宋体" w:hAnsi="宋体"/>
          <w:sz w:val="28"/>
          <w:szCs w:val="28"/>
        </w:rPr>
        <w:t>万元，指标变动情况：</w:t>
      </w:r>
      <w:r>
        <w:rPr>
          <w:rStyle w:val="20"/>
          <w:rFonts w:ascii="宋体" w:hAnsi="宋体"/>
          <w:sz w:val="28"/>
          <w:szCs w:val="28"/>
        </w:rPr>
        <w:t>（去年决算数 </w:t>
      </w:r>
      <w:r>
        <w:rPr>
          <w:rFonts w:hint="eastAsia" w:ascii="宋体" w:hAnsi="宋体"/>
          <w:sz w:val="28"/>
          <w:szCs w:val="28"/>
        </w:rPr>
        <w:t>668.09</w:t>
      </w:r>
      <w:r>
        <w:rPr>
          <w:rStyle w:val="20"/>
          <w:rFonts w:ascii="宋体" w:hAnsi="宋体"/>
          <w:sz w:val="28"/>
          <w:szCs w:val="28"/>
        </w:rPr>
        <w:t xml:space="preserve"> 万元） </w:t>
      </w:r>
      <w:r>
        <w:rPr>
          <w:rFonts w:ascii="宋体" w:hAnsi="宋体"/>
          <w:sz w:val="28"/>
          <w:szCs w:val="28"/>
        </w:rPr>
        <w:t>与上年相比支出</w:t>
      </w:r>
      <w:r>
        <w:rPr>
          <w:rFonts w:hint="eastAsia" w:ascii="宋体" w:hAnsi="宋体"/>
          <w:sz w:val="28"/>
          <w:szCs w:val="28"/>
          <w:lang w:val="en-US" w:eastAsia="zh-CN"/>
        </w:rPr>
        <w:t>增加16.76</w:t>
      </w:r>
      <w:r>
        <w:rPr>
          <w:rFonts w:ascii="宋体" w:hAnsi="宋体"/>
          <w:sz w:val="28"/>
          <w:szCs w:val="28"/>
        </w:rPr>
        <w:t>万元， 增长</w:t>
      </w:r>
      <w:r>
        <w:rPr>
          <w:rFonts w:hint="eastAsia" w:ascii="宋体" w:hAnsi="宋体"/>
          <w:sz w:val="28"/>
          <w:szCs w:val="28"/>
          <w:lang w:val="en-US" w:eastAsia="zh-CN"/>
        </w:rPr>
        <w:t>2</w:t>
      </w:r>
      <w:r>
        <w:rPr>
          <w:rFonts w:ascii="宋体" w:hAnsi="宋体"/>
          <w:sz w:val="28"/>
          <w:szCs w:val="28"/>
        </w:rPr>
        <w:t>%。</w:t>
      </w:r>
    </w:p>
    <w:p w14:paraId="0F9030B4">
      <w:pPr>
        <w:pStyle w:val="17"/>
        <w:widowControl/>
        <w:ind w:firstLine="643"/>
        <w:rPr>
          <w:rFonts w:eastAsia="楷体"/>
          <w:b/>
          <w:sz w:val="32"/>
          <w:szCs w:val="32"/>
        </w:rPr>
      </w:pPr>
    </w:p>
    <w:p w14:paraId="3A4E1F34">
      <w:pPr>
        <w:pStyle w:val="17"/>
        <w:widowControl/>
        <w:ind w:firstLine="643"/>
        <w:rPr>
          <w:rFonts w:eastAsia="楷体"/>
          <w:b/>
          <w:sz w:val="32"/>
          <w:szCs w:val="32"/>
        </w:rPr>
      </w:pPr>
      <w:r>
        <w:rPr>
          <w:rFonts w:eastAsia="楷体"/>
          <w:b/>
          <w:sz w:val="32"/>
          <w:szCs w:val="32"/>
        </w:rPr>
        <w:t>（二）项目支出情况</w:t>
      </w:r>
    </w:p>
    <w:p w14:paraId="619251D7">
      <w:pPr>
        <w:widowControl/>
        <w:ind w:firstLine="640" w:firstLineChars="200"/>
        <w:rPr>
          <w:rFonts w:ascii="Times New Roman" w:hAnsi="Times New Roman" w:eastAsia="仿宋"/>
          <w:sz w:val="32"/>
          <w:szCs w:val="32"/>
        </w:rPr>
      </w:pP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年度一般公共预算项目支出</w:t>
      </w:r>
      <w:r>
        <w:rPr>
          <w:rFonts w:hint="eastAsia" w:ascii="Times New Roman" w:hAnsi="Times New Roman" w:eastAsia="仿宋"/>
          <w:sz w:val="32"/>
          <w:szCs w:val="32"/>
          <w:lang w:val="en-US" w:eastAsia="zh-CN"/>
        </w:rPr>
        <w:t>31.82</w:t>
      </w:r>
      <w:r>
        <w:rPr>
          <w:rFonts w:hint="eastAsia" w:ascii="Times New Roman" w:hAnsi="Times New Roman" w:eastAsia="仿宋"/>
          <w:sz w:val="32"/>
          <w:szCs w:val="32"/>
        </w:rPr>
        <w:t>万元。</w:t>
      </w:r>
    </w:p>
    <w:p w14:paraId="2F6BC76C">
      <w:pPr>
        <w:pStyle w:val="17"/>
        <w:widowControl/>
        <w:ind w:firstLine="640"/>
        <w:rPr>
          <w:rFonts w:eastAsia="黑体"/>
          <w:sz w:val="32"/>
          <w:szCs w:val="32"/>
        </w:rPr>
      </w:pPr>
      <w:r>
        <w:rPr>
          <w:rFonts w:eastAsia="黑体"/>
          <w:sz w:val="32"/>
          <w:szCs w:val="32"/>
        </w:rPr>
        <w:t>三、政府性基金预算支出情况</w:t>
      </w:r>
    </w:p>
    <w:p w14:paraId="1CBFB95B">
      <w:pPr>
        <w:pStyle w:val="17"/>
        <w:widowControl/>
        <w:ind w:firstLine="640"/>
        <w:rPr>
          <w:rFonts w:eastAsia="黑体"/>
          <w:sz w:val="32"/>
          <w:szCs w:val="32"/>
        </w:rPr>
      </w:pPr>
      <w:r>
        <w:rPr>
          <w:rFonts w:hint="eastAsia" w:eastAsia="仿宋"/>
          <w:sz w:val="32"/>
          <w:szCs w:val="32"/>
        </w:rPr>
        <w:t>202</w:t>
      </w:r>
      <w:r>
        <w:rPr>
          <w:rFonts w:hint="eastAsia" w:eastAsia="仿宋"/>
          <w:sz w:val="32"/>
          <w:szCs w:val="32"/>
          <w:lang w:val="en-US" w:eastAsia="zh-CN"/>
        </w:rPr>
        <w:t xml:space="preserve">4 </w:t>
      </w:r>
      <w:r>
        <w:rPr>
          <w:rFonts w:hint="eastAsia" w:eastAsia="仿宋"/>
          <w:sz w:val="32"/>
          <w:szCs w:val="32"/>
        </w:rPr>
        <w:t>年度无政府性基金预算支出。 无</w:t>
      </w:r>
    </w:p>
    <w:p w14:paraId="6285AE0A">
      <w:pPr>
        <w:pStyle w:val="17"/>
        <w:widowControl/>
        <w:ind w:firstLine="640"/>
        <w:rPr>
          <w:rFonts w:eastAsia="黑体"/>
          <w:sz w:val="32"/>
          <w:szCs w:val="32"/>
        </w:rPr>
      </w:pPr>
      <w:r>
        <w:rPr>
          <w:rFonts w:eastAsia="黑体"/>
          <w:sz w:val="32"/>
          <w:szCs w:val="32"/>
        </w:rPr>
        <w:t>四、国有资本经营预算支出情况</w:t>
      </w:r>
    </w:p>
    <w:p w14:paraId="2CCA59FA">
      <w:pPr>
        <w:pStyle w:val="17"/>
        <w:widowControl/>
        <w:ind w:firstLine="640"/>
        <w:rPr>
          <w:rFonts w:eastAsia="黑体"/>
          <w:sz w:val="32"/>
          <w:szCs w:val="32"/>
        </w:rPr>
      </w:pPr>
      <w:r>
        <w:rPr>
          <w:rFonts w:hint="eastAsia" w:eastAsia="仿宋"/>
          <w:sz w:val="32"/>
          <w:szCs w:val="32"/>
        </w:rPr>
        <w:t>202</w:t>
      </w:r>
      <w:r>
        <w:rPr>
          <w:rFonts w:hint="eastAsia" w:eastAsia="仿宋"/>
          <w:sz w:val="32"/>
          <w:szCs w:val="32"/>
          <w:lang w:val="en-US" w:eastAsia="zh-CN"/>
        </w:rPr>
        <w:t>4</w:t>
      </w:r>
      <w:r>
        <w:rPr>
          <w:rFonts w:hint="eastAsia" w:eastAsia="仿宋"/>
          <w:sz w:val="32"/>
          <w:szCs w:val="32"/>
        </w:rPr>
        <w:t>年度无国有资本经营预算收支。无</w:t>
      </w:r>
    </w:p>
    <w:p w14:paraId="2075904F">
      <w:pPr>
        <w:pStyle w:val="17"/>
        <w:widowControl/>
        <w:ind w:firstLine="640"/>
        <w:rPr>
          <w:rFonts w:eastAsia="黑体"/>
          <w:sz w:val="32"/>
          <w:szCs w:val="32"/>
        </w:rPr>
      </w:pPr>
      <w:r>
        <w:rPr>
          <w:rFonts w:eastAsia="黑体"/>
          <w:sz w:val="32"/>
          <w:szCs w:val="32"/>
        </w:rPr>
        <w:t>五、社会保险基金预算支出情况</w:t>
      </w:r>
    </w:p>
    <w:p w14:paraId="45EF870D">
      <w:pPr>
        <w:pStyle w:val="17"/>
        <w:widowControl/>
        <w:ind w:firstLine="640"/>
        <w:rPr>
          <w:rFonts w:eastAsia="黑体"/>
          <w:sz w:val="32"/>
          <w:szCs w:val="32"/>
        </w:rPr>
      </w:pPr>
      <w:r>
        <w:rPr>
          <w:rFonts w:hint="eastAsia" w:eastAsia="仿宋"/>
          <w:sz w:val="32"/>
          <w:szCs w:val="32"/>
        </w:rPr>
        <w:t>202</w:t>
      </w:r>
      <w:r>
        <w:rPr>
          <w:rFonts w:hint="eastAsia" w:eastAsia="仿宋"/>
          <w:sz w:val="32"/>
          <w:szCs w:val="32"/>
          <w:lang w:val="en-US" w:eastAsia="zh-CN"/>
        </w:rPr>
        <w:t>4</w:t>
      </w:r>
      <w:r>
        <w:rPr>
          <w:rFonts w:hint="eastAsia" w:eastAsia="仿宋"/>
          <w:sz w:val="32"/>
          <w:szCs w:val="32"/>
        </w:rPr>
        <w:t>年度无社会保险基金预算支出。 无</w:t>
      </w:r>
    </w:p>
    <w:p w14:paraId="5B89FC0F">
      <w:pPr>
        <w:keepNext w:val="0"/>
        <w:keepLines w:val="0"/>
        <w:pageBreakBefore w:val="0"/>
        <w:wordWrap/>
        <w:topLinePunct w:val="0"/>
        <w:bidi w:val="0"/>
        <w:spacing w:line="600" w:lineRule="exact"/>
        <w:ind w:firstLine="640" w:firstLineChars="200"/>
        <w:rPr>
          <w:rFonts w:hint="eastAsia" w:ascii="仿宋_GB2312" w:hAnsi="仿宋_GB2312" w:eastAsia="仿宋_GB2312" w:cs="仿宋_GB2312"/>
          <w:color w:val="auto"/>
          <w:sz w:val="32"/>
          <w:szCs w:val="32"/>
        </w:rPr>
      </w:pPr>
      <w:r>
        <w:rPr>
          <w:rFonts w:ascii="Times New Roman" w:hAnsi="Times New Roman" w:eastAsia="黑体"/>
          <w:sz w:val="32"/>
          <w:szCs w:val="32"/>
        </w:rPr>
        <w:t>六、部门整体支出绩效情况</w:t>
      </w:r>
    </w:p>
    <w:p w14:paraId="4F98FB6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年以来，高新分局坚持以习近平新时代中国特色社会主义思想为指导，全面贯彻党的二十大精神，聚焦管委会和省、市局中心工作，立足市场监管职能，有力有序推进行风建设三年攻坚专项行动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理念认识不断深化、思路体系不断清晰、试点创新不断推进、</w:t>
      </w:r>
      <w:r>
        <w:rPr>
          <w:rFonts w:hint="eastAsia" w:ascii="仿宋_GB2312" w:hAnsi="仿宋_GB2312" w:eastAsia="仿宋_GB2312" w:cs="仿宋_GB2312"/>
          <w:color w:val="auto"/>
          <w:sz w:val="32"/>
          <w:szCs w:val="32"/>
          <w:lang w:eastAsia="zh-CN"/>
        </w:rPr>
        <w:t>工作成效</w:t>
      </w:r>
      <w:r>
        <w:rPr>
          <w:rFonts w:hint="eastAsia" w:ascii="仿宋_GB2312" w:hAnsi="仿宋_GB2312" w:eastAsia="仿宋_GB2312" w:cs="仿宋_GB2312"/>
          <w:color w:val="auto"/>
          <w:sz w:val="32"/>
          <w:szCs w:val="32"/>
        </w:rPr>
        <w:t>不断突显。</w:t>
      </w:r>
    </w:p>
    <w:p w14:paraId="463FCFD0">
      <w:pPr>
        <w:keepNext w:val="0"/>
        <w:keepLines w:val="0"/>
        <w:pageBreakBefore w:val="0"/>
        <w:widowControl w:val="0"/>
        <w:kinsoku/>
        <w:wordWrap/>
        <w:overflowPunct/>
        <w:topLinePunct w:val="0"/>
        <w:autoSpaceDE/>
        <w:autoSpaceDN/>
        <w:bidi w:val="0"/>
        <w:adjustRightInd/>
        <w:snapToGrid/>
        <w:spacing w:line="580" w:lineRule="exact"/>
        <w:ind w:firstLine="420" w:firstLineChars="200"/>
        <w:jc w:val="both"/>
        <w:textAlignment w:val="auto"/>
        <w:rPr>
          <w:rFonts w:hint="eastAsia" w:ascii="Times New Roman" w:hAnsi="Times New Roman" w:eastAsia="黑体" w:cs="Times New Roman"/>
          <w:b/>
          <w:bCs/>
          <w:lang w:val="en-US" w:eastAsia="zh-CN"/>
        </w:rPr>
      </w:pPr>
      <w:r>
        <w:rPr>
          <w:rFonts w:hint="eastAsia" w:ascii="Times New Roman" w:hAnsi="Times New Roman" w:eastAsia="黑体" w:cs="Times New Roman"/>
          <w:b/>
          <w:bCs/>
          <w:lang w:val="en-US" w:eastAsia="zh-CN"/>
        </w:rPr>
        <w:t>一、</w:t>
      </w:r>
      <w:r>
        <w:rPr>
          <w:rFonts w:hint="default" w:ascii="Times New Roman" w:hAnsi="Times New Roman" w:eastAsia="黑体" w:cs="Times New Roman"/>
          <w:b/>
          <w:bCs/>
          <w:lang w:val="en-US" w:eastAsia="zh-CN"/>
        </w:rPr>
        <w:t>年度主要工作情况</w:t>
      </w:r>
    </w:p>
    <w:p w14:paraId="458E2DBA">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b/>
          <w:color w:val="auto"/>
          <w:spacing w:val="0"/>
          <w:sz w:val="32"/>
          <w:szCs w:val="32"/>
          <w:u w:val="none"/>
          <w:lang w:val="en-US" w:eastAsia="zh-CN"/>
        </w:rPr>
      </w:pPr>
      <w:r>
        <w:rPr>
          <w:rFonts w:hint="eastAsia" w:ascii="Times New Roman" w:hAnsi="Times New Roman" w:eastAsia="楷体_GB2312" w:cs="Times New Roman"/>
          <w:b/>
          <w:color w:val="auto"/>
          <w:spacing w:val="0"/>
          <w:sz w:val="32"/>
          <w:szCs w:val="32"/>
          <w:u w:val="none"/>
          <w:lang w:eastAsia="zh-CN"/>
        </w:rPr>
        <w:t>（</w:t>
      </w:r>
      <w:r>
        <w:rPr>
          <w:rFonts w:hint="eastAsia" w:ascii="Times New Roman" w:hAnsi="Times New Roman" w:eastAsia="楷体_GB2312" w:cs="Times New Roman"/>
          <w:b/>
          <w:color w:val="auto"/>
          <w:spacing w:val="0"/>
          <w:sz w:val="32"/>
          <w:szCs w:val="32"/>
          <w:u w:val="none"/>
          <w:lang w:val="en-US" w:eastAsia="zh-CN"/>
        </w:rPr>
        <w:t>一</w:t>
      </w:r>
      <w:r>
        <w:rPr>
          <w:rFonts w:hint="eastAsia" w:ascii="Times New Roman" w:hAnsi="Times New Roman" w:eastAsia="楷体_GB2312" w:cs="Times New Roman"/>
          <w:b/>
          <w:color w:val="auto"/>
          <w:spacing w:val="0"/>
          <w:sz w:val="32"/>
          <w:szCs w:val="32"/>
          <w:u w:val="none"/>
          <w:lang w:eastAsia="zh-CN"/>
        </w:rPr>
        <w:t>）优化营商环境，助推市场主体健康发展。</w:t>
      </w:r>
      <w:r>
        <w:rPr>
          <w:rFonts w:hint="eastAsia" w:ascii="Times New Roman" w:hAnsi="Times New Roman" w:eastAsia="仿宋_GB2312" w:cs="Times New Roman"/>
          <w:color w:val="auto"/>
          <w:spacing w:val="0"/>
          <w:sz w:val="32"/>
          <w:szCs w:val="32"/>
          <w:u w:val="none"/>
          <w:lang w:val="en-US" w:eastAsia="zh-CN"/>
        </w:rPr>
        <w:t>坚持深化服务模式改革，以创新驱动赋能营商环境持续优化。</w:t>
      </w:r>
      <w:r>
        <w:rPr>
          <w:rFonts w:hint="eastAsia" w:ascii="Times New Roman" w:hAnsi="Times New Roman" w:eastAsia="仿宋_GB2312" w:cs="Times New Roman"/>
          <w:b/>
          <w:color w:val="auto"/>
          <w:spacing w:val="0"/>
          <w:sz w:val="32"/>
          <w:szCs w:val="32"/>
          <w:u w:val="none"/>
          <w:lang w:val="en-US" w:eastAsia="zh-CN"/>
        </w:rPr>
        <w:t>一是全面简化办事流</w:t>
      </w:r>
      <w:r>
        <w:rPr>
          <w:rFonts w:hint="eastAsia" w:ascii="仿宋_GB2312" w:hAnsi="仿宋_GB2312" w:eastAsia="仿宋_GB2312" w:cs="仿宋_GB2312"/>
          <w:b/>
          <w:bCs/>
          <w:color w:val="auto"/>
          <w:sz w:val="32"/>
          <w:szCs w:val="32"/>
        </w:rPr>
        <w:t>程。</w:t>
      </w:r>
      <w:r>
        <w:rPr>
          <w:rFonts w:hint="eastAsia" w:ascii="Times New Roman" w:hAnsi="Times New Roman" w:eastAsia="仿宋_GB2312" w:cs="Times New Roman"/>
          <w:color w:val="auto"/>
          <w:spacing w:val="0"/>
          <w:sz w:val="32"/>
          <w:szCs w:val="32"/>
          <w:u w:val="none"/>
          <w:lang w:val="en-US" w:eastAsia="zh-CN"/>
        </w:rPr>
        <w:t>大力推进企业开办“一网通办”和个体工商户全程电子化登记；对招商引资重点企业，开辟绿色通道，专人负责，全程帮代办登记注册；加大“照后减证”和简化审批力度，进一步压缩审批时限，降低企业运营成本，以行政审批的“减法”赢得企业发展的“乘法”，降低企业开办成本，受到众多企业点赞。</w:t>
      </w:r>
      <w:r>
        <w:rPr>
          <w:rFonts w:hint="eastAsia" w:ascii="Times New Roman" w:hAnsi="Times New Roman" w:eastAsia="仿宋_GB2312" w:cs="Times New Roman"/>
          <w:b/>
          <w:color w:val="auto"/>
          <w:spacing w:val="0"/>
          <w:sz w:val="32"/>
          <w:szCs w:val="32"/>
          <w:u w:val="none"/>
          <w:lang w:val="en-US" w:eastAsia="zh-CN"/>
        </w:rPr>
        <w:t>二是提升市场准入便利度。</w:t>
      </w:r>
      <w:r>
        <w:rPr>
          <w:rFonts w:hint="eastAsia" w:ascii="Times New Roman" w:hAnsi="Times New Roman" w:eastAsia="仿宋_GB2312" w:cs="Times New Roman"/>
          <w:color w:val="auto"/>
          <w:spacing w:val="0"/>
          <w:sz w:val="32"/>
          <w:szCs w:val="32"/>
          <w:u w:val="none"/>
          <w:lang w:val="en-US" w:eastAsia="zh-CN"/>
        </w:rPr>
        <w:t>以“一照通”改革为主抓手，推动准入准营制度改革走深走实。以《公司法》修订实施为契机，全面推进企业开办标准化规范化，落实全国统一登记管理制度。在实现营业执照和食品经营许可“证照联办”的基础上，探索整合更多联办事项，不断提升政务服务集成能力，努力推动企业“高效办成一件事”清单落实。</w:t>
      </w:r>
      <w:r>
        <w:rPr>
          <w:rFonts w:hint="eastAsia" w:ascii="Times New Roman" w:hAnsi="Times New Roman" w:eastAsia="仿宋_GB2312" w:cs="Times New Roman"/>
          <w:b/>
          <w:color w:val="auto"/>
          <w:spacing w:val="0"/>
          <w:sz w:val="32"/>
          <w:szCs w:val="32"/>
          <w:u w:val="none"/>
          <w:lang w:val="en-US" w:eastAsia="zh-CN"/>
        </w:rPr>
        <w:t>三是大力推进经营主体强身行动。</w:t>
      </w:r>
    </w:p>
    <w:p w14:paraId="7557B477">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0" w:firstLineChars="200"/>
        <w:jc w:val="both"/>
        <w:textAlignment w:val="auto"/>
        <w:rPr>
          <w:rStyle w:val="23"/>
          <w:rFonts w:hint="eastAsia" w:cs="Times New Roman"/>
          <w:kern w:val="2"/>
          <w:sz w:val="32"/>
          <w:szCs w:val="24"/>
          <w:lang w:val="en-US" w:eastAsia="zh-CN" w:bidi="ar-SA"/>
        </w:rPr>
      </w:pPr>
      <w:r>
        <w:rPr>
          <w:rFonts w:hint="eastAsia" w:ascii="Times New Roman" w:hAnsi="Times New Roman" w:eastAsia="楷体_GB2312" w:cs="Times New Roman"/>
          <w:b/>
          <w:color w:val="auto"/>
          <w:spacing w:val="0"/>
          <w:sz w:val="32"/>
          <w:szCs w:val="32"/>
          <w:u w:val="none"/>
        </w:rPr>
        <w:t>（</w:t>
      </w:r>
      <w:r>
        <w:rPr>
          <w:rFonts w:hint="eastAsia" w:ascii="Times New Roman" w:hAnsi="Times New Roman" w:eastAsia="楷体_GB2312" w:cs="Times New Roman"/>
          <w:b/>
          <w:color w:val="auto"/>
          <w:spacing w:val="0"/>
          <w:sz w:val="32"/>
          <w:szCs w:val="32"/>
          <w:u w:val="none"/>
          <w:lang w:val="en-US" w:eastAsia="zh-CN"/>
        </w:rPr>
        <w:t>二</w:t>
      </w:r>
      <w:r>
        <w:rPr>
          <w:rFonts w:hint="eastAsia" w:ascii="Times New Roman" w:hAnsi="Times New Roman" w:eastAsia="楷体_GB2312" w:cs="Times New Roman"/>
          <w:b/>
          <w:color w:val="auto"/>
          <w:spacing w:val="0"/>
          <w:sz w:val="32"/>
          <w:szCs w:val="32"/>
          <w:u w:val="none"/>
        </w:rPr>
        <w:t>）</w:t>
      </w:r>
      <w:r>
        <w:rPr>
          <w:rFonts w:hint="eastAsia" w:ascii="Times New Roman" w:hAnsi="Times New Roman" w:eastAsia="楷体_GB2312" w:cs="Times New Roman"/>
          <w:b/>
          <w:color w:val="auto"/>
          <w:spacing w:val="0"/>
          <w:sz w:val="32"/>
          <w:szCs w:val="32"/>
          <w:u w:val="none"/>
          <w:lang w:eastAsia="zh-CN"/>
        </w:rPr>
        <w:t>维护</w:t>
      </w:r>
      <w:r>
        <w:rPr>
          <w:rFonts w:hint="eastAsia" w:ascii="Times New Roman" w:hAnsi="Times New Roman" w:eastAsia="楷体_GB2312" w:cs="Times New Roman"/>
          <w:b/>
          <w:color w:val="auto"/>
          <w:spacing w:val="0"/>
          <w:sz w:val="32"/>
          <w:szCs w:val="32"/>
          <w:u w:val="none"/>
        </w:rPr>
        <w:t>市场秩序，构建公平竞争的市场环境。</w:t>
      </w:r>
      <w:r>
        <w:rPr>
          <w:rFonts w:hint="eastAsia" w:ascii="Times New Roman" w:hAnsi="Times New Roman" w:eastAsia="仿宋_GB2312" w:cs="Times New Roman"/>
          <w:color w:val="auto"/>
          <w:spacing w:val="0"/>
          <w:sz w:val="32"/>
          <w:szCs w:val="32"/>
          <w:u w:val="none"/>
          <w:lang w:val="en-US" w:eastAsia="zh-CN"/>
        </w:rPr>
        <w:t>既‘放得活’又‘管得住’，以更加公平、更有活力的市场环境，实现资源配置效率最优化和效益最大化。</w:t>
      </w:r>
      <w:r>
        <w:rPr>
          <w:rFonts w:hint="eastAsia" w:ascii="Times New Roman" w:hAnsi="Times New Roman" w:eastAsia="仿宋_GB2312" w:cs="Times New Roman"/>
          <w:b/>
          <w:color w:val="auto"/>
          <w:spacing w:val="0"/>
          <w:sz w:val="32"/>
          <w:szCs w:val="32"/>
          <w:u w:val="none"/>
          <w:lang w:val="en-US" w:eastAsia="zh-CN"/>
        </w:rPr>
        <w:t>一是推进探索包容审慎监管。</w:t>
      </w:r>
      <w:r>
        <w:rPr>
          <w:rFonts w:hint="eastAsia" w:ascii="Times New Roman" w:hAnsi="Times New Roman" w:eastAsia="仿宋_GB2312" w:cs="Times New Roman"/>
          <w:color w:val="auto"/>
          <w:spacing w:val="0"/>
          <w:sz w:val="32"/>
          <w:szCs w:val="32"/>
          <w:u w:val="none"/>
          <w:lang w:val="en-US" w:eastAsia="zh-CN"/>
        </w:rPr>
        <w:t>开展联合检查、综合监管，推动监管方式从“管事项”向“管行业”转变。探索柔性监管方式，完善免罚清单管理制度，细化免罚事项范围。</w:t>
      </w:r>
      <w:r>
        <w:rPr>
          <w:rFonts w:hint="eastAsia" w:ascii="Times New Roman" w:hAnsi="Times New Roman" w:eastAsia="仿宋_GB2312" w:cs="Times New Roman"/>
          <w:b/>
          <w:color w:val="auto"/>
          <w:spacing w:val="0"/>
          <w:sz w:val="32"/>
          <w:szCs w:val="32"/>
          <w:u w:val="none"/>
          <w:lang w:val="en-US" w:eastAsia="zh-CN"/>
        </w:rPr>
        <w:t>二是放心消费强维权</w:t>
      </w:r>
      <w:r>
        <w:rPr>
          <w:rFonts w:hint="eastAsia" w:ascii="仿宋_GB2312" w:hAnsi="仿宋_GB2312" w:eastAsia="仿宋_GB2312" w:cs="仿宋_GB2312"/>
          <w:b/>
          <w:bCs/>
          <w:color w:val="auto"/>
          <w:spacing w:val="12"/>
          <w:kern w:val="2"/>
          <w:sz w:val="32"/>
          <w:szCs w:val="32"/>
          <w:lang w:val="en-US" w:eastAsia="zh-CN" w:bidi="ar"/>
        </w:rPr>
        <w:t>。</w:t>
      </w:r>
      <w:r>
        <w:rPr>
          <w:rFonts w:hint="eastAsia" w:ascii="Times New Roman" w:hAnsi="Times New Roman" w:eastAsia="仿宋_GB2312" w:cs="Times New Roman"/>
          <w:color w:val="auto"/>
          <w:spacing w:val="0"/>
          <w:sz w:val="32"/>
          <w:szCs w:val="32"/>
          <w:u w:val="none"/>
          <w:lang w:val="en-US" w:eastAsia="zh-CN"/>
        </w:rPr>
        <w:t>聚焦消费者投诉热点，以消费者投诉举报“事事有着落，件件有回音”为目标，不断规范处理流程，提高调解质量，做好反馈答复，切实维护消费者合法权益。</w:t>
      </w:r>
    </w:p>
    <w:p w14:paraId="10E2FB1C">
      <w:pPr>
        <w:keepNext w:val="0"/>
        <w:keepLines w:val="0"/>
        <w:pageBreakBefore w:val="0"/>
        <w:widowControl w:val="0"/>
        <w:kinsoku/>
        <w:wordWrap/>
        <w:overflowPunct/>
        <w:topLinePunct w:val="0"/>
        <w:autoSpaceDE/>
        <w:autoSpaceDN/>
        <w:bidi w:val="0"/>
        <w:adjustRightInd/>
        <w:snapToGrid/>
        <w:spacing w:before="0" w:beforeAutospacing="0" w:after="0" w:afterAutospacing="0" w:line="580" w:lineRule="exact"/>
        <w:ind w:firstLine="640" w:firstLineChars="200"/>
        <w:jc w:val="both"/>
        <w:textAlignment w:val="baseline"/>
        <w:rPr>
          <w:rFonts w:hint="eastAsia" w:ascii="Times New Roman" w:hAnsi="Times New Roman" w:eastAsia="仿宋_GB2312" w:cs="Times New Roman"/>
          <w:color w:val="auto"/>
          <w:spacing w:val="0"/>
          <w:kern w:val="2"/>
          <w:sz w:val="32"/>
          <w:szCs w:val="32"/>
          <w:u w:val="none"/>
          <w:lang w:val="en-US" w:eastAsia="zh-CN" w:bidi="ar-SA"/>
        </w:rPr>
      </w:pPr>
      <w:r>
        <w:rPr>
          <w:rFonts w:hint="eastAsia" w:ascii="Times New Roman" w:hAnsi="Times New Roman" w:eastAsia="楷体_GB2312" w:cs="Times New Roman"/>
          <w:b/>
          <w:color w:val="auto"/>
          <w:spacing w:val="0"/>
          <w:kern w:val="2"/>
          <w:sz w:val="32"/>
          <w:szCs w:val="32"/>
          <w:u w:val="none"/>
          <w:lang w:val="en-US" w:eastAsia="zh-CN" w:bidi="ar-SA"/>
        </w:rPr>
        <w:t>（三）精准发力帮扶，知识产权发展全面加速。</w:t>
      </w:r>
      <w:r>
        <w:rPr>
          <w:rFonts w:hint="eastAsia" w:ascii="Times New Roman" w:hAnsi="Times New Roman" w:eastAsia="仿宋_GB2312" w:cs="Times New Roman"/>
          <w:color w:val="auto"/>
          <w:spacing w:val="0"/>
          <w:kern w:val="2"/>
          <w:sz w:val="32"/>
          <w:szCs w:val="32"/>
          <w:u w:val="none"/>
          <w:lang w:val="en-US" w:eastAsia="zh-CN" w:bidi="ar-SA"/>
        </w:rPr>
        <w:t>不断提升知识产权服务能力，为经济高质量发展保驾护航。</w:t>
      </w:r>
      <w:r>
        <w:rPr>
          <w:rFonts w:hint="eastAsia" w:ascii="Times New Roman" w:hAnsi="Times New Roman" w:eastAsia="仿宋_GB2312" w:cs="Times New Roman"/>
          <w:b/>
          <w:color w:val="auto"/>
          <w:spacing w:val="0"/>
          <w:kern w:val="2"/>
          <w:sz w:val="32"/>
          <w:szCs w:val="32"/>
          <w:u w:val="none"/>
          <w:lang w:val="en-US" w:eastAsia="zh-CN" w:bidi="ar-SA"/>
        </w:rPr>
        <w:t>一是知识产权创造能力稳步增强。二是知识产权运用水平持续提升。三是知识产权服务管理效能更加突出。</w:t>
      </w:r>
    </w:p>
    <w:p w14:paraId="6CA34C97">
      <w:pPr>
        <w:keepNext w:val="0"/>
        <w:keepLines w:val="0"/>
        <w:pageBreakBefore w:val="0"/>
        <w:kinsoku/>
        <w:wordWrap/>
        <w:overflowPunct/>
        <w:topLinePunct w:val="0"/>
        <w:autoSpaceDE/>
        <w:autoSpaceDN/>
        <w:bidi w:val="0"/>
        <w:adjustRightInd/>
        <w:spacing w:line="580" w:lineRule="exact"/>
        <w:ind w:firstLine="640" w:firstLineChars="200"/>
        <w:rPr>
          <w:rFonts w:hint="default" w:ascii="仿宋_GB2312" w:hAnsi="仿宋_GB2312" w:eastAsia="仿宋_GB2312" w:cs="仿宋_GB2312"/>
          <w:color w:val="auto"/>
          <w:spacing w:val="12"/>
          <w:kern w:val="2"/>
          <w:sz w:val="32"/>
          <w:szCs w:val="32"/>
          <w:lang w:val="en-US" w:eastAsia="zh-CN" w:bidi="ar"/>
        </w:rPr>
      </w:pPr>
      <w:r>
        <w:rPr>
          <w:rFonts w:hint="eastAsia" w:ascii="Times New Roman" w:hAnsi="Times New Roman" w:eastAsia="楷体_GB2312" w:cs="Times New Roman"/>
          <w:b/>
          <w:color w:val="auto"/>
          <w:spacing w:val="0"/>
          <w:kern w:val="2"/>
          <w:sz w:val="32"/>
          <w:szCs w:val="32"/>
          <w:u w:val="none"/>
          <w:lang w:val="en-US" w:eastAsia="zh-CN" w:bidi="ar-SA"/>
        </w:rPr>
        <w:t>（四）紧盯重点领域，牢牢守住“三品一特、一托管”安全底线。</w:t>
      </w:r>
      <w:r>
        <w:rPr>
          <w:rFonts w:hint="eastAsia" w:ascii="Times New Roman" w:hAnsi="Times New Roman" w:eastAsia="仿宋_GB2312" w:cs="Times New Roman"/>
          <w:color w:val="auto"/>
          <w:spacing w:val="0"/>
          <w:kern w:val="2"/>
          <w:sz w:val="32"/>
          <w:szCs w:val="32"/>
          <w:u w:val="none"/>
          <w:lang w:val="en-US" w:eastAsia="zh-CN" w:bidi="ar-SA"/>
        </w:rPr>
        <w:t>落实“四个最严”要求，统筹发展和安全，让人民群众真正能够买得放心、吃得安心、用得舒心。</w:t>
      </w:r>
      <w:r>
        <w:rPr>
          <w:rFonts w:hint="eastAsia" w:ascii="Times New Roman" w:hAnsi="Times New Roman" w:eastAsia="仿宋_GB2312" w:cs="Times New Roman"/>
          <w:b/>
          <w:color w:val="auto"/>
          <w:spacing w:val="0"/>
          <w:kern w:val="2"/>
          <w:sz w:val="32"/>
          <w:szCs w:val="32"/>
          <w:u w:val="none"/>
          <w:lang w:val="en-US" w:eastAsia="zh-CN" w:bidi="ar-SA"/>
        </w:rPr>
        <w:t>一是食品安全监管全面加强。二是药品安全保障持续提升。三是重点产品质量不断巩固。四是特种设备安全稳步深化。</w:t>
      </w:r>
      <w:r>
        <w:rPr>
          <w:rFonts w:hint="eastAsia" w:ascii="Times New Roman" w:hAnsi="Times New Roman" w:eastAsia="仿宋_GB2312" w:cs="Times New Roman"/>
          <w:b/>
          <w:bCs/>
          <w:color w:val="auto"/>
          <w:spacing w:val="0"/>
          <w:kern w:val="2"/>
          <w:sz w:val="32"/>
          <w:szCs w:val="32"/>
          <w:u w:val="none"/>
          <w:lang w:val="en-US" w:eastAsia="zh-CN" w:bidi="ar-SA"/>
        </w:rPr>
        <w:t>五是托管机构安全不断加强</w:t>
      </w:r>
      <w:r>
        <w:rPr>
          <w:rFonts w:hint="eastAsia" w:ascii="Times New Roman" w:hAnsi="Times New Roman" w:eastAsia="仿宋_GB2312" w:cs="Times New Roman"/>
          <w:color w:val="auto"/>
          <w:spacing w:val="0"/>
          <w:kern w:val="2"/>
          <w:sz w:val="32"/>
          <w:szCs w:val="32"/>
          <w:u w:val="none"/>
          <w:lang w:val="en-US" w:eastAsia="zh-CN" w:bidi="ar-SA"/>
        </w:rPr>
        <w:t>。</w:t>
      </w:r>
    </w:p>
    <w:p w14:paraId="48CB94F5">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Times New Roman" w:hAnsi="Times New Roman" w:eastAsia="仿宋_GB2312" w:cs="Times New Roman"/>
          <w:color w:val="auto"/>
          <w:spacing w:val="0"/>
          <w:kern w:val="2"/>
          <w:sz w:val="32"/>
          <w:szCs w:val="32"/>
          <w:u w:val="none"/>
          <w:lang w:val="en-US" w:eastAsia="zh-CN" w:bidi="ar-SA"/>
        </w:rPr>
      </w:pPr>
      <w:r>
        <w:rPr>
          <w:rFonts w:hint="eastAsia" w:ascii="Times New Roman" w:hAnsi="Times New Roman" w:eastAsia="楷体_GB2312" w:cs="Times New Roman"/>
          <w:b/>
          <w:color w:val="auto"/>
          <w:spacing w:val="0"/>
          <w:kern w:val="2"/>
          <w:sz w:val="32"/>
          <w:szCs w:val="32"/>
          <w:u w:val="none"/>
          <w:lang w:val="en-US" w:eastAsia="zh-CN" w:bidi="ar-SA"/>
        </w:rPr>
        <w:t>（五）激发内生动力，干部队伍焕发蓬勃生机。</w:t>
      </w:r>
      <w:r>
        <w:rPr>
          <w:rFonts w:hint="eastAsia" w:ascii="Times New Roman" w:hAnsi="Times New Roman" w:eastAsia="仿宋_GB2312" w:cs="Times New Roman"/>
          <w:color w:val="auto"/>
          <w:spacing w:val="0"/>
          <w:kern w:val="2"/>
          <w:sz w:val="32"/>
          <w:szCs w:val="32"/>
          <w:u w:val="none"/>
          <w:lang w:val="en-US" w:eastAsia="zh-CN" w:bidi="ar-SA"/>
        </w:rPr>
        <w:t>面对新机遇、新挑战，加快培养造就一支“使命、担当、本领”相匹配的干部队伍。一</w:t>
      </w:r>
      <w:r>
        <w:rPr>
          <w:rFonts w:hint="eastAsia" w:ascii="Times New Roman" w:hAnsi="Times New Roman" w:eastAsia="仿宋_GB2312" w:cs="Times New Roman"/>
          <w:b/>
          <w:color w:val="auto"/>
          <w:spacing w:val="0"/>
          <w:kern w:val="2"/>
          <w:sz w:val="32"/>
          <w:szCs w:val="32"/>
          <w:u w:val="none"/>
          <w:lang w:val="en-US" w:eastAsia="zh-CN" w:bidi="ar-SA"/>
        </w:rPr>
        <w:t>是业务同训。</w:t>
      </w:r>
      <w:r>
        <w:rPr>
          <w:rFonts w:hint="eastAsia" w:ascii="Times New Roman" w:hAnsi="Times New Roman" w:eastAsia="仿宋_GB2312" w:cs="Times New Roman"/>
          <w:color w:val="auto"/>
          <w:spacing w:val="0"/>
          <w:kern w:val="2"/>
          <w:sz w:val="32"/>
          <w:szCs w:val="32"/>
          <w:u w:val="none"/>
          <w:lang w:val="en-US" w:eastAsia="zh-CN" w:bidi="ar-SA"/>
        </w:rPr>
        <w:t>从市场监管执法理论到执法实践各要素、各环节开展常态化线上业务培训、学法培训，不断提升执法效能。</w:t>
      </w:r>
      <w:r>
        <w:rPr>
          <w:rFonts w:hint="eastAsia" w:ascii="Times New Roman" w:hAnsi="Times New Roman" w:eastAsia="仿宋_GB2312" w:cs="Times New Roman"/>
          <w:b/>
          <w:color w:val="auto"/>
          <w:spacing w:val="0"/>
          <w:kern w:val="2"/>
          <w:sz w:val="32"/>
          <w:szCs w:val="32"/>
          <w:u w:val="none"/>
          <w:lang w:val="en-US" w:eastAsia="zh-CN" w:bidi="ar-SA"/>
        </w:rPr>
        <w:t>二是人员同育。</w:t>
      </w:r>
      <w:r>
        <w:rPr>
          <w:rFonts w:hint="eastAsia" w:ascii="Times New Roman" w:hAnsi="Times New Roman" w:eastAsia="仿宋_GB2312" w:cs="Times New Roman"/>
          <w:color w:val="auto"/>
          <w:spacing w:val="0"/>
          <w:kern w:val="2"/>
          <w:sz w:val="32"/>
          <w:szCs w:val="32"/>
          <w:u w:val="none"/>
          <w:lang w:val="en-US" w:eastAsia="zh-CN" w:bidi="ar-SA"/>
        </w:rPr>
        <w:t>关注年轻干部能力提升，对新入职青年干部职工定向开展培训、交流、讨论系列培养工作，持续提升本领、增长才干、锤炼意志。</w:t>
      </w:r>
      <w:r>
        <w:rPr>
          <w:rFonts w:hint="eastAsia" w:ascii="Times New Roman" w:hAnsi="Times New Roman" w:eastAsia="仿宋_GB2312" w:cs="Times New Roman"/>
          <w:b/>
          <w:color w:val="auto"/>
          <w:spacing w:val="0"/>
          <w:kern w:val="2"/>
          <w:sz w:val="32"/>
          <w:szCs w:val="32"/>
          <w:u w:val="none"/>
          <w:lang w:val="en-US" w:eastAsia="zh-CN" w:bidi="ar-SA"/>
        </w:rPr>
        <w:t>三是廉政同心。</w:t>
      </w:r>
      <w:r>
        <w:rPr>
          <w:rFonts w:hint="eastAsia" w:ascii="Times New Roman" w:hAnsi="Times New Roman" w:eastAsia="仿宋_GB2312" w:cs="Times New Roman"/>
          <w:color w:val="auto"/>
          <w:spacing w:val="0"/>
          <w:kern w:val="2"/>
          <w:sz w:val="32"/>
          <w:szCs w:val="32"/>
          <w:u w:val="none"/>
          <w:lang w:val="en-US" w:eastAsia="zh-CN" w:bidi="ar-SA"/>
        </w:rPr>
        <w:t>以主题教育为契机，共组织集中学习6场次，“一把手”上廉政党课1次，把党风廉政建设列入重要议事日程，各党总支成员按照分工切实抓好分管领域内党风廉政建设工作，共同推动形成市场监管局风清气正的良好政治生态。</w:t>
      </w:r>
    </w:p>
    <w:p w14:paraId="764234C1">
      <w:pPr>
        <w:pStyle w:val="17"/>
        <w:keepNext w:val="0"/>
        <w:keepLines w:val="0"/>
        <w:pageBreakBefore w:val="0"/>
        <w:widowControl/>
        <w:wordWrap/>
        <w:topLinePunct w:val="0"/>
        <w:bidi w:val="0"/>
        <w:spacing w:line="600" w:lineRule="exact"/>
        <w:ind w:firstLine="640" w:firstLineChars="200"/>
        <w:rPr>
          <w:rFonts w:hint="eastAsia" w:ascii="黑体" w:hAnsi="黑体" w:eastAsia="黑体" w:cs="黑体"/>
          <w:b w:val="0"/>
          <w:bCs w:val="0"/>
          <w:snapToGrid w:val="0"/>
          <w:color w:val="auto"/>
          <w:kern w:val="2"/>
          <w:sz w:val="32"/>
          <w:szCs w:val="32"/>
          <w:lang w:val="en-US" w:eastAsia="zh-CN" w:bidi="ar-SA"/>
        </w:rPr>
      </w:pPr>
      <w:r>
        <w:rPr>
          <w:rFonts w:hint="eastAsia" w:ascii="黑体" w:hAnsi="黑体" w:eastAsia="黑体" w:cs="黑体"/>
          <w:b w:val="0"/>
          <w:bCs w:val="0"/>
          <w:snapToGrid w:val="0"/>
          <w:color w:val="auto"/>
          <w:kern w:val="2"/>
          <w:sz w:val="32"/>
          <w:szCs w:val="32"/>
          <w:lang w:val="en-US" w:eastAsia="zh-CN" w:bidi="ar-SA"/>
        </w:rPr>
        <w:t>七、存在的问题及原因分析</w:t>
      </w:r>
    </w:p>
    <w:p w14:paraId="594735CA">
      <w:pPr>
        <w:keepNext w:val="0"/>
        <w:keepLines w:val="0"/>
        <w:pageBreakBefore w:val="0"/>
        <w:wordWrap/>
        <w:topLinePunct w:val="0"/>
        <w:bidi w:val="0"/>
        <w:spacing w:line="600" w:lineRule="exact"/>
        <w:ind w:firstLine="640" w:firstLineChars="200"/>
        <w:rPr>
          <w:rFonts w:hint="eastAsia" w:ascii="仿宋_GB2312" w:hAnsi="仿宋_GB2312" w:eastAsia="仿宋_GB2312" w:cs="仿宋_GB2312"/>
          <w:b w:val="0"/>
          <w:bCs w:val="0"/>
          <w:snapToGrid w:val="0"/>
          <w:color w:val="auto"/>
          <w:kern w:val="2"/>
          <w:sz w:val="32"/>
          <w:szCs w:val="32"/>
          <w:lang w:val="en-US" w:eastAsia="zh-CN" w:bidi="ar-SA"/>
        </w:rPr>
      </w:pPr>
      <w:r>
        <w:rPr>
          <w:rFonts w:hint="eastAsia" w:ascii="仿宋_GB2312" w:hAnsi="仿宋_GB2312" w:eastAsia="仿宋_GB2312" w:cs="仿宋_GB2312"/>
          <w:b w:val="0"/>
          <w:bCs w:val="0"/>
          <w:snapToGrid w:val="0"/>
          <w:color w:val="auto"/>
          <w:kern w:val="2"/>
          <w:sz w:val="32"/>
          <w:szCs w:val="32"/>
          <w:lang w:val="en-US" w:eastAsia="zh-CN" w:bidi="ar-SA"/>
        </w:rPr>
        <w:t>在2024年的财政预算支出过程中，高新分局虽然努力保障各项监管工作的顺利开展，但仍存在一些问题和不足之处，具体如下：</w:t>
      </w:r>
    </w:p>
    <w:p w14:paraId="59F7724B">
      <w:pPr>
        <w:keepNext w:val="0"/>
        <w:keepLines w:val="0"/>
        <w:pageBreakBefore w:val="0"/>
        <w:numPr>
          <w:ilvl w:val="0"/>
          <w:numId w:val="0"/>
        </w:numPr>
        <w:wordWrap/>
        <w:topLinePunct w:val="0"/>
        <w:bidi w:val="0"/>
        <w:spacing w:line="600" w:lineRule="exact"/>
        <w:rPr>
          <w:rFonts w:hint="eastAsia" w:ascii="仿宋_GB2312" w:hAnsi="仿宋_GB2312" w:eastAsia="仿宋_GB2312" w:cs="仿宋_GB2312"/>
          <w:b w:val="0"/>
          <w:bCs w:val="0"/>
          <w:snapToGrid w:val="0"/>
          <w:color w:val="auto"/>
          <w:kern w:val="2"/>
          <w:sz w:val="32"/>
          <w:szCs w:val="32"/>
          <w:lang w:val="en-US" w:eastAsia="zh-CN" w:bidi="ar-SA"/>
        </w:rPr>
      </w:pPr>
      <w:r>
        <w:rPr>
          <w:rFonts w:hint="eastAsia" w:ascii="楷体" w:hAnsi="楷体" w:eastAsia="楷体" w:cs="楷体"/>
          <w:b/>
          <w:bCs/>
          <w:snapToGrid w:val="0"/>
          <w:color w:val="auto"/>
          <w:kern w:val="2"/>
          <w:sz w:val="32"/>
          <w:szCs w:val="32"/>
          <w:lang w:val="en-US" w:eastAsia="zh-CN" w:bidi="ar-SA"/>
        </w:rPr>
        <w:t>（一）预算分配与监管需求不匹配。</w:t>
      </w:r>
      <w:r>
        <w:rPr>
          <w:rFonts w:hint="eastAsia" w:ascii="仿宋_GB2312" w:hAnsi="仿宋_GB2312" w:eastAsia="仿宋_GB2312" w:cs="仿宋_GB2312"/>
          <w:b w:val="0"/>
          <w:bCs w:val="0"/>
          <w:snapToGrid w:val="0"/>
          <w:color w:val="auto"/>
          <w:kern w:val="2"/>
          <w:sz w:val="32"/>
          <w:szCs w:val="32"/>
          <w:lang w:val="en-US" w:eastAsia="zh-CN" w:bidi="ar-SA"/>
        </w:rPr>
        <w:t>高新分局在特种设备安全监察、食品安全监管、药品医疗器械监管等专业领域的投入不够，执法装备和执法车辆等保障不足。由于预算制定过程中未能充分调研和预测新兴行业的发展趋势和监管需求，以及未能根据监管工作的实际情况及时调整预算分配，影响了基层监管工作成效。此外，在制定预算时未能充分考虑到恶意投诉行为的严重性和复杂性，导致分局在处理相关投诉、复议和诉讼时面临较大的行政和司法成本压力。</w:t>
      </w:r>
    </w:p>
    <w:p w14:paraId="73DEC5F5">
      <w:pPr>
        <w:keepNext w:val="0"/>
        <w:keepLines w:val="0"/>
        <w:pageBreakBefore w:val="0"/>
        <w:numPr>
          <w:ilvl w:val="0"/>
          <w:numId w:val="0"/>
        </w:numPr>
        <w:wordWrap/>
        <w:topLinePunct w:val="0"/>
        <w:bidi w:val="0"/>
        <w:spacing w:line="600" w:lineRule="exact"/>
        <w:rPr>
          <w:rFonts w:hint="eastAsia" w:ascii="仿宋_GB2312" w:hAnsi="仿宋_GB2312" w:eastAsia="仿宋_GB2312" w:cs="仿宋_GB2312"/>
          <w:b w:val="0"/>
          <w:bCs w:val="0"/>
          <w:snapToGrid w:val="0"/>
          <w:color w:val="auto"/>
          <w:kern w:val="2"/>
          <w:sz w:val="32"/>
          <w:szCs w:val="32"/>
          <w:lang w:val="en-US" w:eastAsia="zh-CN" w:bidi="ar-SA"/>
        </w:rPr>
      </w:pPr>
      <w:r>
        <w:rPr>
          <w:rFonts w:hint="eastAsia" w:ascii="楷体" w:hAnsi="楷体" w:eastAsia="楷体" w:cs="楷体"/>
          <w:b/>
          <w:bCs/>
          <w:snapToGrid w:val="0"/>
          <w:color w:val="auto"/>
          <w:kern w:val="2"/>
          <w:sz w:val="32"/>
          <w:szCs w:val="32"/>
          <w:lang w:val="en-US" w:eastAsia="zh-CN" w:bidi="ar-SA"/>
        </w:rPr>
        <w:t>（二）知识产权工作预算支持不足。</w:t>
      </w:r>
      <w:r>
        <w:rPr>
          <w:rFonts w:hint="eastAsia" w:ascii="仿宋_GB2312" w:hAnsi="仿宋_GB2312" w:eastAsia="仿宋_GB2312" w:cs="仿宋_GB2312"/>
          <w:b w:val="0"/>
          <w:bCs w:val="0"/>
          <w:snapToGrid w:val="0"/>
          <w:color w:val="auto"/>
          <w:kern w:val="2"/>
          <w:sz w:val="32"/>
          <w:szCs w:val="32"/>
          <w:lang w:val="en-US" w:eastAsia="zh-CN" w:bidi="ar-SA"/>
        </w:rPr>
        <w:t>在推动知识产权转化运营方面，高新分局面临着企业动力不足、预算投入不大以及专业人才缺乏等问题。这些问题的存在，一方面影响了企业开展知识产权相关工作的积极性，另一方面也制约了高新区知识产权事业的发展。从财政预算的角度来看，这主要是由于在预算制定时未能充分考虑到知识产权工作的重要性和长期性，以及未能根据知识产权工作的实际需求增加相应的预算投入。</w:t>
      </w:r>
    </w:p>
    <w:p w14:paraId="46F8E3CE">
      <w:pPr>
        <w:keepNext w:val="0"/>
        <w:keepLines w:val="0"/>
        <w:pageBreakBefore w:val="0"/>
        <w:wordWrap/>
        <w:topLinePunct w:val="0"/>
        <w:bidi w:val="0"/>
        <w:spacing w:line="600" w:lineRule="exact"/>
        <w:ind w:firstLine="640" w:firstLineChars="200"/>
        <w:rPr>
          <w:rFonts w:ascii="Times New Roman" w:hAnsi="Times New Roman" w:eastAsia="黑体"/>
          <w:sz w:val="32"/>
          <w:szCs w:val="32"/>
          <w:highlight w:val="none"/>
        </w:rPr>
      </w:pPr>
      <w:r>
        <w:rPr>
          <w:rFonts w:ascii="Times New Roman" w:hAnsi="Times New Roman" w:eastAsia="黑体"/>
          <w:sz w:val="32"/>
          <w:szCs w:val="32"/>
          <w:highlight w:val="none"/>
        </w:rPr>
        <w:t>八、下一步改进措施</w:t>
      </w:r>
    </w:p>
    <w:p w14:paraId="2571781B">
      <w:pPr>
        <w:keepNext w:val="0"/>
        <w:keepLines w:val="0"/>
        <w:pageBreakBefore w:val="0"/>
        <w:wordWrap/>
        <w:topLinePunct w:val="0"/>
        <w:bidi w:val="0"/>
        <w:spacing w:line="600" w:lineRule="exact"/>
        <w:ind w:firstLine="640" w:firstLineChars="200"/>
        <w:rPr>
          <w:rFonts w:hint="eastAsia" w:ascii="仿宋_GB2312" w:hAnsi="仿宋_GB2312" w:eastAsia="仿宋_GB2312" w:cs="仿宋_GB2312"/>
          <w:b w:val="0"/>
          <w:bCs w:val="0"/>
          <w:snapToGrid w:val="0"/>
          <w:color w:val="auto"/>
          <w:kern w:val="2"/>
          <w:sz w:val="32"/>
          <w:szCs w:val="32"/>
          <w:lang w:val="en-US" w:eastAsia="zh-CN" w:bidi="ar-SA"/>
        </w:rPr>
      </w:pPr>
      <w:r>
        <w:rPr>
          <w:rFonts w:hint="eastAsia" w:ascii="楷体" w:hAnsi="楷体" w:eastAsia="楷体" w:cs="楷体"/>
          <w:b/>
          <w:bCs/>
          <w:snapToGrid w:val="0"/>
          <w:color w:val="auto"/>
          <w:kern w:val="2"/>
          <w:sz w:val="32"/>
          <w:szCs w:val="32"/>
          <w:lang w:val="en-US" w:eastAsia="zh-CN" w:bidi="ar-SA"/>
        </w:rPr>
        <w:t>（一）优化预算分配机制，确保监管需求得到满足。</w:t>
      </w:r>
      <w:r>
        <w:rPr>
          <w:rFonts w:hint="eastAsia" w:ascii="仿宋_GB2312" w:hAnsi="仿宋_GB2312" w:eastAsia="仿宋_GB2312" w:cs="仿宋_GB2312"/>
          <w:b w:val="0"/>
          <w:bCs w:val="0"/>
          <w:snapToGrid w:val="0"/>
          <w:color w:val="auto"/>
          <w:kern w:val="2"/>
          <w:sz w:val="32"/>
          <w:szCs w:val="32"/>
          <w:lang w:val="en-US" w:eastAsia="zh-CN" w:bidi="ar-SA"/>
        </w:rPr>
        <w:t>加强调研与预测，建立定期调研机制，深入了解新兴行业的发展趋势和监管需求，以及基层市场监管部门的实际情况，为预算制定提供科学依据。动态调整预算分配，根据监管工作的实际情况和新兴行业的发展变化，动态调整预算分配，确保处理相关投诉、复议和诉讼等工作高质高效开展，确保基层监管力量得到有效保障。</w:t>
      </w:r>
    </w:p>
    <w:p w14:paraId="3DAB8FB6">
      <w:pPr>
        <w:keepNext w:val="0"/>
        <w:keepLines w:val="0"/>
        <w:pageBreakBefore w:val="0"/>
        <w:wordWrap/>
        <w:topLinePunct w:val="0"/>
        <w:bidi w:val="0"/>
        <w:spacing w:line="600" w:lineRule="exact"/>
        <w:ind w:firstLine="640" w:firstLineChars="200"/>
        <w:rPr>
          <w:rFonts w:hint="eastAsia" w:ascii="仿宋_GB2312" w:hAnsi="仿宋_GB2312" w:eastAsia="仿宋_GB2312" w:cs="仿宋_GB2312"/>
          <w:b w:val="0"/>
          <w:bCs w:val="0"/>
          <w:snapToGrid w:val="0"/>
          <w:color w:val="auto"/>
          <w:kern w:val="2"/>
          <w:sz w:val="32"/>
          <w:szCs w:val="32"/>
          <w:lang w:val="en-US" w:eastAsia="zh-CN" w:bidi="ar-SA"/>
        </w:rPr>
      </w:pPr>
      <w:r>
        <w:rPr>
          <w:rFonts w:hint="eastAsia" w:ascii="楷体" w:hAnsi="楷体" w:eastAsia="楷体" w:cs="楷体"/>
          <w:b/>
          <w:bCs/>
          <w:snapToGrid w:val="0"/>
          <w:color w:val="auto"/>
          <w:kern w:val="2"/>
          <w:sz w:val="32"/>
          <w:szCs w:val="32"/>
          <w:lang w:val="en-US" w:eastAsia="zh-CN" w:bidi="ar-SA"/>
        </w:rPr>
        <w:t>（二）加大知识产权工作预算支持。</w:t>
      </w:r>
      <w:r>
        <w:rPr>
          <w:rFonts w:hint="eastAsia" w:ascii="仿宋_GB2312" w:hAnsi="仿宋_GB2312" w:eastAsia="仿宋_GB2312" w:cs="仿宋_GB2312"/>
          <w:b w:val="0"/>
          <w:bCs w:val="0"/>
          <w:snapToGrid w:val="0"/>
          <w:color w:val="auto"/>
          <w:kern w:val="2"/>
          <w:sz w:val="32"/>
          <w:szCs w:val="32"/>
          <w:lang w:val="en-US" w:eastAsia="zh-CN" w:bidi="ar-SA"/>
        </w:rPr>
        <w:t>设立知识产权专项资金，在财政预算中设立知识产权专项资金，用于支持企业开展知识产权相关工作，推动知识产权转化运营。制定和完善知识产权相关政策，加大对知识产权工作的扶持力度，激发企业的创新活力。</w:t>
      </w:r>
    </w:p>
    <w:p w14:paraId="3CF9990C">
      <w:pPr>
        <w:keepNext w:val="0"/>
        <w:keepLines w:val="0"/>
        <w:pageBreakBefore w:val="0"/>
        <w:wordWrap/>
        <w:topLinePunct w:val="0"/>
        <w:bidi w:val="0"/>
        <w:spacing w:line="600" w:lineRule="exact"/>
        <w:ind w:firstLine="640" w:firstLineChars="200"/>
        <w:rPr>
          <w:rFonts w:hint="eastAsia" w:ascii="仿宋_GB2312" w:hAnsi="仿宋_GB2312" w:eastAsia="仿宋_GB2312" w:cs="仿宋_GB2312"/>
          <w:b w:val="0"/>
          <w:bCs w:val="0"/>
          <w:snapToGrid w:val="0"/>
          <w:color w:val="auto"/>
          <w:kern w:val="2"/>
          <w:sz w:val="32"/>
          <w:szCs w:val="32"/>
          <w:lang w:val="en-US" w:eastAsia="zh-CN" w:bidi="ar-SA"/>
        </w:rPr>
      </w:pPr>
      <w:r>
        <w:rPr>
          <w:rFonts w:hint="eastAsia" w:ascii="楷体" w:hAnsi="楷体" w:eastAsia="楷体" w:cs="楷体"/>
          <w:b/>
          <w:bCs/>
          <w:snapToGrid w:val="0"/>
          <w:color w:val="auto"/>
          <w:kern w:val="2"/>
          <w:sz w:val="32"/>
          <w:szCs w:val="32"/>
          <w:lang w:val="en-US" w:eastAsia="zh-CN" w:bidi="ar-SA"/>
        </w:rPr>
        <w:t>（三）加强预算执行的监督和评估。</w:t>
      </w:r>
      <w:r>
        <w:rPr>
          <w:rFonts w:hint="eastAsia" w:ascii="仿宋_GB2312" w:hAnsi="仿宋_GB2312" w:eastAsia="仿宋_GB2312" w:cs="仿宋_GB2312"/>
          <w:b w:val="0"/>
          <w:bCs w:val="0"/>
          <w:snapToGrid w:val="0"/>
          <w:color w:val="auto"/>
          <w:kern w:val="2"/>
          <w:sz w:val="32"/>
          <w:szCs w:val="32"/>
          <w:lang w:val="en-US" w:eastAsia="zh-CN" w:bidi="ar-SA"/>
        </w:rPr>
        <w:t>不断完善预算执行监督机制，加强对预算执行的监督和检查，确保预算资金按照计划使用，防止资金浪费和挪用。定期对预算绩效进行评估，分析预算执行的成效和不足，为今后的预算制定提供改进方向。</w:t>
      </w:r>
    </w:p>
    <w:p w14:paraId="481F32A7">
      <w:pPr>
        <w:widowControl/>
        <w:ind w:firstLine="640" w:firstLineChars="200"/>
        <w:rPr>
          <w:rFonts w:ascii="Times New Roman" w:hAnsi="Times New Roman" w:eastAsia="黑体"/>
          <w:sz w:val="32"/>
          <w:szCs w:val="32"/>
        </w:rPr>
      </w:pPr>
    </w:p>
    <w:p w14:paraId="0A33430B">
      <w:pPr>
        <w:widowControl/>
        <w:ind w:firstLine="640" w:firstLineChars="200"/>
        <w:rPr>
          <w:rFonts w:ascii="Times New Roman" w:hAnsi="Times New Roman" w:eastAsia="黑体"/>
          <w:sz w:val="32"/>
          <w:szCs w:val="32"/>
        </w:rPr>
      </w:pPr>
      <w:r>
        <w:rPr>
          <w:rFonts w:ascii="Times New Roman" w:hAnsi="Times New Roman" w:eastAsia="黑体"/>
          <w:sz w:val="32"/>
          <w:szCs w:val="32"/>
        </w:rPr>
        <w:t>九、其他需要说明的情况</w:t>
      </w:r>
    </w:p>
    <w:p w14:paraId="53056262">
      <w:pPr>
        <w:widowControl/>
        <w:ind w:firstLine="560" w:firstLineChars="200"/>
        <w:rPr>
          <w:rFonts w:ascii="宋体" w:hAnsi="宋体"/>
          <w:sz w:val="28"/>
          <w:szCs w:val="28"/>
        </w:rPr>
      </w:pPr>
      <w:r>
        <w:rPr>
          <w:rFonts w:hint="eastAsia" w:ascii="宋体" w:hAnsi="宋体"/>
          <w:sz w:val="28"/>
          <w:szCs w:val="28"/>
        </w:rPr>
        <w:t>无其他需要说明情况。</w:t>
      </w:r>
    </w:p>
    <w:p w14:paraId="5D02D546">
      <w:pPr>
        <w:widowControl/>
        <w:ind w:firstLine="640" w:firstLineChars="200"/>
        <w:rPr>
          <w:rFonts w:ascii="Times New Roman" w:hAnsi="Times New Roman" w:eastAsia="Times New Roman"/>
          <w:sz w:val="32"/>
          <w:szCs w:val="32"/>
        </w:rPr>
      </w:pPr>
    </w:p>
    <w:p w14:paraId="3DCFF8C5">
      <w:pPr>
        <w:widowControl/>
        <w:ind w:firstLine="640" w:firstLineChars="200"/>
        <w:rPr>
          <w:rFonts w:ascii="Times New Roman" w:hAnsi="Times New Roman" w:eastAsia="仿宋"/>
          <w:sz w:val="32"/>
          <w:szCs w:val="32"/>
        </w:rPr>
      </w:pPr>
      <w:r>
        <w:rPr>
          <w:rFonts w:ascii="Times New Roman" w:hAnsi="Times New Roman" w:eastAsia="仿宋"/>
          <w:sz w:val="32"/>
          <w:szCs w:val="32"/>
        </w:rPr>
        <w:t>报告应包括以下附件：</w:t>
      </w:r>
    </w:p>
    <w:p w14:paraId="28106C12">
      <w:pPr>
        <w:ind w:firstLine="640" w:firstLineChars="200"/>
        <w:rPr>
          <w:rFonts w:ascii="Times New Roman" w:hAnsi="Times New Roman" w:eastAsia="仿宋_GB2312"/>
          <w:sz w:val="32"/>
          <w:szCs w:val="32"/>
        </w:rPr>
      </w:pPr>
      <w:r>
        <w:rPr>
          <w:rFonts w:ascii="Times New Roman" w:hAnsi="Times New Roman" w:eastAsia="仿宋_GB2312"/>
          <w:sz w:val="32"/>
          <w:szCs w:val="32"/>
        </w:rPr>
        <w:t>1.部门整体支出绩效评价基础数据表</w:t>
      </w:r>
    </w:p>
    <w:p w14:paraId="750032F6">
      <w:pPr>
        <w:ind w:firstLine="640" w:firstLineChars="200"/>
        <w:rPr>
          <w:rFonts w:ascii="Times New Roman" w:hAnsi="Times New Roman" w:eastAsia="仿宋_GB2312"/>
          <w:sz w:val="32"/>
          <w:szCs w:val="32"/>
        </w:rPr>
      </w:pPr>
      <w:r>
        <w:rPr>
          <w:rFonts w:ascii="Times New Roman" w:hAnsi="Times New Roman" w:eastAsia="仿宋_GB2312"/>
          <w:sz w:val="32"/>
          <w:szCs w:val="32"/>
        </w:rPr>
        <w:t>2.部门整体支出绩效自评表</w:t>
      </w:r>
    </w:p>
    <w:p w14:paraId="61BA2D45">
      <w:pPr>
        <w:ind w:firstLine="640" w:firstLineChars="200"/>
        <w:rPr>
          <w:rFonts w:ascii="Times New Roman" w:hAnsi="Times New Roman" w:eastAsia="仿宋_GB2312"/>
          <w:sz w:val="32"/>
          <w:szCs w:val="32"/>
        </w:rPr>
      </w:pPr>
      <w:r>
        <w:rPr>
          <w:rFonts w:ascii="Times New Roman" w:hAnsi="Times New Roman" w:eastAsia="仿宋_GB2312"/>
          <w:sz w:val="32"/>
          <w:szCs w:val="32"/>
        </w:rPr>
        <w:t>3.项目支出绩效自评表</w:t>
      </w:r>
      <w:r>
        <w:rPr>
          <w:rFonts w:ascii="Times New Roman" w:hAnsi="Times New Roman" w:eastAsia="仿宋"/>
          <w:sz w:val="32"/>
          <w:szCs w:val="32"/>
        </w:rPr>
        <w:t>（每个一级项目支出一张表）</w:t>
      </w:r>
    </w:p>
    <w:p w14:paraId="3272FE02">
      <w:pPr>
        <w:widowControl/>
        <w:ind w:firstLine="640" w:firstLineChars="200"/>
        <w:rPr>
          <w:rFonts w:ascii="Times New Roman" w:hAnsi="Times New Roman" w:eastAsia="仿宋"/>
          <w:sz w:val="32"/>
          <w:szCs w:val="32"/>
        </w:rPr>
      </w:pPr>
    </w:p>
    <w:p w14:paraId="4A736B54">
      <w:pPr>
        <w:ind w:right="640"/>
        <w:rPr>
          <w:rFonts w:ascii="黑体" w:hAnsi="黑体" w:eastAsia="黑体" w:cs="黑体"/>
          <w:kern w:val="0"/>
          <w:sz w:val="32"/>
          <w:szCs w:val="32"/>
        </w:rPr>
      </w:pPr>
      <w:bookmarkStart w:id="0" w:name="_GoBack"/>
      <w:bookmarkEnd w:id="0"/>
    </w:p>
    <w:sectPr>
      <w:footerReference r:id="rId3" w:type="default"/>
      <w:footerReference r:id="rId4" w:type="even"/>
      <w:pgSz w:w="11906" w:h="16838"/>
      <w:pgMar w:top="1440" w:right="1797" w:bottom="1440" w:left="1797" w:header="851" w:footer="992" w:gutter="0"/>
      <w:pgNumType w:fmt="numberInDash"/>
      <w:cols w:space="425" w:num="1"/>
      <w:titlePg/>
      <w:rtlGutter w:val="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宋体"/>
    <w:panose1 w:val="00000000000000000000"/>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方正仿宋_GB2312">
    <w:altName w:val="仿宋"/>
    <w:panose1 w:val="02000000000000000000"/>
    <w:charset w:val="00"/>
    <w:family w:val="auto"/>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F98067">
    <w:pPr>
      <w:pStyle w:val="5"/>
      <w:framePr w:wrap="around" w:vAnchor="text" w:hAnchor="margin" w:xAlign="outside" w:y="1"/>
      <w:rPr>
        <w:rStyle w:val="10"/>
        <w:rFonts w:ascii="Times New Roman" w:hAnsi="Times New Roman"/>
        <w:sz w:val="28"/>
        <w:szCs w:val="28"/>
      </w:rPr>
    </w:pPr>
    <w:r>
      <w:rPr>
        <w:rStyle w:val="10"/>
        <w:rFonts w:ascii="Times New Roman" w:hAnsi="Times New Roman"/>
        <w:sz w:val="28"/>
        <w:szCs w:val="28"/>
      </w:rPr>
      <w:fldChar w:fldCharType="begin"/>
    </w:r>
    <w:r>
      <w:rPr>
        <w:rStyle w:val="10"/>
        <w:rFonts w:ascii="Times New Roman" w:hAnsi="Times New Roman"/>
        <w:sz w:val="28"/>
        <w:szCs w:val="28"/>
      </w:rPr>
      <w:instrText xml:space="preserve">PAGE  </w:instrText>
    </w:r>
    <w:r>
      <w:rPr>
        <w:rStyle w:val="10"/>
        <w:rFonts w:ascii="Times New Roman" w:hAnsi="Times New Roman"/>
        <w:sz w:val="28"/>
        <w:szCs w:val="28"/>
      </w:rPr>
      <w:fldChar w:fldCharType="separate"/>
    </w:r>
    <w:r>
      <w:rPr>
        <w:rStyle w:val="10"/>
        <w:rFonts w:ascii="Times New Roman" w:hAnsi="Times New Roman"/>
        <w:sz w:val="28"/>
        <w:szCs w:val="28"/>
      </w:rPr>
      <w:t>- 6 -</w:t>
    </w:r>
    <w:r>
      <w:rPr>
        <w:rStyle w:val="10"/>
        <w:rFonts w:ascii="Times New Roman" w:hAnsi="Times New Roman"/>
        <w:sz w:val="28"/>
        <w:szCs w:val="28"/>
      </w:rPr>
      <w:fldChar w:fldCharType="end"/>
    </w:r>
  </w:p>
  <w:p w14:paraId="51BFAC98">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3533A9">
    <w:pPr>
      <w:pStyle w:val="5"/>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14:paraId="38B33F25">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g3ZmNlM2UwNmYyZTUxYThlYzlkY2E2ZWNkNmZkMWUifQ=="/>
  </w:docVars>
  <w:rsids>
    <w:rsidRoot w:val="00C553EF"/>
    <w:rsid w:val="00012C93"/>
    <w:rsid w:val="00015A7E"/>
    <w:rsid w:val="000217F4"/>
    <w:rsid w:val="00046737"/>
    <w:rsid w:val="00066187"/>
    <w:rsid w:val="00067B42"/>
    <w:rsid w:val="000707E8"/>
    <w:rsid w:val="000734E3"/>
    <w:rsid w:val="00075475"/>
    <w:rsid w:val="000773D5"/>
    <w:rsid w:val="00080625"/>
    <w:rsid w:val="00081CEB"/>
    <w:rsid w:val="00082293"/>
    <w:rsid w:val="00084242"/>
    <w:rsid w:val="00093B9D"/>
    <w:rsid w:val="00094646"/>
    <w:rsid w:val="000A561A"/>
    <w:rsid w:val="000D5E7F"/>
    <w:rsid w:val="000E2B59"/>
    <w:rsid w:val="000E2E9C"/>
    <w:rsid w:val="000F775C"/>
    <w:rsid w:val="00135131"/>
    <w:rsid w:val="00135395"/>
    <w:rsid w:val="00136C06"/>
    <w:rsid w:val="00173AA9"/>
    <w:rsid w:val="00183A4C"/>
    <w:rsid w:val="00184AF2"/>
    <w:rsid w:val="001A7CAB"/>
    <w:rsid w:val="001B56F4"/>
    <w:rsid w:val="001B69B6"/>
    <w:rsid w:val="001B6D56"/>
    <w:rsid w:val="00220A85"/>
    <w:rsid w:val="002238BB"/>
    <w:rsid w:val="00225BED"/>
    <w:rsid w:val="002320EB"/>
    <w:rsid w:val="00241CBD"/>
    <w:rsid w:val="00282E2A"/>
    <w:rsid w:val="002A03D6"/>
    <w:rsid w:val="002D01D7"/>
    <w:rsid w:val="002D6FD1"/>
    <w:rsid w:val="002F05A3"/>
    <w:rsid w:val="003056F3"/>
    <w:rsid w:val="003126FC"/>
    <w:rsid w:val="00323CF3"/>
    <w:rsid w:val="0032533F"/>
    <w:rsid w:val="0033323D"/>
    <w:rsid w:val="003675AC"/>
    <w:rsid w:val="00373953"/>
    <w:rsid w:val="003A1408"/>
    <w:rsid w:val="003B7F5C"/>
    <w:rsid w:val="003D4043"/>
    <w:rsid w:val="003E1FD6"/>
    <w:rsid w:val="003E5841"/>
    <w:rsid w:val="003F1540"/>
    <w:rsid w:val="004148E0"/>
    <w:rsid w:val="004217FE"/>
    <w:rsid w:val="00440BFE"/>
    <w:rsid w:val="00463FD5"/>
    <w:rsid w:val="00474AD0"/>
    <w:rsid w:val="00487AC5"/>
    <w:rsid w:val="00496F05"/>
    <w:rsid w:val="004A7D13"/>
    <w:rsid w:val="005175AB"/>
    <w:rsid w:val="00537950"/>
    <w:rsid w:val="00551471"/>
    <w:rsid w:val="00551D43"/>
    <w:rsid w:val="00555034"/>
    <w:rsid w:val="0055626C"/>
    <w:rsid w:val="00566BA9"/>
    <w:rsid w:val="005709FF"/>
    <w:rsid w:val="00581EEE"/>
    <w:rsid w:val="005851E9"/>
    <w:rsid w:val="00591495"/>
    <w:rsid w:val="00594AEE"/>
    <w:rsid w:val="005D031D"/>
    <w:rsid w:val="005D3E3A"/>
    <w:rsid w:val="006264B7"/>
    <w:rsid w:val="0065022D"/>
    <w:rsid w:val="00660B36"/>
    <w:rsid w:val="00677EDD"/>
    <w:rsid w:val="006964D9"/>
    <w:rsid w:val="006A0ED2"/>
    <w:rsid w:val="006C0E05"/>
    <w:rsid w:val="006E164C"/>
    <w:rsid w:val="006F37DA"/>
    <w:rsid w:val="007109A0"/>
    <w:rsid w:val="007123D7"/>
    <w:rsid w:val="0071301C"/>
    <w:rsid w:val="00713B58"/>
    <w:rsid w:val="00751BF0"/>
    <w:rsid w:val="00754417"/>
    <w:rsid w:val="00754D30"/>
    <w:rsid w:val="00764972"/>
    <w:rsid w:val="00771B0E"/>
    <w:rsid w:val="007922C7"/>
    <w:rsid w:val="007A6F2C"/>
    <w:rsid w:val="007B3731"/>
    <w:rsid w:val="007C3C5A"/>
    <w:rsid w:val="007E2D1B"/>
    <w:rsid w:val="007E3E71"/>
    <w:rsid w:val="008241E1"/>
    <w:rsid w:val="00835818"/>
    <w:rsid w:val="00847A3C"/>
    <w:rsid w:val="00893AEC"/>
    <w:rsid w:val="008A0349"/>
    <w:rsid w:val="008D562B"/>
    <w:rsid w:val="00916D9C"/>
    <w:rsid w:val="00940D4A"/>
    <w:rsid w:val="00971DB4"/>
    <w:rsid w:val="0097394E"/>
    <w:rsid w:val="009868AC"/>
    <w:rsid w:val="009D0C0A"/>
    <w:rsid w:val="00A01235"/>
    <w:rsid w:val="00A0127D"/>
    <w:rsid w:val="00A148B9"/>
    <w:rsid w:val="00A2187E"/>
    <w:rsid w:val="00A3605E"/>
    <w:rsid w:val="00A377C0"/>
    <w:rsid w:val="00A55C61"/>
    <w:rsid w:val="00A801F4"/>
    <w:rsid w:val="00AC12C1"/>
    <w:rsid w:val="00AC5F31"/>
    <w:rsid w:val="00AF15ED"/>
    <w:rsid w:val="00B049DD"/>
    <w:rsid w:val="00B17D23"/>
    <w:rsid w:val="00B20A84"/>
    <w:rsid w:val="00B314C0"/>
    <w:rsid w:val="00B47ED2"/>
    <w:rsid w:val="00B509D4"/>
    <w:rsid w:val="00B62F82"/>
    <w:rsid w:val="00B702EE"/>
    <w:rsid w:val="00B86511"/>
    <w:rsid w:val="00B86BA1"/>
    <w:rsid w:val="00B938BF"/>
    <w:rsid w:val="00B9399A"/>
    <w:rsid w:val="00BB2378"/>
    <w:rsid w:val="00BC1EE4"/>
    <w:rsid w:val="00BC3839"/>
    <w:rsid w:val="00BD1721"/>
    <w:rsid w:val="00BD4955"/>
    <w:rsid w:val="00C23636"/>
    <w:rsid w:val="00C50867"/>
    <w:rsid w:val="00C553EF"/>
    <w:rsid w:val="00C641BD"/>
    <w:rsid w:val="00C91F4C"/>
    <w:rsid w:val="00C9428C"/>
    <w:rsid w:val="00CC6012"/>
    <w:rsid w:val="00CD7E4E"/>
    <w:rsid w:val="00CE4DFE"/>
    <w:rsid w:val="00CF0AA7"/>
    <w:rsid w:val="00CF1A1B"/>
    <w:rsid w:val="00D457CD"/>
    <w:rsid w:val="00D5231E"/>
    <w:rsid w:val="00D64926"/>
    <w:rsid w:val="00D74987"/>
    <w:rsid w:val="00D812AD"/>
    <w:rsid w:val="00D8620A"/>
    <w:rsid w:val="00D90870"/>
    <w:rsid w:val="00D90B2D"/>
    <w:rsid w:val="00DB79FD"/>
    <w:rsid w:val="00DC7EE1"/>
    <w:rsid w:val="00DD4AA2"/>
    <w:rsid w:val="00DD5A15"/>
    <w:rsid w:val="00E01819"/>
    <w:rsid w:val="00E039BF"/>
    <w:rsid w:val="00E323CD"/>
    <w:rsid w:val="00E8571A"/>
    <w:rsid w:val="00E94B12"/>
    <w:rsid w:val="00EB3180"/>
    <w:rsid w:val="00EF0339"/>
    <w:rsid w:val="00EF39BA"/>
    <w:rsid w:val="00F137EB"/>
    <w:rsid w:val="00F2080B"/>
    <w:rsid w:val="00F35BA1"/>
    <w:rsid w:val="00F50D1F"/>
    <w:rsid w:val="00F55DE1"/>
    <w:rsid w:val="00F71951"/>
    <w:rsid w:val="00F72F0E"/>
    <w:rsid w:val="00FA2BB2"/>
    <w:rsid w:val="00FA3C1B"/>
    <w:rsid w:val="00FC450D"/>
    <w:rsid w:val="00FD081E"/>
    <w:rsid w:val="00FE100B"/>
    <w:rsid w:val="00FE4826"/>
    <w:rsid w:val="028D58A7"/>
    <w:rsid w:val="03043E77"/>
    <w:rsid w:val="07C71168"/>
    <w:rsid w:val="0F262ACD"/>
    <w:rsid w:val="12E50BB3"/>
    <w:rsid w:val="15DA6FC6"/>
    <w:rsid w:val="18934E7A"/>
    <w:rsid w:val="1B4E306E"/>
    <w:rsid w:val="217D46AD"/>
    <w:rsid w:val="2CA61530"/>
    <w:rsid w:val="2E456552"/>
    <w:rsid w:val="2E660FDE"/>
    <w:rsid w:val="398B5761"/>
    <w:rsid w:val="3A987BA2"/>
    <w:rsid w:val="3BFC0501"/>
    <w:rsid w:val="3C224E44"/>
    <w:rsid w:val="3CAC47B7"/>
    <w:rsid w:val="3F52287D"/>
    <w:rsid w:val="416B7C26"/>
    <w:rsid w:val="41C61B6B"/>
    <w:rsid w:val="44A75419"/>
    <w:rsid w:val="4A6F6D2D"/>
    <w:rsid w:val="5C2F64BB"/>
    <w:rsid w:val="609A4BD3"/>
    <w:rsid w:val="62882016"/>
    <w:rsid w:val="62F62474"/>
    <w:rsid w:val="640815D9"/>
    <w:rsid w:val="65B31738"/>
    <w:rsid w:val="66B91727"/>
    <w:rsid w:val="68B42329"/>
    <w:rsid w:val="6AF80B9B"/>
    <w:rsid w:val="6BAD2A66"/>
    <w:rsid w:val="6CDE3E9F"/>
    <w:rsid w:val="6EF74444"/>
    <w:rsid w:val="71125845"/>
    <w:rsid w:val="773A3B3B"/>
    <w:rsid w:val="77A24B7F"/>
    <w:rsid w:val="79A2386E"/>
    <w:rsid w:val="7F20194F"/>
    <w:rsid w:val="7F4A2182"/>
    <w:rsid w:val="7F531EB8"/>
    <w:rsid w:val="7F910F92"/>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annotation text"/>
    <w:basedOn w:val="1"/>
    <w:link w:val="12"/>
    <w:qFormat/>
    <w:uiPriority w:val="99"/>
    <w:pPr>
      <w:jc w:val="left"/>
    </w:pPr>
    <w:rPr>
      <w:rFonts w:ascii="Times New Roman" w:hAnsi="Times New Roman"/>
      <w:szCs w:val="24"/>
    </w:rPr>
  </w:style>
  <w:style w:type="paragraph" w:styleId="4">
    <w:name w:val="Balloon Text"/>
    <w:basedOn w:val="1"/>
    <w:link w:val="13"/>
    <w:qFormat/>
    <w:uiPriority w:val="99"/>
    <w:rPr>
      <w:rFonts w:ascii="Times New Roman" w:hAnsi="Times New Roman"/>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character" w:styleId="10">
    <w:name w:val="page number"/>
    <w:basedOn w:val="9"/>
    <w:qFormat/>
    <w:uiPriority w:val="99"/>
    <w:rPr>
      <w:rFonts w:cs="Times New Roman"/>
    </w:rPr>
  </w:style>
  <w:style w:type="character" w:styleId="11">
    <w:name w:val="annotation reference"/>
    <w:basedOn w:val="9"/>
    <w:qFormat/>
    <w:uiPriority w:val="99"/>
    <w:rPr>
      <w:rFonts w:cs="Times New Roman"/>
      <w:sz w:val="21"/>
      <w:szCs w:val="21"/>
    </w:rPr>
  </w:style>
  <w:style w:type="character" w:customStyle="1" w:styleId="12">
    <w:name w:val="批注文字 Char"/>
    <w:basedOn w:val="9"/>
    <w:link w:val="3"/>
    <w:qFormat/>
    <w:locked/>
    <w:uiPriority w:val="99"/>
    <w:rPr>
      <w:rFonts w:ascii="Times New Roman" w:hAnsi="Times New Roman" w:eastAsia="宋体" w:cs="Times New Roman"/>
      <w:sz w:val="24"/>
      <w:szCs w:val="24"/>
    </w:rPr>
  </w:style>
  <w:style w:type="character" w:customStyle="1" w:styleId="13">
    <w:name w:val="批注框文本 Char"/>
    <w:basedOn w:val="9"/>
    <w:link w:val="4"/>
    <w:qFormat/>
    <w:locked/>
    <w:uiPriority w:val="99"/>
    <w:rPr>
      <w:rFonts w:ascii="Times New Roman" w:hAnsi="Times New Roman" w:eastAsia="宋体" w:cs="Times New Roman"/>
      <w:sz w:val="18"/>
      <w:szCs w:val="18"/>
    </w:rPr>
  </w:style>
  <w:style w:type="character" w:customStyle="1" w:styleId="14">
    <w:name w:val="页脚 Char"/>
    <w:basedOn w:val="9"/>
    <w:link w:val="5"/>
    <w:qFormat/>
    <w:locked/>
    <w:uiPriority w:val="99"/>
    <w:rPr>
      <w:rFonts w:cs="Times New Roman"/>
      <w:sz w:val="18"/>
      <w:szCs w:val="18"/>
    </w:rPr>
  </w:style>
  <w:style w:type="character" w:customStyle="1" w:styleId="15">
    <w:name w:val="页眉 Char"/>
    <w:basedOn w:val="9"/>
    <w:link w:val="6"/>
    <w:qFormat/>
    <w:locked/>
    <w:uiPriority w:val="99"/>
    <w:rPr>
      <w:rFonts w:cs="Times New Roman"/>
      <w:sz w:val="18"/>
      <w:szCs w:val="18"/>
    </w:rPr>
  </w:style>
  <w:style w:type="paragraph" w:customStyle="1" w:styleId="16">
    <w:name w:val="列出段落1"/>
    <w:basedOn w:val="1"/>
    <w:qFormat/>
    <w:uiPriority w:val="99"/>
    <w:pPr>
      <w:ind w:firstLine="420" w:firstLineChars="200"/>
    </w:pPr>
    <w:rPr>
      <w:rFonts w:ascii="Times New Roman" w:hAnsi="Times New Roman"/>
      <w:szCs w:val="24"/>
    </w:rPr>
  </w:style>
  <w:style w:type="paragraph" w:styleId="17">
    <w:name w:val="List Paragraph"/>
    <w:basedOn w:val="1"/>
    <w:qFormat/>
    <w:uiPriority w:val="99"/>
    <w:pPr>
      <w:ind w:firstLine="420" w:firstLineChars="200"/>
    </w:pPr>
    <w:rPr>
      <w:rFonts w:ascii="Times New Roman" w:hAnsi="Times New Roman"/>
      <w:szCs w:val="24"/>
    </w:rPr>
  </w:style>
  <w:style w:type="paragraph" w:customStyle="1" w:styleId="18">
    <w:name w:val="修订1"/>
    <w:hidden/>
    <w:qFormat/>
    <w:uiPriority w:val="99"/>
    <w:rPr>
      <w:rFonts w:ascii="Times New Roman" w:hAnsi="Times New Roman" w:eastAsia="宋体" w:cs="Times New Roman"/>
      <w:kern w:val="2"/>
      <w:sz w:val="21"/>
      <w:szCs w:val="24"/>
      <w:lang w:val="en-US" w:eastAsia="zh-CN" w:bidi="ar-SA"/>
    </w:rPr>
  </w:style>
  <w:style w:type="character" w:customStyle="1" w:styleId="19">
    <w:name w:val="font21"/>
    <w:basedOn w:val="9"/>
    <w:qFormat/>
    <w:uiPriority w:val="0"/>
    <w:rPr>
      <w:rFonts w:hint="eastAsia" w:ascii="仿宋_GB2312" w:eastAsia="仿宋_GB2312" w:cs="仿宋_GB2312"/>
      <w:color w:val="000000"/>
      <w:sz w:val="22"/>
      <w:szCs w:val="22"/>
      <w:u w:val="none"/>
    </w:rPr>
  </w:style>
  <w:style w:type="character" w:customStyle="1" w:styleId="20">
    <w:name w:val="lastnum"/>
    <w:basedOn w:val="9"/>
    <w:qFormat/>
    <w:uiPriority w:val="0"/>
  </w:style>
  <w:style w:type="character" w:customStyle="1" w:styleId="21">
    <w:name w:val="无间隔 Char"/>
    <w:link w:val="22"/>
    <w:qFormat/>
    <w:locked/>
    <w:uiPriority w:val="0"/>
    <w:rPr>
      <w:rFonts w:eastAsia="仿宋_GB2312"/>
      <w:sz w:val="30"/>
      <w:szCs w:val="22"/>
    </w:rPr>
  </w:style>
  <w:style w:type="paragraph" w:styleId="22">
    <w:name w:val="No Spacing"/>
    <w:link w:val="21"/>
    <w:qFormat/>
    <w:uiPriority w:val="0"/>
    <w:pPr>
      <w:ind w:firstLine="200" w:firstLineChars="200"/>
    </w:pPr>
    <w:rPr>
      <w:rFonts w:ascii="Calibri" w:hAnsi="Calibri" w:eastAsia="仿宋_GB2312" w:cs="Times New Roman"/>
      <w:sz w:val="30"/>
      <w:szCs w:val="22"/>
      <w:lang w:val="en-US" w:eastAsia="zh-CN" w:bidi="ar-SA"/>
    </w:rPr>
  </w:style>
  <w:style w:type="character" w:customStyle="1" w:styleId="23">
    <w:name w:val="二级标题 字符"/>
    <w:basedOn w:val="9"/>
    <w:link w:val="24"/>
    <w:qFormat/>
    <w:uiPriority w:val="0"/>
    <w:rPr>
      <w:rFonts w:ascii="楷体" w:hAnsi="楷体" w:eastAsia="楷体"/>
    </w:rPr>
  </w:style>
  <w:style w:type="paragraph" w:customStyle="1" w:styleId="24">
    <w:name w:val="二级标题"/>
    <w:basedOn w:val="1"/>
    <w:link w:val="23"/>
    <w:qFormat/>
    <w:uiPriority w:val="0"/>
    <w:pPr>
      <w:ind w:firstLine="640"/>
    </w:pPr>
    <w:rPr>
      <w:rFonts w:ascii="楷体" w:hAnsi="楷体" w:eastAsia="楷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7</Pages>
  <Words>2692</Words>
  <Characters>2834</Characters>
  <Lines>1</Lines>
  <Paragraphs>4</Paragraphs>
  <TotalTime>3</TotalTime>
  <ScaleCrop>false</ScaleCrop>
  <LinksUpToDate>false</LinksUpToDate>
  <CharactersWithSpaces>2843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2023-09-27T01:48:00Z</dcterms:created>
  <dc:creator>xb21cn</dc:creator>
  <cp:lastModifiedBy>罗频</cp:lastModifiedBy>
  <cp:lastPrinted>2023-03-09T01:03:00Z</cp:lastPrinted>
  <dcterms:modified xsi:type="dcterms:W3CDTF">2025-02-20T06:34:39Z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05A3344A75BF4096A4DCE5DEC370004C</vt:lpwstr>
  </property>
  <property fmtid="{D5CDD505-2E9C-101B-9397-08002B2CF9AE}" pid="4" name="KSOTemplateDocerSaveRecord">
    <vt:lpwstr>eyJoZGlkIjoiMjJhNzNhNThjMzlhZjFmNGQ0MmEzODNkYzA5MWU2MjciLCJ1c2VySWQiOiIxMTM2MzgwNTA5In0=</vt:lpwstr>
  </property>
</Properties>
</file>