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2F9CE">
      <w:pPr>
        <w:widowControl/>
        <w:spacing w:line="600" w:lineRule="exact"/>
        <w:jc w:val="left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6</w:t>
      </w:r>
    </w:p>
    <w:p w14:paraId="15D6AF2B"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hint="eastAsia" w:ascii="Times New Roman" w:hAnsi="Times New Roman" w:eastAsia="方正小标宋简体"/>
          <w:sz w:val="48"/>
          <w:szCs w:val="48"/>
        </w:rPr>
        <w:t>项目</w:t>
      </w:r>
      <w:r>
        <w:rPr>
          <w:rFonts w:ascii="Times New Roman" w:hAnsi="Times New Roman" w:eastAsia="方正小标宋简体"/>
          <w:sz w:val="48"/>
          <w:szCs w:val="48"/>
        </w:rPr>
        <w:t>支出绩效自评报告</w:t>
      </w:r>
    </w:p>
    <w:p w14:paraId="72075998"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（</w:t>
      </w: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</w:t>
      </w:r>
      <w:r>
        <w:rPr>
          <w:rFonts w:hint="eastAsia" w:ascii="Times New Roman" w:hAnsi="Times New Roman" w:eastAsia="方正小标宋简体"/>
          <w:sz w:val="36"/>
          <w:szCs w:val="36"/>
        </w:rPr>
        <w:t>）</w:t>
      </w:r>
    </w:p>
    <w:p w14:paraId="00348888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3FDF29A4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59DC2A38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01D7454B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1E0B61D3">
      <w:pPr>
        <w:rPr>
          <w:rFonts w:ascii="Times New Roman" w:hAnsi="Times New Roman" w:eastAsia="黑体"/>
          <w:sz w:val="32"/>
          <w:szCs w:val="32"/>
        </w:rPr>
      </w:pPr>
    </w:p>
    <w:p w14:paraId="473EABB3">
      <w:pPr>
        <w:jc w:val="center"/>
        <w:rPr>
          <w:rFonts w:ascii="Times New Roman" w:hAnsi="Times New Roman"/>
          <w:sz w:val="36"/>
          <w:szCs w:val="36"/>
        </w:rPr>
      </w:pPr>
    </w:p>
    <w:p w14:paraId="677748B7">
      <w:pPr>
        <w:jc w:val="center"/>
        <w:rPr>
          <w:rFonts w:ascii="Times New Roman" w:hAnsi="Times New Roman"/>
          <w:sz w:val="36"/>
          <w:szCs w:val="36"/>
        </w:rPr>
      </w:pPr>
    </w:p>
    <w:p w14:paraId="6D5E655F">
      <w:pPr>
        <w:jc w:val="center"/>
        <w:rPr>
          <w:rFonts w:ascii="Times New Roman" w:hAnsi="Times New Roman"/>
          <w:sz w:val="36"/>
          <w:szCs w:val="36"/>
        </w:rPr>
      </w:pPr>
    </w:p>
    <w:p w14:paraId="4DCD80D4">
      <w:pPr>
        <w:jc w:val="center"/>
        <w:rPr>
          <w:rFonts w:ascii="Times New Roman" w:hAnsi="Times New Roman"/>
          <w:sz w:val="36"/>
          <w:szCs w:val="36"/>
        </w:rPr>
      </w:pPr>
    </w:p>
    <w:p w14:paraId="4898BBF5">
      <w:pPr>
        <w:jc w:val="center"/>
        <w:rPr>
          <w:rFonts w:ascii="Times New Roman" w:hAnsi="Times New Roman"/>
          <w:sz w:val="36"/>
          <w:szCs w:val="36"/>
        </w:rPr>
      </w:pPr>
    </w:p>
    <w:p w14:paraId="2A4381C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单位名称</w:t>
      </w:r>
      <w:r>
        <w:rPr>
          <w:rFonts w:hint="eastAsia" w:ascii="Times New Roman" w:hAnsi="Times New Roman"/>
          <w:sz w:val="36"/>
          <w:szCs w:val="36"/>
        </w:rPr>
        <w:t>：</w:t>
      </w:r>
      <w:r>
        <w:rPr>
          <w:rFonts w:hint="eastAsia" w:ascii="Times New Roman" w:hAnsi="Times New Roman"/>
          <w:sz w:val="36"/>
          <w:szCs w:val="36"/>
          <w:lang w:eastAsia="zh-CN"/>
        </w:rPr>
        <w:t>衡阳市农民素质教育管理办公室</w:t>
      </w:r>
      <w:r>
        <w:rPr>
          <w:rFonts w:hint="eastAsia" w:ascii="Times New Roman" w:hAnsi="Times New Roman"/>
          <w:sz w:val="36"/>
          <w:szCs w:val="36"/>
        </w:rPr>
        <w:t>（盖章）</w:t>
      </w:r>
    </w:p>
    <w:p w14:paraId="7ECA597E">
      <w:pPr>
        <w:jc w:val="center"/>
        <w:rPr>
          <w:rFonts w:hint="eastAsia" w:ascii="Times New Roman" w:hAnsi="Times New Roman" w:eastAsia="宋体"/>
          <w:sz w:val="36"/>
          <w:szCs w:val="36"/>
          <w:lang w:eastAsia="zh-CN"/>
        </w:rPr>
      </w:pPr>
      <w:r>
        <w:rPr>
          <w:rFonts w:hint="eastAsia" w:ascii="Times New Roman" w:hAnsi="Times New Roman"/>
          <w:sz w:val="36"/>
          <w:szCs w:val="36"/>
        </w:rPr>
        <w:t>主要负责人签字</w:t>
      </w:r>
      <w:r>
        <w:rPr>
          <w:rFonts w:ascii="Times New Roman" w:hAnsi="Times New Roman"/>
          <w:sz w:val="36"/>
          <w:szCs w:val="36"/>
        </w:rPr>
        <w:t>：</w:t>
      </w:r>
      <w:r>
        <w:rPr>
          <w:rFonts w:hint="eastAsia" w:ascii="Times New Roman" w:hAnsi="Times New Roman"/>
          <w:sz w:val="36"/>
          <w:szCs w:val="36"/>
          <w:lang w:eastAsia="zh-CN"/>
        </w:rPr>
        <w:t>余冬豹</w:t>
      </w:r>
    </w:p>
    <w:p w14:paraId="4B7266A7">
      <w:pPr>
        <w:jc w:val="center"/>
        <w:rPr>
          <w:rFonts w:ascii="Times New Roman" w:hAnsi="Times New Roman" w:eastAsia="黑体"/>
          <w:sz w:val="36"/>
          <w:szCs w:val="36"/>
        </w:rPr>
      </w:pPr>
    </w:p>
    <w:p w14:paraId="40C7930C">
      <w:pPr>
        <w:ind w:firstLine="2880" w:firstLineChars="9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2025</w:t>
      </w:r>
      <w:r>
        <w:rPr>
          <w:rFonts w:ascii="Times New Roman" w:hAnsi="Times New Roman" w:eastAsia="黑体"/>
          <w:sz w:val="32"/>
          <w:szCs w:val="32"/>
        </w:rPr>
        <w:t xml:space="preserve">年 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黑体"/>
          <w:sz w:val="32"/>
          <w:szCs w:val="32"/>
        </w:rPr>
        <w:t>月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黑体"/>
          <w:sz w:val="32"/>
          <w:szCs w:val="32"/>
        </w:rPr>
        <w:t>日</w:t>
      </w:r>
    </w:p>
    <w:p w14:paraId="7C7BDD1D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64DE7841">
      <w:pPr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</w:p>
    <w:p w14:paraId="30D92F88">
      <w:pPr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</w:p>
    <w:p w14:paraId="4D5CF910">
      <w:pPr>
        <w:pStyle w:val="2"/>
        <w:rPr>
          <w:rFonts w:ascii="Times New Roman" w:hAnsi="Times New Roman" w:eastAsia="方正小标宋_GBK"/>
          <w:sz w:val="36"/>
          <w:szCs w:val="36"/>
        </w:rPr>
      </w:pPr>
    </w:p>
    <w:p w14:paraId="6535211C">
      <w:pPr>
        <w:pStyle w:val="2"/>
        <w:rPr>
          <w:rFonts w:ascii="Times New Roman" w:hAnsi="Times New Roman" w:eastAsia="方正小标宋_GBK"/>
          <w:sz w:val="36"/>
          <w:szCs w:val="36"/>
        </w:rPr>
      </w:pPr>
    </w:p>
    <w:p w14:paraId="54F3203E">
      <w:pPr>
        <w:jc w:val="center"/>
        <w:rPr>
          <w:rFonts w:hint="eastAsia" w:ascii="Times New Roman" w:hAnsi="Times New Roman" w:eastAsia="方正小标宋简体"/>
          <w:sz w:val="48"/>
          <w:szCs w:val="48"/>
        </w:rPr>
      </w:pPr>
      <w:bookmarkStart w:id="0" w:name="_GoBack"/>
      <w:r>
        <w:rPr>
          <w:rFonts w:hint="eastAsia" w:ascii="Times New Roman" w:hAnsi="Times New Roman" w:eastAsia="方正小标宋简体"/>
          <w:sz w:val="48"/>
          <w:szCs w:val="48"/>
        </w:rPr>
        <w:t>中央财政油茶产业发展示范奖项目</w:t>
      </w:r>
      <w:bookmarkEnd w:id="0"/>
    </w:p>
    <w:p w14:paraId="3FF8970E"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ascii="Times New Roman" w:hAnsi="Times New Roman" w:eastAsia="方正小标宋简体"/>
          <w:sz w:val="48"/>
          <w:szCs w:val="48"/>
        </w:rPr>
        <w:t>绩效自评报告</w:t>
      </w:r>
    </w:p>
    <w:p w14:paraId="62CD947E"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（</w:t>
      </w: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</w:t>
      </w:r>
      <w:r>
        <w:rPr>
          <w:rFonts w:hint="eastAsia" w:ascii="Times New Roman" w:hAnsi="Times New Roman" w:eastAsia="方正小标宋简体"/>
          <w:sz w:val="36"/>
          <w:szCs w:val="36"/>
        </w:rPr>
        <w:t>）</w:t>
      </w:r>
    </w:p>
    <w:p w14:paraId="2C07BFC2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3E93F18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一、项目支出概况</w:t>
      </w:r>
    </w:p>
    <w:p w14:paraId="5DAA564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（一）项目实施单位基本情况</w:t>
      </w:r>
    </w:p>
    <w:p w14:paraId="4E60B4C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衡阳市农民素质教育管理办公室（衡阳市农广校）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为市农业农村局直属副处级公益一类财政全额拨款事业单位，</w:t>
      </w:r>
      <w:r>
        <w:rPr>
          <w:rFonts w:hint="eastAsia" w:ascii="Times New Roman" w:hAnsi="Times New Roman" w:eastAsia="仿宋_GB2312"/>
          <w:sz w:val="32"/>
          <w:szCs w:val="32"/>
        </w:rPr>
        <w:t>作为项目的实施单位，是一家致力于农民素质提升的专门机构，长期致力于农业教育、培训和推广工作，具备丰富的项目管理和实施经验。</w:t>
      </w:r>
    </w:p>
    <w:p w14:paraId="34A750E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（二）项目资金基本情况</w:t>
      </w:r>
    </w:p>
    <w:p w14:paraId="693BC5B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预算资金性质：财政预算资金，由市财政局下达。</w:t>
      </w:r>
    </w:p>
    <w:p w14:paraId="15E8CB2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预算资金用途和主要内容：用于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举办</w:t>
      </w:r>
      <w:r>
        <w:rPr>
          <w:rFonts w:hint="eastAsia" w:ascii="Times New Roman" w:hAnsi="Times New Roman" w:eastAsia="仿宋_GB2312"/>
          <w:sz w:val="32"/>
          <w:szCs w:val="32"/>
        </w:rPr>
        <w:t>油茶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技术</w:t>
      </w:r>
      <w:r>
        <w:rPr>
          <w:rFonts w:hint="eastAsia" w:ascii="Times New Roman" w:hAnsi="Times New Roman" w:eastAsia="仿宋_GB2312"/>
          <w:sz w:val="32"/>
          <w:szCs w:val="32"/>
        </w:rPr>
        <w:t>培训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班两期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6F9E908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3. 涉及范围：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全市油茶技术干部、油茶种植从业者、油茶企业产业工人、行业从业技能人才。</w:t>
      </w:r>
    </w:p>
    <w:p w14:paraId="168FCB6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（三）预算资金绩效目标</w:t>
      </w:r>
    </w:p>
    <w:p w14:paraId="75CDC2D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总体目标：通过油茶培训中心的建设，提升农民油茶种植技术，促进油茶产业的健康发展。</w:t>
      </w:r>
    </w:p>
    <w:p w14:paraId="17F4754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年度目标：</w:t>
      </w:r>
    </w:p>
    <w:p w14:paraId="33CEBD1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·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举办两期油茶培训班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1DA339F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培训至少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150</w:t>
      </w:r>
      <w:r>
        <w:rPr>
          <w:rFonts w:hint="eastAsia" w:ascii="Times New Roman" w:hAnsi="Times New Roman" w:eastAsia="仿宋_GB2312"/>
          <w:sz w:val="32"/>
          <w:szCs w:val="32"/>
        </w:rPr>
        <w:t>名油茶种植户或技术人员。</w:t>
      </w:r>
    </w:p>
    <w:p w14:paraId="4837225C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提升油茶种植户的技术水平，实现油茶产量提高10%。</w:t>
      </w:r>
    </w:p>
    <w:p w14:paraId="2C50524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二、项目资金使用及管理情况</w:t>
      </w:r>
    </w:p>
    <w:p w14:paraId="39E6F6FB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（一）项目资金及自筹资金的安排落实、总投入等情况</w:t>
      </w:r>
    </w:p>
    <w:p w14:paraId="5883984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预算资金：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/>
          <w:sz w:val="32"/>
          <w:szCs w:val="32"/>
        </w:rPr>
        <w:t>元。</w:t>
      </w:r>
    </w:p>
    <w:p w14:paraId="257CECD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自筹资金：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万元。</w:t>
      </w:r>
    </w:p>
    <w:p w14:paraId="495A0F9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总投入：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 w:eastAsia="仿宋_GB2312"/>
          <w:sz w:val="32"/>
          <w:szCs w:val="32"/>
        </w:rPr>
        <w:t>万元。</w:t>
      </w:r>
    </w:p>
    <w:p w14:paraId="6A3CBBA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（二）项目资金实际使用情况</w:t>
      </w:r>
    </w:p>
    <w:p w14:paraId="38641D06"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授课费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12230</w:t>
      </w:r>
      <w:r>
        <w:rPr>
          <w:rFonts w:hint="eastAsia" w:ascii="Times New Roman" w:hAnsi="Times New Roman" w:eastAsia="仿宋_GB2312"/>
          <w:sz w:val="32"/>
          <w:szCs w:val="32"/>
        </w:rPr>
        <w:t>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；培训资料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2950</w:t>
      </w:r>
      <w:r>
        <w:rPr>
          <w:rFonts w:hint="eastAsia" w:ascii="Times New Roman" w:hAnsi="Times New Roman" w:eastAsia="仿宋_GB2312"/>
          <w:sz w:val="32"/>
          <w:szCs w:val="32"/>
        </w:rPr>
        <w:t>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；培训文具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4500</w:t>
      </w:r>
      <w:r>
        <w:rPr>
          <w:rFonts w:hint="eastAsia" w:ascii="Times New Roman" w:hAnsi="Times New Roman" w:eastAsia="仿宋_GB2312"/>
          <w:sz w:val="32"/>
          <w:szCs w:val="32"/>
        </w:rPr>
        <w:t>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；交通费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3000</w:t>
      </w:r>
      <w:r>
        <w:rPr>
          <w:rFonts w:hint="eastAsia" w:ascii="Times New Roman" w:hAnsi="Times New Roman" w:eastAsia="仿宋_GB2312"/>
          <w:sz w:val="32"/>
          <w:szCs w:val="32"/>
        </w:rPr>
        <w:t>元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；场地费：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13800元；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住宿与伙食：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103520元。</w:t>
      </w:r>
    </w:p>
    <w:p w14:paraId="351878B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（三）项目资金管理情况分析</w:t>
      </w:r>
    </w:p>
    <w:p w14:paraId="719E501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管理制度：制定了《项目资金管理办法》，明确了资金使用范围、审批流程和监督管理措施。</w:t>
      </w:r>
    </w:p>
    <w:p w14:paraId="0E01860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管理执行：严格按照预算执行，定期对资金使用情况进行检查和审计，确保资金使用的合规性和有效性。</w:t>
      </w:r>
    </w:p>
    <w:p w14:paraId="79C65025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三、项目支出组织实施情况</w:t>
      </w:r>
    </w:p>
    <w:p w14:paraId="7574B01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（一）项目资金使用管理情况</w:t>
      </w:r>
    </w:p>
    <w:p w14:paraId="4A13E34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制度建设和日常检查：建立了完善的财务管理制度，每月进行财务审核，季度进行资金使用情况的自查和互查。</w:t>
      </w:r>
    </w:p>
    <w:p w14:paraId="389C03F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监督管理：市财政局和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林业</w:t>
      </w:r>
      <w:r>
        <w:rPr>
          <w:rFonts w:hint="eastAsia" w:ascii="Times New Roman" w:hAnsi="Times New Roman" w:eastAsia="仿宋_GB2312"/>
          <w:sz w:val="32"/>
          <w:szCs w:val="32"/>
        </w:rPr>
        <w:t>局定期对项目资金使用情况进行监督检查。</w:t>
      </w:r>
    </w:p>
    <w:p w14:paraId="30C8552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（二）项目组织实施情况</w:t>
      </w:r>
    </w:p>
    <w:p w14:paraId="2C9E3BF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· 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开班申请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在适合油茶培训时节，向林业局递交《开班申请》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2E94C8B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调整：项目实施过程中，根据实际情况对部分课程内容进行了调整，确保培训的针对性和实效性。</w:t>
      </w:r>
    </w:p>
    <w:p w14:paraId="742C1BB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四、项目支出绩效情况</w:t>
      </w:r>
    </w:p>
    <w:p w14:paraId="02BE7805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（一）项目支出决策情况</w:t>
      </w:r>
    </w:p>
    <w:p w14:paraId="683A841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科学性：项目决策基于详实的调研和数据分析，确保培训内容和课程设置的科学性。</w:t>
      </w:r>
    </w:p>
    <w:p w14:paraId="39B9BAE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合理性：资金使用分配合理，符合项目实施的实际需要。</w:t>
      </w:r>
    </w:p>
    <w:p w14:paraId="690960D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（二）项目支出过程情况</w:t>
      </w:r>
    </w:p>
    <w:p w14:paraId="161CD33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规范性：严格按照项目管理制度执行，确保资金使用的规范性。</w:t>
      </w:r>
    </w:p>
    <w:p w14:paraId="36BCE14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透明性：定期公开项目资金使用情况，接受社会监督。</w:t>
      </w:r>
    </w:p>
    <w:p w14:paraId="670786B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（三）项目支出产出情况</w:t>
      </w:r>
    </w:p>
    <w:p w14:paraId="2A19DE9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完成情况：培训中心已按计划完成建设，课程开发和师资培训按计划实施，培训人数达到既定目标。</w:t>
      </w:r>
    </w:p>
    <w:p w14:paraId="43D5D855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质量：培训课程质量高，学员满意度高。</w:t>
      </w:r>
    </w:p>
    <w:p w14:paraId="36A1E79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（四）项目支出效益情况</w:t>
      </w:r>
    </w:p>
    <w:p w14:paraId="6CEA4B6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经济效益：油茶种植户通过培训，油茶产量平均提高10%，经济效益显著。</w:t>
      </w:r>
    </w:p>
    <w:p w14:paraId="7DD0021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社会效益：提升了农民的技术水平，促进了油茶产业的健康发展，带动了地方经济发展。</w:t>
      </w:r>
    </w:p>
    <w:p w14:paraId="42EA17C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五、主要经验做法、存在的问题及原因分析</w:t>
      </w:r>
    </w:p>
    <w:p w14:paraId="4E855D8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（一）主要经验做法</w:t>
      </w:r>
    </w:p>
    <w:p w14:paraId="6989F032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科学规划：项目前期进行了详细的需求调研和规划，确保项目实施的科学性和合理性。</w:t>
      </w:r>
    </w:p>
    <w:p w14:paraId="4068D28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严格管理：建立了严格的项目管理制度，确保资金使用规范性。</w:t>
      </w:r>
    </w:p>
    <w:p w14:paraId="5695619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 持续改进：根据培训效果和反馈，持续优化培训内容和方式。</w:t>
      </w:r>
    </w:p>
    <w:p w14:paraId="1900760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（二）存在的问题及原因分析</w:t>
      </w:r>
    </w:p>
    <w:p w14:paraId="1B0BFD3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问题：部分培训课程内容更新不及时，无法满足最新技术要求。</w:t>
      </w:r>
    </w:p>
    <w:p w14:paraId="7E1EB56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原因：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油茶</w:t>
      </w:r>
      <w:r>
        <w:rPr>
          <w:rFonts w:hint="eastAsia" w:ascii="Times New Roman" w:hAnsi="Times New Roman" w:eastAsia="仿宋_GB2312"/>
          <w:sz w:val="32"/>
          <w:szCs w:val="32"/>
        </w:rPr>
        <w:t>技术更新较快，需加强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与教师共同开发、更新最新的油茶种植加工技术课程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267F3E8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六、有关建议</w:t>
      </w:r>
    </w:p>
    <w:p w14:paraId="033C458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 加强师资队伍建设，定期组织师资培训和引进高素质师资。</w:t>
      </w:r>
    </w:p>
    <w:p w14:paraId="24F211EC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 加大项目宣传力度，吸引更多农民参与培训。</w:t>
      </w:r>
    </w:p>
    <w:p w14:paraId="707116C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七、其他需要说明的问题</w:t>
      </w:r>
    </w:p>
    <w:p w14:paraId="15B87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/>
        <w:ind w:firstLine="640" w:firstLineChars="200"/>
        <w:textAlignment w:val="auto"/>
        <w:rPr>
          <w:rFonts w:hint="eastAsia" w:ascii="Times New Roman" w:hAnsi="Times New Roman" w:eastAsia="宋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无</w:t>
      </w:r>
    </w:p>
    <w:p w14:paraId="72743ACF">
      <w:pPr>
        <w:spacing w:beforeLines="50"/>
        <w:rPr>
          <w:rFonts w:hint="eastAsia" w:ascii="Times New Roman" w:hAnsi="Times New Roman"/>
        </w:rPr>
      </w:pPr>
    </w:p>
    <w:p w14:paraId="2F8158C2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_GB2312"/>
          <w:sz w:val="32"/>
          <w:szCs w:val="32"/>
        </w:rPr>
        <w:t>衡阳市农民素质教育管理办公室</w:t>
      </w:r>
    </w:p>
    <w:p w14:paraId="1F3A532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2025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 xml:space="preserve">月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</w:p>
    <w:p w14:paraId="4B0083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99304B-BA68-414E-8E02-C1A9BD8244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E4F76CE6-71D1-41B3-AE7B-F991740D54C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B590F91F-26DF-4417-9ECE-21CAF781601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EF404DAB-6709-4B6C-AED2-01C92574CC5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BDA6D1E-FFC1-4E27-973F-E122F6B4E3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C3651"/>
    <w:rsid w:val="734C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adjustRightInd w:val="0"/>
      <w:snapToGrid w:val="0"/>
      <w:jc w:val="both"/>
    </w:pPr>
    <w:rPr>
      <w:rFonts w:ascii="Tahoma" w:hAnsi="Tahoma" w:eastAsia="仿宋" w:cs="Times New Roman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2025-02-25T01:32:00Z</dcterms:created>
  <dc:creator>WPS_1602298454</dc:creator>
  <cp:lastModifiedBy>WPS_1602298454</cp:lastModifiedBy>
  <dcterms:modified xsi:type="dcterms:W3CDTF">2025-02-25T01:34:41Z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34971FF179A9492794ACE3A425CB3C1D_11</vt:lpwstr>
  </property>
  <property fmtid="{D5CDD505-2E9C-101B-9397-08002B2CF9AE}" pid="4" name="KSOTemplateDocerSaveRecord">
    <vt:lpwstr>eyJoZGlkIjoiY2QyOTI1MTA4NGEyNjRhZWFmYjAyZWRjZjJhMDc5YjgiLCJ1c2VySWQiOiIxMTI5MzIzNDMyIn0=</vt:lpwstr>
  </property>
</Properties>
</file>