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6BBB5">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34C66779">
      <w:pPr>
        <w:rPr>
          <w:rFonts w:ascii="Times New Roman" w:hAnsi="Times New Roman" w:eastAsia="方正小标宋简体"/>
          <w:sz w:val="48"/>
          <w:szCs w:val="48"/>
        </w:rPr>
      </w:pPr>
    </w:p>
    <w:p w14:paraId="40D1750A">
      <w:pPr>
        <w:rPr>
          <w:rFonts w:ascii="Times New Roman" w:hAnsi="Times New Roman" w:eastAsia="方正小标宋简体"/>
          <w:sz w:val="48"/>
          <w:szCs w:val="48"/>
        </w:rPr>
      </w:pPr>
    </w:p>
    <w:p w14:paraId="01A8EFE0">
      <w:pPr>
        <w:rPr>
          <w:rFonts w:ascii="Times New Roman" w:hAnsi="Times New Roman" w:eastAsia="方正小标宋简体"/>
          <w:sz w:val="48"/>
          <w:szCs w:val="48"/>
        </w:rPr>
      </w:pPr>
    </w:p>
    <w:p w14:paraId="271A86D1">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4FFC245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B434878">
      <w:pPr>
        <w:jc w:val="center"/>
        <w:rPr>
          <w:rFonts w:ascii="Times New Roman" w:hAnsi="Times New Roman" w:eastAsia="黑体"/>
          <w:sz w:val="32"/>
          <w:szCs w:val="32"/>
        </w:rPr>
      </w:pPr>
    </w:p>
    <w:p w14:paraId="7A018550">
      <w:pPr>
        <w:jc w:val="center"/>
        <w:rPr>
          <w:rFonts w:ascii="Times New Roman" w:hAnsi="Times New Roman" w:eastAsia="黑体"/>
          <w:sz w:val="32"/>
          <w:szCs w:val="32"/>
        </w:rPr>
      </w:pPr>
    </w:p>
    <w:p w14:paraId="17E7574D">
      <w:pPr>
        <w:jc w:val="center"/>
        <w:rPr>
          <w:rFonts w:ascii="Times New Roman" w:hAnsi="Times New Roman" w:eastAsia="黑体"/>
          <w:sz w:val="32"/>
          <w:szCs w:val="32"/>
        </w:rPr>
      </w:pPr>
    </w:p>
    <w:p w14:paraId="0B51E169">
      <w:pPr>
        <w:jc w:val="center"/>
        <w:rPr>
          <w:rFonts w:ascii="Times New Roman" w:hAnsi="Times New Roman" w:eastAsia="黑体"/>
          <w:sz w:val="32"/>
          <w:szCs w:val="32"/>
        </w:rPr>
      </w:pPr>
    </w:p>
    <w:p w14:paraId="5767E608">
      <w:pPr>
        <w:rPr>
          <w:rFonts w:ascii="Times New Roman" w:hAnsi="Times New Roman" w:eastAsia="黑体"/>
          <w:sz w:val="32"/>
          <w:szCs w:val="32"/>
        </w:rPr>
      </w:pPr>
    </w:p>
    <w:p w14:paraId="7C5F475B">
      <w:pPr>
        <w:jc w:val="center"/>
        <w:rPr>
          <w:rFonts w:ascii="Times New Roman" w:hAnsi="Times New Roman"/>
          <w:sz w:val="36"/>
          <w:szCs w:val="36"/>
        </w:rPr>
      </w:pPr>
    </w:p>
    <w:p w14:paraId="27C582EA">
      <w:pPr>
        <w:jc w:val="center"/>
        <w:rPr>
          <w:rFonts w:ascii="Times New Roman" w:hAnsi="Times New Roman"/>
          <w:sz w:val="36"/>
          <w:szCs w:val="36"/>
        </w:rPr>
      </w:pPr>
    </w:p>
    <w:p w14:paraId="3EFBAB7D">
      <w:pPr>
        <w:jc w:val="center"/>
        <w:rPr>
          <w:rFonts w:ascii="Times New Roman" w:hAnsi="Times New Roman"/>
          <w:sz w:val="36"/>
          <w:szCs w:val="36"/>
        </w:rPr>
      </w:pPr>
    </w:p>
    <w:p w14:paraId="57103936">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14:paraId="3C6BBFC6">
      <w:pPr>
        <w:jc w:val="center"/>
        <w:rPr>
          <w:rFonts w:hint="default" w:ascii="Times New Roman" w:hAnsi="Times New Roman" w:eastAsia="宋体"/>
          <w:sz w:val="36"/>
          <w:szCs w:val="36"/>
          <w:lang w:val="en-US" w:eastAsia="zh-CN"/>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lang w:val="en-US" w:eastAsia="zh-CN"/>
        </w:rPr>
        <w:t>张诗国</w:t>
      </w:r>
      <w:bookmarkStart w:id="0" w:name="_GoBack"/>
      <w:bookmarkEnd w:id="0"/>
    </w:p>
    <w:p w14:paraId="7167CFD4">
      <w:pPr>
        <w:jc w:val="center"/>
        <w:rPr>
          <w:rFonts w:ascii="Times New Roman" w:hAnsi="Times New Roman" w:eastAsia="黑体"/>
          <w:sz w:val="36"/>
          <w:szCs w:val="36"/>
        </w:rPr>
      </w:pPr>
    </w:p>
    <w:p w14:paraId="722760FF">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年</w:t>
      </w:r>
      <w:r>
        <w:rPr>
          <w:rFonts w:hint="eastAsia" w:ascii="Times New Roman" w:hAnsi="Times New Roman" w:eastAsia="黑体"/>
          <w:sz w:val="32"/>
          <w:szCs w:val="32"/>
          <w:lang w:val="en-US" w:eastAsia="zh-CN"/>
        </w:rPr>
        <w:t>4</w:t>
      </w:r>
      <w:r>
        <w:rPr>
          <w:rFonts w:ascii="Times New Roman" w:hAnsi="Times New Roman" w:eastAsia="黑体"/>
          <w:sz w:val="32"/>
          <w:szCs w:val="32"/>
        </w:rPr>
        <w:t xml:space="preserve"> 月</w:t>
      </w:r>
      <w:r>
        <w:rPr>
          <w:rFonts w:hint="eastAsia" w:ascii="Times New Roman" w:hAnsi="Times New Roman" w:eastAsia="黑体"/>
          <w:sz w:val="32"/>
          <w:szCs w:val="32"/>
          <w:lang w:val="en-US" w:eastAsia="zh-CN"/>
        </w:rPr>
        <w:t>22</w:t>
      </w:r>
      <w:r>
        <w:rPr>
          <w:rFonts w:ascii="Times New Roman" w:hAnsi="Times New Roman" w:eastAsia="黑体"/>
          <w:sz w:val="32"/>
          <w:szCs w:val="32"/>
        </w:rPr>
        <w:t>日</w:t>
      </w:r>
    </w:p>
    <w:p w14:paraId="1764EA49">
      <w:pPr>
        <w:jc w:val="center"/>
        <w:rPr>
          <w:rFonts w:ascii="Times New Roman" w:hAnsi="Times New Roman" w:eastAsia="黑体"/>
          <w:sz w:val="32"/>
          <w:szCs w:val="32"/>
        </w:rPr>
      </w:pPr>
    </w:p>
    <w:p w14:paraId="7A63476E">
      <w:pPr>
        <w:spacing w:line="600" w:lineRule="exact"/>
        <w:rPr>
          <w:rFonts w:ascii="Times New Roman" w:hAnsi="Times New Roman" w:eastAsia="方正小标宋简体"/>
          <w:sz w:val="44"/>
          <w:szCs w:val="44"/>
        </w:rPr>
      </w:pPr>
    </w:p>
    <w:p w14:paraId="60AD236D">
      <w:pPr>
        <w:spacing w:line="600" w:lineRule="exact"/>
        <w:jc w:val="center"/>
        <w:rPr>
          <w:rFonts w:ascii="Times New Roman" w:hAnsi="Times New Roman" w:eastAsia="方正小标宋简体"/>
          <w:sz w:val="44"/>
          <w:szCs w:val="44"/>
        </w:rPr>
      </w:pPr>
    </w:p>
    <w:p w14:paraId="6B13F5BA">
      <w:pPr>
        <w:spacing w:line="600" w:lineRule="exact"/>
        <w:jc w:val="center"/>
        <w:rPr>
          <w:rFonts w:ascii="Times New Roman" w:hAnsi="Times New Roman" w:eastAsia="方正小标宋_GBK"/>
          <w:sz w:val="32"/>
          <w:szCs w:val="32"/>
        </w:rPr>
      </w:pPr>
      <w:r>
        <w:rPr>
          <w:rFonts w:ascii="Times New Roman" w:hAnsi="Times New Roman" w:eastAsia="方正小标宋简体"/>
          <w:sz w:val="44"/>
          <w:szCs w:val="44"/>
        </w:rPr>
        <w:t>部门整体支出绩效自评报告</w:t>
      </w:r>
    </w:p>
    <w:p w14:paraId="0B277D16">
      <w:pPr>
        <w:pStyle w:val="9"/>
        <w:widowControl/>
        <w:numPr>
          <w:ilvl w:val="0"/>
          <w:numId w:val="1"/>
        </w:numPr>
        <w:ind w:firstLine="640"/>
        <w:rPr>
          <w:rFonts w:eastAsia="黑体"/>
          <w:sz w:val="32"/>
          <w:szCs w:val="32"/>
        </w:rPr>
      </w:pPr>
      <w:r>
        <w:rPr>
          <w:rFonts w:eastAsia="黑体"/>
          <w:sz w:val="32"/>
          <w:szCs w:val="32"/>
        </w:rPr>
        <w:t>部门、单位基本情况</w:t>
      </w:r>
    </w:p>
    <w:p w14:paraId="4EEB5833">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（一）单位主要职责</w:t>
      </w:r>
    </w:p>
    <w:p w14:paraId="42296BE3">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1.组织贯彻执行国家财税方针政策，拟订和执行全市财税发展规划、政策、改革方案，指导全市财政工作；分析预测宏观经济形势，参与拟订各项宏观经济政策；提出运用财税政策实施宏观调控和综合平衡社会财力的建议；拟订和执行市与区、“两区一园”、政府与企业的分配政策，完善鼓励公益事业发展的财税政策。</w:t>
      </w:r>
    </w:p>
    <w:p w14:paraId="22161C5D">
      <w:pPr>
        <w:pStyle w:val="6"/>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2.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情况。组织拟订市本级经费开支标准、定额，负责审核批复部门（单位）的年度预决算。负责政府投资基金市财政出资的资产管理。负责市本级预决算公开。深化财税体制改革，按照财权与事权相匹配的原则，落实省级对市区专项转移支付制度，落实省直管县财政体制改革。实施预算绩效管理，建立全面规范透明、标准科学、约束有力的预算制度。</w:t>
      </w:r>
    </w:p>
    <w:p w14:paraId="217A0BEF">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3.按分工负责政府非税收入管理。建立健全政府非税收入管理制度；负责政府性基金管理，按规定管理行政事业性收费；管理财政票据；推进政府购买服务工作；拟订彩票管理政策和有关办法，监管彩票市场，按规定管理彩票资金。</w:t>
      </w:r>
    </w:p>
    <w:p w14:paraId="0DE7E485">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4.组织实施国库管理、国库集中收付和政府采购制度，指导和监督市本级国库业务，按规定开展国库现金管理工作；拟订政府财务报告编制办法并组织实施；负责市本级财政银行账户、预算单位银行账户监督管理。负责拟订政府采购制度并监督管理。</w:t>
      </w:r>
    </w:p>
    <w:p w14:paraId="008EB44B">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5.负责政府性债务管理工作。拟订市本级政府性债务管理政策、制度和办法，编制地方政府债务余额限额计划；负责全市政府性债务的风险预警评估、风险应急处置；负责地方金融机构和市本级政府投融资公司的财务监管；组织实施存量政府债务置换；负责全市政府性债务监督检查、绩效考评；按规定管理外国政府和国际金融组织贷（赠）款。</w:t>
      </w:r>
    </w:p>
    <w:p w14:paraId="55A18440">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6.负责国有资产管理工作。根据授权，集中统一履行市本级国有金融资本出资人职责，拟订并组织实施市本级国有金融资本管理规章制度。拟订行政事业单位国有资产管理规章制度并组织实施。拟订需要市本级统一规定的开支标准和支出政策。</w:t>
      </w:r>
    </w:p>
    <w:p w14:paraId="3F6AACE2">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7.负责国有资本经营工作。审核和汇总编制国有资本经营预决算草案，拟订国有资本经营预算制度和办法，收取市本级国有企业国有资本收益；组织实施企业财务制度，参与拟订企业国有资产管理相关制度；负责财政预算内行政事业单位和社会团体的非贸易外汇和财政预算内的国际收支管理。</w:t>
      </w:r>
    </w:p>
    <w:p w14:paraId="44742313">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8.负责财政支出管理。办理和监督市财政的经济发展支出、市级政府性投资项目的财政拨款；参与拟订城市基础设施建设投资的有关政策并组织实施；拟订并组织实施基本建设财务制度；组织开展政府投资项目评审；负责有关政策性补贴和专项储备资金管理。</w:t>
      </w:r>
    </w:p>
    <w:p w14:paraId="2D6F6451">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9.负责社保资金（基金）管理。会同有关部门拟订并组织实施社会保障资金（基金）的财务管理制度；负责审核汇总编报社会保障资金（基金）预决算草案；承担社会保险基金财政监管工作。</w:t>
      </w:r>
    </w:p>
    <w:p w14:paraId="4BA96218">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10.负责管理全市的会计工作。组织实施国家统一的会计制度，监督和规范会计行为；指导和监督注册会计师和会计师事务所的业务；指导和管理社会审计。</w:t>
      </w:r>
    </w:p>
    <w:p w14:paraId="619A2F83">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11.负责财政监督检查工作。开展财税法规、政策执行情况监督检查；反映财政收支管理中的重大问题，提出加强财政管理的政策和建议。</w:t>
      </w:r>
    </w:p>
    <w:p w14:paraId="238722BB">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12.负责组织、协调和指导全市的财源建设工作。负责拟订财源建设优惠政策并组织实施；组织编制和实施中长期财源建设发展规划。</w:t>
      </w:r>
    </w:p>
    <w:p w14:paraId="5DC76360">
      <w:pPr>
        <w:pStyle w:val="6"/>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13.负责本行业、领域的应急管理工作，对本行业、领域的安全生产工作实施监督管理。</w:t>
      </w:r>
    </w:p>
    <w:p w14:paraId="0F600DB2">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sz w:val="32"/>
          <w:szCs w:val="32"/>
        </w:rPr>
      </w:pPr>
      <w:r>
        <w:rPr>
          <w:rFonts w:hint="eastAsia" w:ascii="仿宋" w:hAnsi="仿宋" w:eastAsia="仿宋" w:cs="仿宋"/>
          <w:sz w:val="32"/>
          <w:szCs w:val="32"/>
        </w:rPr>
        <w:t>14.完成市委、市政府交办的其他任务。</w:t>
      </w:r>
    </w:p>
    <w:p w14:paraId="240BE7F0">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（二）部门组织机构及人员情况</w:t>
      </w:r>
    </w:p>
    <w:p w14:paraId="716C3F60">
      <w:pPr>
        <w:pStyle w:val="10"/>
        <w:keepNext w:val="0"/>
        <w:keepLines w:val="0"/>
        <w:pageBreakBefore w:val="0"/>
        <w:kinsoku/>
        <w:overflowPunct/>
        <w:topLinePunct w:val="0"/>
        <w:autoSpaceDE/>
        <w:autoSpaceDN/>
        <w:bidi w:val="0"/>
        <w:adjustRightInd/>
        <w:snapToGrid/>
        <w:spacing w:beforeAutospacing="0" w:afterAutospacing="0" w:line="240" w:lineRule="auto"/>
        <w:textAlignment w:val="auto"/>
        <w:rPr>
          <w:rFonts w:eastAsia="黑体"/>
          <w:sz w:val="32"/>
          <w:szCs w:val="32"/>
        </w:rPr>
      </w:pPr>
      <w:r>
        <w:rPr>
          <w:rStyle w:val="11"/>
          <w:rFonts w:hint="default" w:ascii="仿宋" w:hAnsi="仿宋" w:eastAsia="仿宋"/>
        </w:rPr>
        <w:t>根据职</w:t>
      </w:r>
      <w:r>
        <w:rPr>
          <w:rStyle w:val="11"/>
          <w:rFonts w:hint="default" w:hAnsi="仿宋"/>
          <w:kern w:val="2"/>
        </w:rPr>
        <w:t>责，财政局设31个科室，局属三个全额拨款副处级单位。局行政编制</w:t>
      </w:r>
      <w:r>
        <w:rPr>
          <w:rStyle w:val="11"/>
          <w:rFonts w:hint="eastAsia" w:hAnsi="仿宋" w:eastAsia="仿宋_GB2312"/>
          <w:kern w:val="2"/>
          <w:lang w:val="en-US" w:eastAsia="zh-CN"/>
        </w:rPr>
        <w:t>62</w:t>
      </w:r>
      <w:r>
        <w:rPr>
          <w:rStyle w:val="11"/>
          <w:rFonts w:hint="default" w:hAnsi="仿宋"/>
          <w:kern w:val="2"/>
        </w:rPr>
        <w:t>名，参公事业编制</w:t>
      </w:r>
      <w:r>
        <w:rPr>
          <w:rStyle w:val="11"/>
          <w:rFonts w:hint="eastAsia" w:hAnsi="仿宋" w:eastAsia="仿宋_GB2312"/>
          <w:kern w:val="2"/>
          <w:lang w:val="en-US" w:eastAsia="zh-CN"/>
        </w:rPr>
        <w:t>107</w:t>
      </w:r>
      <w:r>
        <w:rPr>
          <w:rStyle w:val="11"/>
          <w:rFonts w:hint="default" w:hAnsi="仿宋"/>
          <w:kern w:val="2"/>
        </w:rPr>
        <w:t>名，全额拨款事业编制</w:t>
      </w:r>
      <w:r>
        <w:rPr>
          <w:rStyle w:val="11"/>
          <w:rFonts w:hint="eastAsia" w:hAnsi="仿宋" w:eastAsia="仿宋_GB2312"/>
          <w:kern w:val="2"/>
          <w:lang w:val="en-US" w:eastAsia="zh-CN"/>
        </w:rPr>
        <w:t>59</w:t>
      </w:r>
      <w:r>
        <w:rPr>
          <w:rStyle w:val="11"/>
          <w:rFonts w:hint="default" w:hAnsi="仿宋"/>
          <w:kern w:val="2"/>
        </w:rPr>
        <w:t>名。202</w:t>
      </w:r>
      <w:r>
        <w:rPr>
          <w:rStyle w:val="11"/>
          <w:rFonts w:hint="eastAsia" w:hAnsi="仿宋" w:eastAsia="仿宋_GB2312"/>
          <w:kern w:val="2"/>
          <w:lang w:val="en-US" w:eastAsia="zh-CN"/>
        </w:rPr>
        <w:t>3</w:t>
      </w:r>
      <w:r>
        <w:rPr>
          <w:rStyle w:val="11"/>
          <w:rFonts w:hint="default" w:hAnsi="仿宋"/>
          <w:kern w:val="2"/>
        </w:rPr>
        <w:t>年末实有在职2</w:t>
      </w:r>
      <w:r>
        <w:rPr>
          <w:rStyle w:val="11"/>
          <w:rFonts w:hint="eastAsia" w:hAnsi="仿宋" w:eastAsia="仿宋_GB2312"/>
          <w:kern w:val="2"/>
          <w:lang w:val="en-US" w:eastAsia="zh-CN"/>
        </w:rPr>
        <w:t>28</w:t>
      </w:r>
      <w:r>
        <w:rPr>
          <w:rStyle w:val="11"/>
          <w:rFonts w:hint="default" w:hAnsi="仿宋"/>
          <w:kern w:val="2"/>
        </w:rPr>
        <w:t>人。</w:t>
      </w:r>
    </w:p>
    <w:p w14:paraId="707F6764">
      <w:pPr>
        <w:pStyle w:val="9"/>
        <w:widowControl/>
        <w:ind w:firstLine="640"/>
        <w:rPr>
          <w:rFonts w:eastAsia="黑体"/>
          <w:sz w:val="32"/>
          <w:szCs w:val="32"/>
        </w:rPr>
      </w:pPr>
      <w:r>
        <w:rPr>
          <w:rFonts w:eastAsia="黑体"/>
          <w:sz w:val="32"/>
          <w:szCs w:val="32"/>
        </w:rPr>
        <w:t>二、一般公共预算支出情况</w:t>
      </w:r>
    </w:p>
    <w:p w14:paraId="65E54655">
      <w:pPr>
        <w:pStyle w:val="9"/>
        <w:widowControl/>
        <w:ind w:firstLine="643"/>
        <w:rPr>
          <w:rFonts w:eastAsia="楷体"/>
          <w:b/>
          <w:sz w:val="32"/>
          <w:szCs w:val="32"/>
        </w:rPr>
      </w:pPr>
      <w:r>
        <w:rPr>
          <w:rFonts w:eastAsia="楷体"/>
          <w:b/>
          <w:sz w:val="32"/>
          <w:szCs w:val="32"/>
        </w:rPr>
        <w:t>（一）基本支出情况</w:t>
      </w:r>
    </w:p>
    <w:p w14:paraId="5DCF385F">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eastAsia="楷体"/>
          <w:b/>
          <w:sz w:val="32"/>
          <w:szCs w:val="32"/>
        </w:rPr>
      </w:pPr>
      <w:r>
        <w:rPr>
          <w:rFonts w:hint="eastAsia" w:ascii="仿宋" w:hAnsi="仿宋" w:eastAsia="仿宋" w:cs="仿宋"/>
          <w:kern w:val="2"/>
          <w:sz w:val="32"/>
          <w:szCs w:val="32"/>
          <w:lang w:val="en-US" w:eastAsia="zh-CN" w:bidi="ar"/>
        </w:rPr>
        <w:t>基本支出是保障我局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eastAsia="仿宋"/>
          <w:sz w:val="32"/>
          <w:szCs w:val="32"/>
          <w:lang w:val="en-US" w:eastAsia="zh-CN"/>
        </w:rPr>
        <w:t>费。</w:t>
      </w:r>
      <w:r>
        <w:rPr>
          <w:rFonts w:hint="eastAsia" w:eastAsia="仿宋"/>
          <w:sz w:val="32"/>
          <w:szCs w:val="32"/>
        </w:rPr>
        <w:t>202</w:t>
      </w:r>
      <w:r>
        <w:rPr>
          <w:rFonts w:hint="eastAsia" w:eastAsia="仿宋"/>
          <w:sz w:val="32"/>
          <w:szCs w:val="32"/>
          <w:lang w:val="en-US" w:eastAsia="zh-CN"/>
        </w:rPr>
        <w:t>4</w:t>
      </w:r>
      <w:r>
        <w:rPr>
          <w:rFonts w:hint="eastAsia" w:eastAsia="仿宋"/>
          <w:sz w:val="32"/>
          <w:szCs w:val="32"/>
        </w:rPr>
        <w:t>年基本支出</w:t>
      </w:r>
      <w:r>
        <w:rPr>
          <w:rFonts w:hint="eastAsia" w:eastAsia="仿宋"/>
          <w:color w:val="000000" w:themeColor="text1"/>
          <w:sz w:val="32"/>
          <w:szCs w:val="32"/>
          <w:lang w:val="en-US" w:eastAsia="zh-CN"/>
          <w14:textFill>
            <w14:solidFill>
              <w14:schemeClr w14:val="tx1"/>
            </w14:solidFill>
          </w14:textFill>
        </w:rPr>
        <w:t>5115.32</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val="en-US" w:eastAsia="zh-CN"/>
          <w14:textFill>
            <w14:solidFill>
              <w14:schemeClr w14:val="tx1"/>
            </w14:solidFill>
          </w14:textFill>
        </w:rPr>
        <w:t>减少1472.9</w:t>
      </w:r>
      <w:r>
        <w:rPr>
          <w:rFonts w:hint="eastAsia" w:eastAsia="仿宋"/>
          <w:color w:val="000000" w:themeColor="text1"/>
          <w:sz w:val="32"/>
          <w:szCs w:val="32"/>
          <w14:textFill>
            <w14:solidFill>
              <w14:schemeClr w14:val="tx1"/>
            </w14:solidFill>
          </w14:textFill>
        </w:rPr>
        <w:t>万元。其中：</w:t>
      </w:r>
      <w:r>
        <w:rPr>
          <w:rFonts w:hint="eastAsia" w:eastAsia="仿宋"/>
          <w:color w:val="000000" w:themeColor="text1"/>
          <w:sz w:val="32"/>
          <w:szCs w:val="32"/>
          <w:lang w:eastAsia="zh-CN"/>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4284.84万元，</w:t>
      </w:r>
      <w:r>
        <w:rPr>
          <w:rFonts w:hint="eastAsia" w:eastAsia="仿宋"/>
          <w:color w:val="000000" w:themeColor="text1"/>
          <w:sz w:val="32"/>
          <w:szCs w:val="32"/>
          <w14:textFill>
            <w14:solidFill>
              <w14:schemeClr w14:val="tx1"/>
            </w14:solidFill>
          </w14:textFill>
        </w:rPr>
        <w:t>占基本支出的</w:t>
      </w:r>
      <w:r>
        <w:rPr>
          <w:rFonts w:hint="eastAsia" w:eastAsia="仿宋"/>
          <w:color w:val="000000" w:themeColor="text1"/>
          <w:sz w:val="32"/>
          <w:szCs w:val="32"/>
          <w:lang w:val="en-US" w:eastAsia="zh-CN"/>
          <w14:textFill>
            <w14:solidFill>
              <w14:schemeClr w14:val="tx1"/>
            </w14:solidFill>
          </w14:textFill>
        </w:rPr>
        <w:t>83.76</w:t>
      </w:r>
      <w:r>
        <w:rPr>
          <w:rFonts w:hint="eastAsia" w:eastAsia="仿宋"/>
          <w:color w:val="000000" w:themeColor="text1"/>
          <w:sz w:val="32"/>
          <w:szCs w:val="32"/>
          <w14:textFill>
            <w14:solidFill>
              <w14:schemeClr w14:val="tx1"/>
            </w14:solidFill>
          </w14:textFill>
        </w:rPr>
        <w:t>%，较上年</w:t>
      </w:r>
      <w:r>
        <w:rPr>
          <w:rFonts w:hint="eastAsia" w:eastAsia="仿宋"/>
          <w:color w:val="000000" w:themeColor="text1"/>
          <w:sz w:val="32"/>
          <w:szCs w:val="32"/>
          <w:lang w:val="en-US" w:eastAsia="zh-CN"/>
          <w14:textFill>
            <w14:solidFill>
              <w14:schemeClr w14:val="tx1"/>
            </w14:solidFill>
          </w14:textFill>
        </w:rPr>
        <w:t>减少1.85</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w:t>
      </w:r>
      <w:r>
        <w:rPr>
          <w:rFonts w:hint="eastAsia" w:eastAsia="仿宋"/>
          <w:color w:val="000000" w:themeColor="text1"/>
          <w:sz w:val="32"/>
          <w:szCs w:val="32"/>
          <w14:textFill>
            <w14:solidFill>
              <w14:schemeClr w14:val="tx1"/>
            </w14:solidFill>
          </w14:textFill>
        </w:rPr>
        <w:t>日常公用经费</w:t>
      </w:r>
      <w:r>
        <w:rPr>
          <w:rFonts w:hint="eastAsia" w:eastAsia="仿宋"/>
          <w:color w:val="000000" w:themeColor="text1"/>
          <w:sz w:val="32"/>
          <w:szCs w:val="32"/>
          <w:lang w:val="en-US" w:eastAsia="zh-CN"/>
          <w14:textFill>
            <w14:solidFill>
              <w14:schemeClr w14:val="tx1"/>
            </w14:solidFill>
          </w14:textFill>
        </w:rPr>
        <w:t>830.48</w:t>
      </w:r>
      <w:r>
        <w:rPr>
          <w:rFonts w:hint="eastAsia" w:eastAsia="仿宋"/>
          <w:color w:val="000000" w:themeColor="text1"/>
          <w:sz w:val="32"/>
          <w:szCs w:val="32"/>
          <w14:textFill>
            <w14:solidFill>
              <w14:schemeClr w14:val="tx1"/>
            </w14:solidFill>
          </w14:textFill>
        </w:rPr>
        <w:t>万元，占基本支出的</w:t>
      </w:r>
      <w:r>
        <w:rPr>
          <w:rFonts w:hint="eastAsia" w:eastAsia="仿宋"/>
          <w:color w:val="000000" w:themeColor="text1"/>
          <w:sz w:val="32"/>
          <w:szCs w:val="32"/>
          <w:lang w:val="en-US" w:eastAsia="zh-CN"/>
          <w14:textFill>
            <w14:solidFill>
              <w14:schemeClr w14:val="tx1"/>
            </w14:solidFill>
          </w14:textFill>
        </w:rPr>
        <w:t>16.24</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eastAsia="zh-CN"/>
          <w14:textFill>
            <w14:solidFill>
              <w14:schemeClr w14:val="tx1"/>
            </w14:solidFill>
          </w14:textFill>
        </w:rPr>
        <w:t>与上年</w:t>
      </w:r>
      <w:r>
        <w:rPr>
          <w:rFonts w:hint="eastAsia" w:eastAsia="仿宋"/>
          <w:color w:val="000000" w:themeColor="text1"/>
          <w:sz w:val="32"/>
          <w:szCs w:val="32"/>
          <w14:textFill>
            <w14:solidFill>
              <w14:schemeClr w14:val="tx1"/>
            </w14:solidFill>
          </w14:textFill>
        </w:rPr>
        <w:t>较上年</w:t>
      </w:r>
      <w:r>
        <w:rPr>
          <w:rFonts w:hint="eastAsia" w:eastAsia="仿宋"/>
          <w:color w:val="000000" w:themeColor="text1"/>
          <w:sz w:val="32"/>
          <w:szCs w:val="32"/>
          <w:lang w:val="en-US" w:eastAsia="zh-CN"/>
          <w14:textFill>
            <w14:solidFill>
              <w14:schemeClr w14:val="tx1"/>
            </w14:solidFill>
          </w14:textFill>
        </w:rPr>
        <w:t>减少7.43</w:t>
      </w:r>
      <w:r>
        <w:rPr>
          <w:rFonts w:hint="eastAsia" w:eastAsia="仿宋"/>
          <w:color w:val="000000" w:themeColor="text1"/>
          <w:sz w:val="32"/>
          <w:szCs w:val="32"/>
          <w14:textFill>
            <w14:solidFill>
              <w14:schemeClr w14:val="tx1"/>
            </w14:solidFill>
          </w14:textFill>
        </w:rPr>
        <w:t xml:space="preserve">%。 </w:t>
      </w:r>
    </w:p>
    <w:p w14:paraId="419FCF5D">
      <w:pPr>
        <w:pStyle w:val="9"/>
        <w:widowControl/>
        <w:ind w:firstLine="643"/>
        <w:rPr>
          <w:rFonts w:eastAsia="楷体"/>
          <w:b/>
          <w:sz w:val="32"/>
          <w:szCs w:val="32"/>
        </w:rPr>
      </w:pPr>
      <w:r>
        <w:rPr>
          <w:rFonts w:eastAsia="楷体"/>
          <w:b/>
          <w:sz w:val="32"/>
          <w:szCs w:val="32"/>
        </w:rPr>
        <w:t>（二）项目支出情况</w:t>
      </w:r>
    </w:p>
    <w:p w14:paraId="44628D82">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仿宋"/>
          <w:sz w:val="32"/>
          <w:szCs w:val="32"/>
        </w:rPr>
      </w:pPr>
      <w:r>
        <w:rPr>
          <w:rFonts w:hint="eastAsia" w:eastAsia="仿宋"/>
          <w:sz w:val="32"/>
          <w:szCs w:val="32"/>
        </w:rPr>
        <w:t>项目支出</w:t>
      </w:r>
      <w:r>
        <w:rPr>
          <w:rFonts w:hint="eastAsia" w:eastAsia="仿宋"/>
          <w:sz w:val="32"/>
          <w:szCs w:val="32"/>
          <w:lang w:eastAsia="zh-CN"/>
        </w:rPr>
        <w:t>是</w:t>
      </w:r>
      <w:r>
        <w:rPr>
          <w:rFonts w:hint="eastAsia" w:eastAsia="仿宋"/>
          <w:sz w:val="32"/>
          <w:szCs w:val="32"/>
        </w:rPr>
        <w:t>为完成财政财务管理工作而发生的支出，主要用于部门预决算编制、国库集中支付、非税收入管理、财政投资评审、政府采购、 财政委托业务、</w:t>
      </w:r>
      <w:r>
        <w:rPr>
          <w:rFonts w:hint="eastAsia" w:ascii="仿宋" w:hAnsi="仿宋" w:eastAsia="仿宋" w:cs="仿宋"/>
          <w:sz w:val="32"/>
          <w:szCs w:val="32"/>
          <w:lang w:val="en-US" w:eastAsia="zh-CN"/>
        </w:rPr>
        <w:t>绩效评价经费、</w:t>
      </w:r>
      <w:r>
        <w:rPr>
          <w:rFonts w:hint="eastAsia" w:eastAsia="仿宋"/>
          <w:sz w:val="32"/>
          <w:szCs w:val="32"/>
        </w:rPr>
        <w:t>法规宣传、全市会计资格（初级、中级会计师）考试考务、非税票据印刷以及</w:t>
      </w:r>
      <w:r>
        <w:rPr>
          <w:rFonts w:hint="eastAsia" w:ascii="仿宋" w:hAnsi="仿宋" w:eastAsia="仿宋" w:cs="仿宋"/>
          <w:color w:val="auto"/>
          <w:sz w:val="32"/>
          <w:szCs w:val="32"/>
          <w:lang w:val="zh-CN" w:eastAsia="zh-CN"/>
        </w:rPr>
        <w:t>财税数据信息平台建设</w:t>
      </w:r>
      <w:r>
        <w:rPr>
          <w:rFonts w:hint="eastAsia" w:eastAsia="仿宋"/>
          <w:sz w:val="32"/>
          <w:szCs w:val="32"/>
        </w:rPr>
        <w:t>和</w:t>
      </w:r>
      <w:r>
        <w:rPr>
          <w:rFonts w:hint="eastAsia" w:eastAsia="仿宋"/>
          <w:sz w:val="32"/>
          <w:szCs w:val="32"/>
          <w:lang w:eastAsia="zh-CN"/>
        </w:rPr>
        <w:t>公共财政项目</w:t>
      </w:r>
      <w:r>
        <w:rPr>
          <w:rFonts w:hint="eastAsia" w:eastAsia="仿宋"/>
          <w:sz w:val="32"/>
          <w:szCs w:val="32"/>
        </w:rPr>
        <w:t>维护方面支出。202</w:t>
      </w:r>
      <w:r>
        <w:rPr>
          <w:rFonts w:hint="eastAsia" w:eastAsia="仿宋"/>
          <w:sz w:val="32"/>
          <w:szCs w:val="32"/>
          <w:lang w:val="en-US" w:eastAsia="zh-CN"/>
        </w:rPr>
        <w:t>4</w:t>
      </w:r>
      <w:r>
        <w:rPr>
          <w:rFonts w:hint="eastAsia" w:eastAsia="仿宋"/>
          <w:sz w:val="32"/>
          <w:szCs w:val="32"/>
        </w:rPr>
        <w:t>年项目支出</w:t>
      </w:r>
      <w:r>
        <w:rPr>
          <w:rFonts w:hint="eastAsia" w:eastAsia="仿宋"/>
          <w:color w:val="000000" w:themeColor="text1"/>
          <w:sz w:val="32"/>
          <w:szCs w:val="32"/>
          <w:lang w:val="en-US" w:eastAsia="zh-CN"/>
          <w14:textFill>
            <w14:solidFill>
              <w14:schemeClr w14:val="tx1"/>
            </w14:solidFill>
          </w14:textFill>
        </w:rPr>
        <w:t>2500.54</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val="en-US" w:eastAsia="zh-CN"/>
          <w14:textFill>
            <w14:solidFill>
              <w14:schemeClr w14:val="tx1"/>
            </w14:solidFill>
          </w14:textFill>
        </w:rPr>
        <w:t>减少567.08</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18.49</w:t>
      </w:r>
      <w:r>
        <w:rPr>
          <w:rFonts w:hint="eastAsia" w:eastAsia="仿宋"/>
          <w:color w:val="000000" w:themeColor="text1"/>
          <w:sz w:val="32"/>
          <w:szCs w:val="32"/>
          <w14:textFill>
            <w14:solidFill>
              <w14:schemeClr w14:val="tx1"/>
            </w14:solidFill>
          </w14:textFill>
        </w:rPr>
        <w:t>%，</w:t>
      </w:r>
      <w:r>
        <w:rPr>
          <w:rFonts w:hint="eastAsia" w:eastAsia="仿宋"/>
          <w:sz w:val="32"/>
          <w:szCs w:val="32"/>
        </w:rPr>
        <w:t>主要是</w:t>
      </w:r>
      <w:r>
        <w:rPr>
          <w:rFonts w:hint="eastAsia" w:eastAsia="仿宋"/>
          <w:sz w:val="32"/>
          <w:szCs w:val="32"/>
          <w:lang w:val="en-US" w:eastAsia="zh-CN"/>
        </w:rPr>
        <w:t>上年度</w:t>
      </w:r>
      <w:r>
        <w:rPr>
          <w:rFonts w:hint="eastAsia" w:ascii="仿宋" w:hAnsi="仿宋" w:eastAsia="仿宋" w:cs="仿宋"/>
          <w:sz w:val="32"/>
          <w:szCs w:val="32"/>
          <w:lang w:val="en-US" w:eastAsia="zh-CN"/>
        </w:rPr>
        <w:t>项目经费</w:t>
      </w:r>
      <w:r>
        <w:rPr>
          <w:rFonts w:hint="eastAsia" w:ascii="仿宋" w:hAnsi="仿宋" w:eastAsia="仿宋" w:cs="仿宋"/>
          <w:color w:val="auto"/>
          <w:sz w:val="32"/>
          <w:szCs w:val="32"/>
          <w:lang w:val="zh-CN" w:eastAsia="zh-CN"/>
        </w:rPr>
        <w:t>财税数据信息平台建设、</w:t>
      </w:r>
      <w:r>
        <w:rPr>
          <w:rFonts w:hint="eastAsia" w:ascii="仿宋" w:hAnsi="仿宋" w:eastAsia="仿宋" w:cs="仿宋"/>
          <w:color w:val="000000" w:themeColor="text1"/>
          <w:sz w:val="32"/>
          <w:szCs w:val="32"/>
          <w:lang w:val="en-US" w:eastAsia="zh-CN"/>
          <w14:textFill>
            <w14:solidFill>
              <w14:schemeClr w14:val="tx1"/>
            </w14:solidFill>
          </w14:textFill>
        </w:rPr>
        <w:t>绩效评价经费等公共财政项目支出增加所致</w:t>
      </w:r>
      <w:r>
        <w:rPr>
          <w:rFonts w:hint="eastAsia" w:ascii="仿宋" w:hAnsi="仿宋" w:eastAsia="仿宋" w:cs="仿宋"/>
          <w:color w:val="auto"/>
          <w:sz w:val="32"/>
          <w:szCs w:val="32"/>
          <w:lang w:val="en-US" w:eastAsia="zh-CN"/>
        </w:rPr>
        <w:t>。</w:t>
      </w:r>
    </w:p>
    <w:p w14:paraId="4194A946">
      <w:pPr>
        <w:pStyle w:val="9"/>
        <w:widowControl/>
        <w:ind w:firstLine="640"/>
        <w:rPr>
          <w:rFonts w:eastAsia="黑体"/>
          <w:sz w:val="32"/>
          <w:szCs w:val="32"/>
        </w:rPr>
      </w:pPr>
      <w:r>
        <w:rPr>
          <w:rFonts w:eastAsia="黑体"/>
          <w:sz w:val="32"/>
          <w:szCs w:val="32"/>
        </w:rPr>
        <w:t>三、政府性基金预算支出情况</w:t>
      </w:r>
    </w:p>
    <w:p w14:paraId="5014DC9A">
      <w:pPr>
        <w:pStyle w:val="9"/>
        <w:widowControl/>
        <w:ind w:firstLine="640"/>
        <w:rPr>
          <w:rFonts w:hint="eastAsia" w:eastAsia="黑体"/>
          <w:sz w:val="32"/>
          <w:szCs w:val="32"/>
          <w:lang w:eastAsia="zh-CN"/>
        </w:rPr>
      </w:pPr>
      <w:r>
        <w:rPr>
          <w:rFonts w:hint="eastAsia" w:eastAsia="黑体"/>
          <w:sz w:val="32"/>
          <w:szCs w:val="32"/>
          <w:lang w:eastAsia="zh-CN"/>
        </w:rPr>
        <w:t>无</w:t>
      </w:r>
    </w:p>
    <w:p w14:paraId="7C2AD5CC">
      <w:pPr>
        <w:pStyle w:val="9"/>
        <w:widowControl/>
        <w:numPr>
          <w:ilvl w:val="0"/>
          <w:numId w:val="2"/>
        </w:numPr>
        <w:ind w:firstLine="640"/>
        <w:rPr>
          <w:rFonts w:eastAsia="黑体"/>
          <w:sz w:val="32"/>
          <w:szCs w:val="32"/>
        </w:rPr>
      </w:pPr>
      <w:r>
        <w:rPr>
          <w:rFonts w:eastAsia="黑体"/>
          <w:sz w:val="32"/>
          <w:szCs w:val="32"/>
        </w:rPr>
        <w:t>国有资本经营预算支出情况</w:t>
      </w:r>
    </w:p>
    <w:p w14:paraId="0057F401">
      <w:pPr>
        <w:pStyle w:val="9"/>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3779B227">
      <w:pPr>
        <w:pStyle w:val="9"/>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099818AD">
      <w:pPr>
        <w:pStyle w:val="9"/>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45205A17">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1A10B4B7">
      <w:pPr>
        <w:keepNext w:val="0"/>
        <w:keepLines w:val="0"/>
        <w:pageBreakBefore w:val="0"/>
        <w:kinsoku/>
        <w:overflowPunct/>
        <w:topLinePunct w:val="0"/>
        <w:autoSpaceDE/>
        <w:autoSpaceDN/>
        <w:bidi w:val="0"/>
        <w:adjustRightInd/>
        <w:snapToGrid/>
        <w:spacing w:beforeAutospacing="0" w:afterAutospacing="0" w:line="240" w:lineRule="auto"/>
        <w:ind w:firstLine="643" w:firstLineChars="200"/>
        <w:textAlignment w:val="auto"/>
        <w:rPr>
          <w:rFonts w:hint="default" w:eastAsia="仿宋" w:cs="Times New Roman"/>
          <w:color w:val="000000" w:themeColor="text1"/>
          <w:sz w:val="32"/>
          <w:szCs w:val="32"/>
          <w:lang w:val="en-US" w:eastAsia="zh-CN"/>
          <w14:textFill>
            <w14:solidFill>
              <w14:schemeClr w14:val="tx1"/>
            </w14:solidFill>
          </w14:textFill>
        </w:rPr>
      </w:pPr>
      <w:r>
        <w:rPr>
          <w:rFonts w:hint="default" w:ascii="仿宋" w:hAnsi="仿宋" w:eastAsia="仿宋" w:cs="仿宋"/>
          <w:b/>
          <w:bCs/>
          <w:sz w:val="32"/>
          <w:szCs w:val="32"/>
          <w:lang w:val="en-US" w:eastAsia="zh-CN"/>
        </w:rPr>
        <w:t>（一）高质量聚财。</w:t>
      </w:r>
      <w:r>
        <w:rPr>
          <w:rFonts w:hint="default" w:eastAsia="仿宋" w:cs="Times New Roman"/>
          <w:color w:val="000000" w:themeColor="text1"/>
          <w:sz w:val="32"/>
          <w:szCs w:val="32"/>
          <w:lang w:val="en-US" w:eastAsia="zh-CN"/>
          <w14:textFill>
            <w14:solidFill>
              <w14:schemeClr w14:val="tx1"/>
            </w14:solidFill>
          </w14:textFill>
        </w:rPr>
        <w:t>围绕财税收入均衡，推进房地产欠缴税费清理、土地变性、涉税信息共享及“三资”盘活等工作，确保财税收入应收尽收。全年地方收入达195.98亿元，居全省第三，连续三年保持前列，且月增长平稳，为近年来首次。上半年和三季度收入均超额完成年初目标，财税收入规模、增幅、质量连续五个月领跑全省。</w:t>
      </w:r>
    </w:p>
    <w:p w14:paraId="7D534895">
      <w:pPr>
        <w:keepNext w:val="0"/>
        <w:keepLines w:val="0"/>
        <w:pageBreakBefore w:val="0"/>
        <w:kinsoku/>
        <w:overflowPunct/>
        <w:topLinePunct w:val="0"/>
        <w:autoSpaceDE/>
        <w:autoSpaceDN/>
        <w:bidi w:val="0"/>
        <w:adjustRightInd/>
        <w:snapToGrid/>
        <w:spacing w:beforeAutospacing="0" w:afterAutospacing="0" w:line="240" w:lineRule="auto"/>
        <w:ind w:firstLine="643" w:firstLineChars="200"/>
        <w:textAlignment w:val="auto"/>
        <w:rPr>
          <w:rFonts w:hint="default" w:eastAsia="仿宋" w:cs="Times New Roman"/>
          <w:color w:val="000000" w:themeColor="text1"/>
          <w:sz w:val="32"/>
          <w:szCs w:val="32"/>
          <w:lang w:val="en-US" w:eastAsia="zh-CN"/>
          <w14:textFill>
            <w14:solidFill>
              <w14:schemeClr w14:val="tx1"/>
            </w14:solidFill>
          </w14:textFill>
        </w:rPr>
      </w:pPr>
      <w:r>
        <w:rPr>
          <w:rFonts w:hint="default" w:ascii="仿宋" w:hAnsi="仿宋" w:eastAsia="仿宋" w:cs="仿宋"/>
          <w:b/>
          <w:bCs/>
          <w:sz w:val="32"/>
          <w:szCs w:val="32"/>
          <w:lang w:val="en-US" w:eastAsia="zh-CN"/>
        </w:rPr>
        <w:t>（二）高效率理财。</w:t>
      </w:r>
      <w:r>
        <w:rPr>
          <w:rFonts w:hint="default" w:eastAsia="仿宋" w:cs="Times New Roman"/>
          <w:color w:val="000000" w:themeColor="text1"/>
          <w:sz w:val="32"/>
          <w:szCs w:val="32"/>
          <w:lang w:val="en-US" w:eastAsia="zh-CN"/>
          <w14:textFill>
            <w14:solidFill>
              <w14:schemeClr w14:val="tx1"/>
            </w14:solidFill>
          </w14:textFill>
        </w:rPr>
        <w:t>紧扣“制造立市、文旅兴城”战略，出台多项政策措施，助力实体产业和文旅经济。减税降费及退税缓费达17.75亿元，激发市场主体活力；为小微企业融资担保22.8亿元，减免担保费0.2亿元；优化财政资金定存，扩大实体经济信贷投放；实施投贷联动，向重点企业发放贷款；争取政策落地资金，拉动投资增长。同时，统筹资金支持旅发大会重点项目及核心景区配套建设。</w:t>
      </w:r>
    </w:p>
    <w:p w14:paraId="36DCF985">
      <w:pPr>
        <w:keepNext w:val="0"/>
        <w:keepLines w:val="0"/>
        <w:pageBreakBefore w:val="0"/>
        <w:kinsoku/>
        <w:overflowPunct/>
        <w:topLinePunct w:val="0"/>
        <w:autoSpaceDE/>
        <w:autoSpaceDN/>
        <w:bidi w:val="0"/>
        <w:adjustRightInd/>
        <w:snapToGrid/>
        <w:spacing w:beforeAutospacing="0" w:afterAutospacing="0" w:line="240" w:lineRule="auto"/>
        <w:ind w:firstLine="643" w:firstLineChars="200"/>
        <w:textAlignment w:val="auto"/>
        <w:rPr>
          <w:rFonts w:hint="default" w:eastAsia="仿宋" w:cs="Times New Roman"/>
          <w:color w:val="000000" w:themeColor="text1"/>
          <w:sz w:val="32"/>
          <w:szCs w:val="32"/>
          <w:lang w:val="en-US" w:eastAsia="zh-CN"/>
          <w14:textFill>
            <w14:solidFill>
              <w14:schemeClr w14:val="tx1"/>
            </w14:solidFill>
          </w14:textFill>
        </w:rPr>
      </w:pPr>
      <w:r>
        <w:rPr>
          <w:rFonts w:hint="default" w:ascii="仿宋" w:hAnsi="仿宋" w:eastAsia="仿宋" w:cs="仿宋"/>
          <w:b/>
          <w:bCs/>
          <w:sz w:val="32"/>
          <w:szCs w:val="32"/>
          <w:lang w:val="en-US" w:eastAsia="zh-CN"/>
        </w:rPr>
        <w:t>（三）高要求用财。</w:t>
      </w:r>
      <w:r>
        <w:rPr>
          <w:rFonts w:hint="default" w:eastAsia="仿宋" w:cs="Times New Roman"/>
          <w:color w:val="000000" w:themeColor="text1"/>
          <w:sz w:val="32"/>
          <w:szCs w:val="32"/>
          <w:lang w:val="en-US" w:eastAsia="zh-CN"/>
          <w14:textFill>
            <w14:solidFill>
              <w14:schemeClr w14:val="tx1"/>
            </w14:solidFill>
          </w14:textFill>
        </w:rPr>
        <w:t>加大民生投入，民生支出占比75.3%。支持就业，发放创业贷款3.22亿元；规范民办义务教育发展，安排资金2.1亿元；改善普通高中办学条件，统筹资金0.93亿元；支持职业教育，统筹资金2.63亿元。同时，保障特困群体生活，助力乡村振兴，推动城区道路、公园提质改造，支持国土绿化及油茶产业发展，加大生态环保投入。</w:t>
      </w:r>
    </w:p>
    <w:p w14:paraId="4335FCD4">
      <w:pPr>
        <w:keepNext w:val="0"/>
        <w:keepLines w:val="0"/>
        <w:pageBreakBefore w:val="0"/>
        <w:kinsoku/>
        <w:overflowPunct/>
        <w:topLinePunct w:val="0"/>
        <w:autoSpaceDE/>
        <w:autoSpaceDN/>
        <w:bidi w:val="0"/>
        <w:adjustRightInd/>
        <w:snapToGrid/>
        <w:spacing w:beforeAutospacing="0" w:afterAutospacing="0" w:line="240" w:lineRule="auto"/>
        <w:ind w:firstLine="643" w:firstLineChars="200"/>
        <w:textAlignment w:val="auto"/>
        <w:rPr>
          <w:rFonts w:hint="eastAsia" w:eastAsia="仿宋" w:cs="Times New Roman"/>
          <w:color w:val="000000" w:themeColor="text1"/>
          <w:sz w:val="32"/>
          <w:szCs w:val="32"/>
          <w:lang w:val="en-US" w:eastAsia="zh-CN"/>
          <w14:textFill>
            <w14:solidFill>
              <w14:schemeClr w14:val="tx1"/>
            </w14:solidFill>
          </w14:textFill>
        </w:rPr>
      </w:pPr>
      <w:r>
        <w:rPr>
          <w:rFonts w:hint="default" w:ascii="仿宋" w:hAnsi="仿宋" w:eastAsia="仿宋" w:cs="仿宋"/>
          <w:b/>
          <w:bCs/>
          <w:sz w:val="32"/>
          <w:szCs w:val="32"/>
          <w:lang w:val="en-US" w:eastAsia="zh-CN"/>
        </w:rPr>
        <w:t>（四）高水平管财。</w:t>
      </w:r>
      <w:r>
        <w:rPr>
          <w:rFonts w:hint="default" w:eastAsia="仿宋" w:cs="Times New Roman"/>
          <w:color w:val="000000" w:themeColor="text1"/>
          <w:sz w:val="32"/>
          <w:szCs w:val="32"/>
          <w:lang w:val="en-US" w:eastAsia="zh-CN"/>
          <w14:textFill>
            <w14:solidFill>
              <w14:schemeClr w14:val="tx1"/>
            </w14:solidFill>
          </w14:textFill>
        </w:rPr>
        <w:t>按照“1+N+X”方案，争取再融资债券175.95亿元，筹措偿债资金25.08亿元，超额完成年度任务。建立降息协商机制，降低平台公司银行贷款利率，节约利息支出。强化县级财政预算编制审核，加强风险预警，对高风险县市区实施联合盯防。安排省直管县专项补助，支持县市财政运行。调拨城区库款资金，缓解收入锐减困境。</w:t>
      </w:r>
    </w:p>
    <w:p w14:paraId="697D3634">
      <w:pPr>
        <w:pStyle w:val="9"/>
        <w:widowControl/>
        <w:ind w:firstLine="640"/>
        <w:rPr>
          <w:rFonts w:eastAsia="黑体"/>
          <w:sz w:val="32"/>
          <w:szCs w:val="32"/>
        </w:rPr>
      </w:pPr>
      <w:r>
        <w:rPr>
          <w:rFonts w:eastAsia="黑体"/>
          <w:sz w:val="32"/>
          <w:szCs w:val="32"/>
        </w:rPr>
        <w:t>七、存在的问题及原因分析</w:t>
      </w:r>
    </w:p>
    <w:p w14:paraId="4ECFECE9">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4</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14:paraId="7CF2BAAF">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，一方面培训费、公务接待等项目执行情况与年初预算有一定的偏差，</w:t>
      </w:r>
      <w:r>
        <w:rPr>
          <w:rFonts w:hint="eastAsia" w:eastAsia="仿宋_GB2312" w:cs="Times New Roman"/>
          <w:sz w:val="32"/>
          <w:szCs w:val="32"/>
          <w:lang w:val="en-US" w:eastAsia="zh-CN"/>
        </w:rPr>
        <w:t>同时</w:t>
      </w:r>
      <w:r>
        <w:rPr>
          <w:rFonts w:hint="default" w:eastAsia="仿宋_GB2312" w:cs="Times New Roman"/>
          <w:sz w:val="32"/>
          <w:szCs w:val="32"/>
          <w:lang w:val="en-US" w:eastAsia="zh-CN"/>
        </w:rPr>
        <w:t>无预算、超预算支出的</w:t>
      </w:r>
      <w:r>
        <w:rPr>
          <w:rFonts w:hint="default" w:eastAsia="仿宋_GB2312" w:cs="Times New Roman"/>
          <w:sz w:val="32"/>
          <w:szCs w:val="32"/>
          <w:lang w:val="en" w:eastAsia="zh-CN"/>
        </w:rPr>
        <w:t>现象时有发生</w:t>
      </w:r>
      <w:r>
        <w:rPr>
          <w:rFonts w:hint="eastAsia" w:eastAsia="仿宋_GB2312" w:cs="Times New Roman"/>
          <w:sz w:val="32"/>
          <w:szCs w:val="32"/>
          <w:lang w:eastAsia="zh-CN"/>
        </w:rPr>
        <w:t>，预算执行率偏低；另一方面由于</w:t>
      </w:r>
      <w:r>
        <w:rPr>
          <w:rFonts w:hint="eastAsia" w:eastAsia="仿宋_GB2312" w:cs="Times New Roman"/>
          <w:sz w:val="32"/>
          <w:szCs w:val="32"/>
          <w:lang w:val="en-US" w:eastAsia="zh-CN"/>
        </w:rPr>
        <w:t>部分公共财政项目支出增加，</w:t>
      </w:r>
      <w:r>
        <w:rPr>
          <w:rFonts w:hint="eastAsia" w:eastAsia="仿宋_GB2312" w:cs="Times New Roman"/>
          <w:sz w:val="32"/>
          <w:szCs w:val="32"/>
          <w:lang w:eastAsia="zh-CN"/>
        </w:rPr>
        <w:t>年中存在追加的情况。我们将在下年加以重视，提前谋划，科学编制项目预算，进一步提高预算编制的精确性。</w:t>
      </w:r>
      <w:r>
        <w:rPr>
          <w:rFonts w:hint="eastAsia" w:eastAsia="仿宋_GB2312" w:cs="Times New Roman"/>
          <w:sz w:val="32"/>
          <w:szCs w:val="32"/>
          <w:lang w:val="en-US" w:eastAsia="zh-CN"/>
        </w:rPr>
        <w:t xml:space="preserve">    </w:t>
      </w:r>
    </w:p>
    <w:p w14:paraId="5292D90E">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firstLineChars="200"/>
        <w:jc w:val="left"/>
        <w:textAlignment w:val="auto"/>
        <w:rPr>
          <w:rFonts w:eastAsia="黑体"/>
          <w:sz w:val="32"/>
          <w:szCs w:val="32"/>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支付业务不一致，不便于预算的执行。为确保资金专款专用，需要在年度内进行预算指标调整，从而导致了预算调整数增加。</w:t>
      </w:r>
    </w:p>
    <w:p w14:paraId="2DD76BF5">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3E3BE592">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针对上述存在的问题及我局整体支出管理工作的需要，拟采取以下改进措施：</w:t>
      </w:r>
    </w:p>
    <w:p w14:paraId="7CECDD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left"/>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lang w:val="en-US" w:eastAsia="zh-CN"/>
        </w:rPr>
        <w:t>（一）科学编制预算。</w:t>
      </w:r>
      <w:r>
        <w:rPr>
          <w:rFonts w:hint="eastAsia" w:ascii="仿宋_GB2312" w:hAnsi="仿宋_GB2312" w:eastAsia="仿宋_GB2312" w:cs="仿宋_GB2312"/>
          <w:sz w:val="32"/>
          <w:szCs w:val="32"/>
          <w:lang w:val="en-US" w:eastAsia="zh-CN"/>
        </w:rPr>
        <w:t>加强对年度财务收支情况进行分析对比，提前了解年度</w:t>
      </w:r>
      <w:r>
        <w:rPr>
          <w:rFonts w:hint="eastAsia" w:ascii="仿宋" w:hAnsi="仿宋" w:eastAsia="仿宋" w:cs="仿宋"/>
          <w:sz w:val="32"/>
          <w:szCs w:val="32"/>
        </w:rPr>
        <w:t>预算收支变化因素</w:t>
      </w:r>
      <w:r>
        <w:rPr>
          <w:rFonts w:hint="eastAsia" w:ascii="仿宋" w:hAnsi="仿宋" w:eastAsia="仿宋" w:cs="仿宋"/>
          <w:sz w:val="32"/>
          <w:szCs w:val="32"/>
          <w:lang w:eastAsia="zh-CN"/>
        </w:rPr>
        <w:t>，科学</w:t>
      </w:r>
      <w:r>
        <w:rPr>
          <w:rFonts w:hint="eastAsia" w:ascii="仿宋" w:hAnsi="仿宋" w:eastAsia="仿宋" w:cs="仿宋"/>
          <w:sz w:val="32"/>
          <w:szCs w:val="32"/>
          <w:lang w:val="en-US" w:eastAsia="zh-CN"/>
        </w:rPr>
        <w:t>合理编制预算；</w:t>
      </w:r>
      <w:r>
        <w:rPr>
          <w:rFonts w:hint="eastAsia" w:ascii="仿宋" w:hAnsi="仿宋" w:eastAsia="仿宋" w:cs="仿宋"/>
          <w:sz w:val="32"/>
          <w:szCs w:val="32"/>
          <w:lang w:eastAsia="zh-CN"/>
        </w:rPr>
        <w:t>认真</w:t>
      </w:r>
      <w:r>
        <w:rPr>
          <w:rFonts w:hint="eastAsia" w:ascii="仿宋" w:hAnsi="仿宋" w:eastAsia="仿宋" w:cs="仿宋"/>
          <w:sz w:val="32"/>
          <w:szCs w:val="32"/>
        </w:rPr>
        <w:t>分析</w:t>
      </w:r>
      <w:r>
        <w:rPr>
          <w:rFonts w:hint="eastAsia" w:ascii="仿宋" w:hAnsi="仿宋" w:eastAsia="仿宋" w:cs="仿宋"/>
          <w:sz w:val="32"/>
          <w:szCs w:val="32"/>
          <w:lang w:eastAsia="zh-CN"/>
        </w:rPr>
        <w:t>测算</w:t>
      </w:r>
      <w:r>
        <w:rPr>
          <w:rFonts w:hint="eastAsia" w:ascii="仿宋" w:hAnsi="仿宋" w:eastAsia="仿宋" w:cs="仿宋"/>
          <w:sz w:val="32"/>
          <w:szCs w:val="32"/>
        </w:rPr>
        <w:t>预算项目的必要性、可行性和所需资金，将预算细化到</w:t>
      </w:r>
      <w:r>
        <w:rPr>
          <w:rFonts w:hint="eastAsia" w:ascii="仿宋_GB2312" w:hAnsi="仿宋_GB2312" w:eastAsia="仿宋_GB2312" w:cs="仿宋_GB2312"/>
          <w:sz w:val="32"/>
          <w:szCs w:val="32"/>
          <w:lang w:val="en-US" w:eastAsia="zh-CN"/>
        </w:rPr>
        <w:t>支出经济分类项目</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提高预算编制的</w:t>
      </w:r>
      <w:r>
        <w:rPr>
          <w:rFonts w:hint="eastAsia" w:ascii="仿宋" w:hAnsi="仿宋" w:eastAsia="仿宋" w:cs="仿宋"/>
          <w:sz w:val="32"/>
          <w:szCs w:val="32"/>
        </w:rPr>
        <w:t>科学性、合理性和准确性</w:t>
      </w:r>
      <w:r>
        <w:rPr>
          <w:rFonts w:hint="eastAsia" w:ascii="仿宋_GB2312" w:hAnsi="仿宋_GB2312" w:eastAsia="仿宋_GB2312" w:cs="仿宋_GB2312"/>
          <w:sz w:val="32"/>
          <w:szCs w:val="32"/>
          <w:lang w:val="en-US" w:eastAsia="zh-CN"/>
        </w:rPr>
        <w:t>，以</w:t>
      </w:r>
      <w:r>
        <w:rPr>
          <w:rFonts w:hint="eastAsia" w:ascii="仿宋" w:hAnsi="仿宋" w:eastAsia="仿宋" w:cs="仿宋"/>
          <w:sz w:val="32"/>
          <w:szCs w:val="32"/>
        </w:rPr>
        <w:t>增强预算的可操作性，减少</w:t>
      </w:r>
      <w:r>
        <w:rPr>
          <w:rFonts w:hint="eastAsia" w:ascii="仿宋" w:hAnsi="仿宋" w:eastAsia="仿宋" w:cs="仿宋"/>
          <w:sz w:val="32"/>
          <w:szCs w:val="32"/>
          <w:lang w:eastAsia="zh-CN"/>
        </w:rPr>
        <w:t>预算调整事项</w:t>
      </w:r>
      <w:r>
        <w:rPr>
          <w:rFonts w:hint="eastAsia" w:ascii="仿宋" w:hAnsi="仿宋" w:eastAsia="仿宋" w:cs="仿宋"/>
          <w:sz w:val="32"/>
          <w:szCs w:val="32"/>
        </w:rPr>
        <w:t>，以提高财政资金使用效益。</w:t>
      </w:r>
    </w:p>
    <w:p w14:paraId="103F6D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left"/>
        <w:textAlignment w:val="auto"/>
      </w:pPr>
      <w:r>
        <w:rPr>
          <w:rFonts w:hint="eastAsia" w:ascii="Times New Roman" w:hAnsi="Times New Roman" w:eastAsia="仿宋_GB2312" w:cs="仿宋_GB2312"/>
          <w:b/>
          <w:bCs/>
          <w:sz w:val="32"/>
          <w:szCs w:val="32"/>
          <w:lang w:val="en-US" w:eastAsia="zh-CN"/>
        </w:rPr>
        <w:t>（二）强化预算执行。</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同时强化项目库管理，整合项目资金，进一步强化预算刚性约束。</w:t>
      </w:r>
    </w:p>
    <w:p w14:paraId="3EA02369">
      <w:pPr>
        <w:widowControl/>
        <w:numPr>
          <w:ilvl w:val="0"/>
          <w:numId w:val="3"/>
        </w:numPr>
        <w:ind w:firstLine="640" w:firstLineChars="200"/>
        <w:rPr>
          <w:rFonts w:hint="eastAsia" w:ascii="黑体" w:hAnsi="黑体" w:eastAsia="黑体" w:cs="黑体"/>
          <w:kern w:val="0"/>
          <w:sz w:val="32"/>
          <w:szCs w:val="32"/>
        </w:rPr>
      </w:pPr>
      <w:r>
        <w:rPr>
          <w:rFonts w:ascii="Times New Roman" w:hAnsi="Times New Roman" w:eastAsia="黑体"/>
          <w:sz w:val="32"/>
          <w:szCs w:val="32"/>
        </w:rPr>
        <w:t>其他需要说明的情况</w:t>
      </w:r>
    </w:p>
    <w:p w14:paraId="078DDB76">
      <w:pPr>
        <w:ind w:right="640"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05B49"/>
    <w:multiLevelType w:val="singleLevel"/>
    <w:tmpl w:val="15B05B49"/>
    <w:lvl w:ilvl="0" w:tentative="0">
      <w:start w:val="9"/>
      <w:numFmt w:val="chineseCounting"/>
      <w:suff w:val="nothing"/>
      <w:lvlText w:val="%1、"/>
      <w:lvlJc w:val="left"/>
      <w:rPr>
        <w:rFonts w:hint="eastAsia"/>
      </w:rPr>
    </w:lvl>
  </w:abstractNum>
  <w:abstractNum w:abstractNumId="1">
    <w:nsid w:val="205C51D6"/>
    <w:multiLevelType w:val="singleLevel"/>
    <w:tmpl w:val="205C51D6"/>
    <w:lvl w:ilvl="0" w:tentative="0">
      <w:start w:val="1"/>
      <w:numFmt w:val="chineseCounting"/>
      <w:suff w:val="nothing"/>
      <w:lvlText w:val="%1、"/>
      <w:lvlJc w:val="left"/>
      <w:rPr>
        <w:rFonts w:hint="eastAsia"/>
      </w:rPr>
    </w:lvl>
  </w:abstractNum>
  <w:abstractNum w:abstractNumId="2">
    <w:nsid w:val="7DEE7FB8"/>
    <w:multiLevelType w:val="singleLevel"/>
    <w:tmpl w:val="7DEE7FB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jEwY2FmODI0ZDI5MDBhZjVmZjZhOGQzOWQ0ZWEifQ=="/>
  </w:docVars>
  <w:rsids>
    <w:rsidRoot w:val="0F0B37F1"/>
    <w:rsid w:val="008C6C96"/>
    <w:rsid w:val="023615AF"/>
    <w:rsid w:val="03B804CE"/>
    <w:rsid w:val="093C394F"/>
    <w:rsid w:val="0E3A7517"/>
    <w:rsid w:val="0EC56195"/>
    <w:rsid w:val="0ED85EC8"/>
    <w:rsid w:val="0F0B37F1"/>
    <w:rsid w:val="14891A12"/>
    <w:rsid w:val="190855FC"/>
    <w:rsid w:val="1B4F12C0"/>
    <w:rsid w:val="1B530684"/>
    <w:rsid w:val="22FF7A6F"/>
    <w:rsid w:val="25C64874"/>
    <w:rsid w:val="27814EF7"/>
    <w:rsid w:val="27822A1D"/>
    <w:rsid w:val="2AF14141"/>
    <w:rsid w:val="2C471B3F"/>
    <w:rsid w:val="2E6701DD"/>
    <w:rsid w:val="32827D75"/>
    <w:rsid w:val="328C5110"/>
    <w:rsid w:val="33F0758F"/>
    <w:rsid w:val="35DA1C76"/>
    <w:rsid w:val="36010FB1"/>
    <w:rsid w:val="3862667F"/>
    <w:rsid w:val="387168C2"/>
    <w:rsid w:val="3B3D1FD5"/>
    <w:rsid w:val="3BDD601C"/>
    <w:rsid w:val="3C1E0B0E"/>
    <w:rsid w:val="3DA54918"/>
    <w:rsid w:val="3E1877DF"/>
    <w:rsid w:val="3E8A248B"/>
    <w:rsid w:val="41686388"/>
    <w:rsid w:val="425F3C2F"/>
    <w:rsid w:val="48217291"/>
    <w:rsid w:val="48EC3D42"/>
    <w:rsid w:val="4C082C41"/>
    <w:rsid w:val="4DD70B1D"/>
    <w:rsid w:val="502D2C76"/>
    <w:rsid w:val="50C21D83"/>
    <w:rsid w:val="50ED2406"/>
    <w:rsid w:val="53C705F9"/>
    <w:rsid w:val="55175CA3"/>
    <w:rsid w:val="55F34962"/>
    <w:rsid w:val="56077881"/>
    <w:rsid w:val="5A074538"/>
    <w:rsid w:val="5BCA3A6F"/>
    <w:rsid w:val="5D9E6F62"/>
    <w:rsid w:val="609805E0"/>
    <w:rsid w:val="67254250"/>
    <w:rsid w:val="68DB550E"/>
    <w:rsid w:val="6CC30793"/>
    <w:rsid w:val="6E0B0643"/>
    <w:rsid w:val="75752846"/>
    <w:rsid w:val="7CB43C54"/>
    <w:rsid w:val="7F55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1"/>
    <w:qFormat/>
    <w:uiPriority w:val="0"/>
    <w:pPr>
      <w:spacing w:after="120" w:afterLines="0" w:afterAutospacing="0"/>
    </w:p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footnote text"/>
    <w:basedOn w:val="1"/>
    <w:next w:val="3"/>
    <w:unhideWhenUsed/>
    <w:qFormat/>
    <w:uiPriority w:val="0"/>
    <w:pPr>
      <w:snapToGrid w:val="0"/>
      <w:jc w:val="left"/>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List Paragraph"/>
    <w:basedOn w:val="1"/>
    <w:qFormat/>
    <w:uiPriority w:val="99"/>
    <w:pPr>
      <w:ind w:firstLine="420" w:firstLineChars="200"/>
    </w:pPr>
    <w:rPr>
      <w:rFonts w:ascii="Times New Roman" w:hAnsi="Times New Roman"/>
      <w:szCs w:val="24"/>
    </w:rPr>
  </w:style>
  <w:style w:type="paragraph" w:customStyle="1" w:styleId="10">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11">
    <w:name w:val="ca-31"/>
    <w:basedOn w:val="8"/>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3323</Words>
  <Characters>3471</Characters>
  <Lines>0</Lines>
  <Paragraphs>0</Paragraphs>
  <TotalTime>207</TotalTime>
  <ScaleCrop>false</ScaleCrop>
  <LinksUpToDate>false</LinksUpToDate>
  <CharactersWithSpaces>3500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2024-03-29T03:12:00Z</dcterms:created>
  <dc:creator>刘志伟 null</dc:creator>
  <cp:lastModifiedBy>舒理画</cp:lastModifiedBy>
  <dcterms:modified xsi:type="dcterms:W3CDTF">2025-09-28T09:12:11Z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F31096C44E424FA0B31934C3501F00E5</vt:lpwstr>
  </property>
  <property fmtid="{D5CDD505-2E9C-101B-9397-08002B2CF9AE}" pid="4" name="KSOTemplateDocerSaveRecord">
    <vt:lpwstr>eyJoZGlkIjoiMDFkNjNmYWZmNmUzM2Q1YjViMjI5ZDk2ZTY2MmJiYjciLCJ1c2VySWQiOiIyMTU3Nzk5MzAifQ==</vt:lpwstr>
  </property>
</Properties>
</file>