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C8C1">
      <w:pPr>
        <w:widowControl/>
        <w:spacing w:line="600" w:lineRule="exact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8CD7E38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项目</w:t>
      </w:r>
      <w:r>
        <w:rPr>
          <w:rFonts w:ascii="Times New Roman" w:hAnsi="Times New Roman" w:eastAsia="方正小标宋简体"/>
          <w:sz w:val="48"/>
          <w:szCs w:val="48"/>
        </w:rPr>
        <w:t>支出绩效自评报告</w:t>
      </w:r>
    </w:p>
    <w:p w14:paraId="3FA161C0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6BF66C2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E1859F5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4377DE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97ACAA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99D5054">
      <w:pPr>
        <w:rPr>
          <w:rFonts w:ascii="Times New Roman" w:hAnsi="Times New Roman" w:eastAsia="黑体"/>
          <w:sz w:val="32"/>
          <w:szCs w:val="32"/>
        </w:rPr>
      </w:pPr>
    </w:p>
    <w:p w14:paraId="5CDEF6F5">
      <w:pPr>
        <w:jc w:val="center"/>
        <w:rPr>
          <w:rFonts w:ascii="Times New Roman" w:hAnsi="Times New Roman"/>
          <w:sz w:val="36"/>
          <w:szCs w:val="36"/>
        </w:rPr>
      </w:pPr>
    </w:p>
    <w:p w14:paraId="09396181">
      <w:pPr>
        <w:jc w:val="center"/>
        <w:rPr>
          <w:rFonts w:ascii="Times New Roman" w:hAnsi="Times New Roman"/>
          <w:sz w:val="36"/>
          <w:szCs w:val="36"/>
        </w:rPr>
      </w:pPr>
    </w:p>
    <w:p w14:paraId="41A9A1A8">
      <w:pPr>
        <w:jc w:val="center"/>
        <w:rPr>
          <w:rFonts w:ascii="Times New Roman" w:hAnsi="Times New Roman"/>
          <w:sz w:val="36"/>
          <w:szCs w:val="36"/>
        </w:rPr>
      </w:pPr>
    </w:p>
    <w:p w14:paraId="3A2FED36">
      <w:pPr>
        <w:jc w:val="center"/>
        <w:rPr>
          <w:rFonts w:ascii="Times New Roman" w:hAnsi="Times New Roman"/>
          <w:sz w:val="36"/>
          <w:szCs w:val="36"/>
        </w:rPr>
      </w:pPr>
    </w:p>
    <w:p w14:paraId="108B38B2">
      <w:pPr>
        <w:jc w:val="center"/>
        <w:rPr>
          <w:rFonts w:ascii="Times New Roman" w:hAnsi="Times New Roman"/>
          <w:sz w:val="36"/>
          <w:szCs w:val="36"/>
        </w:rPr>
      </w:pPr>
    </w:p>
    <w:p w14:paraId="557B389D">
      <w:pPr>
        <w:jc w:val="center"/>
        <w:rPr>
          <w:rFonts w:hint="eastAsia"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sz w:val="36"/>
          <w:szCs w:val="36"/>
          <w:lang w:eastAsia="zh-CN"/>
        </w:rPr>
        <w:t>衡阳市就业服务中心</w:t>
      </w:r>
    </w:p>
    <w:p w14:paraId="6E76C59D">
      <w:pPr>
        <w:jc w:val="center"/>
        <w:rPr>
          <w:rFonts w:hint="default" w:ascii="Times New Roman" w:hAnsi="Times New Roman"/>
          <w:sz w:val="36"/>
          <w:szCs w:val="36"/>
          <w:lang w:val="en-US" w:eastAsia="zh-CN"/>
        </w:rPr>
      </w:pPr>
    </w:p>
    <w:p w14:paraId="78C638A4">
      <w:pPr>
        <w:ind w:firstLine="1080" w:firstLineChars="300"/>
        <w:jc w:val="both"/>
        <w:rPr>
          <w:rFonts w:hint="default" w:ascii="Times New Roman" w:hAnsi="Times New Roman" w:eastAsia="宋体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2DEFFF12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2DD131BA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76A29D52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FA3BBE1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645A5CAA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65D9A959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483FA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项目支出绩效自评报告</w:t>
      </w:r>
    </w:p>
    <w:p w14:paraId="0EDB9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right="641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12CF1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一、项目支出概况</w:t>
      </w:r>
    </w:p>
    <w:p w14:paraId="1F20D58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（一）单位基本情况。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我中心编制数32人，2024年底实际在编29人，现有退休18人。</w:t>
      </w:r>
    </w:p>
    <w:p w14:paraId="01525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（二）项目资金基本情况。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我中心稳就业专项经费属于年初预算项目经费，主要用于促进就创业，承办各项就创业活动所产生的的工作经费、劳务费等。</w:t>
      </w:r>
    </w:p>
    <w:p w14:paraId="2CB59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（三）预算资金绩效目标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持续开展就创业服务活动，五创联动；为参加失业保险的企业提供各项政策及业务服务，为失业人员提供失业待遇保障。</w:t>
      </w:r>
    </w:p>
    <w:p w14:paraId="5C290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二、项目资金使用及管理情况</w:t>
      </w:r>
    </w:p>
    <w:p w14:paraId="25065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（一）项目资金的总投入情况。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2024年，我中心稳就业专项经费30万元。</w:t>
      </w:r>
    </w:p>
    <w:p w14:paraId="00F0E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（二）项目资金实际使用情况。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全年支出25.27万元，年末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结余4.73万元。</w:t>
      </w:r>
    </w:p>
    <w:p w14:paraId="285AF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三、项目支出组织实施情况</w:t>
      </w:r>
    </w:p>
    <w:p w14:paraId="2AD81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稳就业专项经费专款专用，每一笔用款计划，均需中心领导审批；每使用一笔经费，严格按照各项政策及我局财务管理制度执行审核、报销流程。</w:t>
      </w:r>
    </w:p>
    <w:p w14:paraId="56341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四、项目支出绩效情况</w:t>
      </w:r>
    </w:p>
    <w:p w14:paraId="72E85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面对复杂严峻形势和多重困难挑战，我中心高效统筹经济下行压力和经济社会发展，精心打造“线上+线下”“降费+返补”“帮扶+扩岗”“培训+输转”的“4+模式”，积极落实省厅“五创联动”决策部署，全力以赴稳就业保就业，全市就业形势持续保持总体稳定。</w:t>
      </w:r>
    </w:p>
    <w:p w14:paraId="3E621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五、主要经验做法、存在的问题及原因分析</w:t>
      </w:r>
    </w:p>
    <w:p w14:paraId="5EC0D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（一）主要做法</w:t>
      </w:r>
    </w:p>
    <w:p w14:paraId="29591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1.线上+线下，搭好平台强化就业服务。依托人社一体化平台，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就业、失业登记等有关行政许可事项下放至社区，打通就业服务“最后一米”。实现“家前就业、转角实现”工作目标，启动了以打造社区“就业角”为特色的充分就业社区（村）建设工作，打造独具特色的“5分钟就业服务圈”。</w:t>
      </w:r>
    </w:p>
    <w:p w14:paraId="694FD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2.降费+返补，全力助企纾困稳定就业。积极落实援企稳岗政策措施，开展送政策“敲门行动”和“点对点”上门服务，打好“降、返、补、扩”政策“组合拳”，帮助企业减压力增活力，全力稳定就业形势。</w:t>
      </w:r>
    </w:p>
    <w:p w14:paraId="3F515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3.帮扶+扩岗，聚焦重点群体托底就业。</w:t>
      </w:r>
    </w:p>
    <w:p w14:paraId="0E0FC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4.培训+输转，提升劳务技能促进就业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5B5C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5.五创联动，全方位支持创业者创业。</w:t>
      </w:r>
    </w:p>
    <w:p w14:paraId="25404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（二）存在问题及原因分析</w:t>
      </w:r>
    </w:p>
    <w:p w14:paraId="6F4A3F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对专项资金依赖性强。稳就业专项经费负担了我中心35%的工作经费开支，2025年已较近两年缩减20%，如逐年收紧预算，我中心将难以保障正常工作开展的经费需求。</w:t>
      </w:r>
    </w:p>
    <w:p w14:paraId="303C3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六、有关建议</w:t>
      </w:r>
    </w:p>
    <w:p w14:paraId="02F4AF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p w14:paraId="6805F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七、其他需要说明的问题</w:t>
      </w:r>
    </w:p>
    <w:p w14:paraId="439468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  <w:r>
        <w:rPr>
          <w:rFonts w:hint="eastAsia"/>
          <w:lang w:val="en-US" w:eastAsia="zh-CN"/>
        </w:rPr>
        <w:t xml:space="preserve">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0544A"/>
    <w:rsid w:val="28733327"/>
    <w:rsid w:val="377156CF"/>
    <w:rsid w:val="499F775E"/>
    <w:rsid w:val="6105633A"/>
    <w:rsid w:val="6E5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957</Characters>
  <Lines>0</Lines>
  <Paragraphs>0</Paragraphs>
  <TotalTime>1</TotalTime>
  <ScaleCrop>false</ScaleCrop>
  <LinksUpToDate>false</LinksUpToDate>
  <CharactersWithSpaces>969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2025-02-28T07:17:00Z</dcterms:created>
  <dc:creator>韵</dc:creator>
  <cp:lastModifiedBy>韵</cp:lastModifiedBy>
  <dcterms:modified xsi:type="dcterms:W3CDTF">2025-09-25T09:26:05Z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DAC35EAB265A4D569F0CBF9F21523B80_11</vt:lpwstr>
  </property>
  <property fmtid="{D5CDD505-2E9C-101B-9397-08002B2CF9AE}" pid="4" name="KSOTemplateDocerSaveRecord">
    <vt:lpwstr>eyJoZGlkIjoiMjhmYmExM2I0NjgyMTZhMDI1NzE4YzFhOTg2ZWNkYjMiLCJ1c2VySWQiOiIyNjQ2NTY4ODUifQ==</vt:lpwstr>
  </property>
</Properties>
</file>