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8C2AE">
      <w:pPr>
        <w:spacing w:afterLines="100"/>
        <w:rPr>
          <w:rFonts w:ascii="Times New Roman" w:hAnsi="Times New Roman" w:eastAsia="仿宋_GB2312"/>
          <w:kern w:val="0"/>
          <w:sz w:val="32"/>
          <w:szCs w:val="32"/>
        </w:rPr>
      </w:pPr>
      <w:r>
        <w:rPr>
          <w:rFonts w:hint="eastAsia" w:ascii="黑体" w:hAnsi="黑体" w:eastAsia="黑体" w:cs="黑体"/>
          <w:kern w:val="0"/>
          <w:sz w:val="32"/>
          <w:szCs w:val="32"/>
        </w:rPr>
        <w:t>附件</w:t>
      </w:r>
      <w:r>
        <w:rPr>
          <w:rFonts w:ascii="Times New Roman" w:hAnsi="Times New Roman" w:eastAsia="仿宋_GB2312"/>
          <w:kern w:val="0"/>
          <w:sz w:val="32"/>
          <w:szCs w:val="32"/>
        </w:rPr>
        <w:t>1</w:t>
      </w:r>
    </w:p>
    <w:p w14:paraId="7D135D1C">
      <w:pPr>
        <w:jc w:val="center"/>
        <w:rPr>
          <w:rFonts w:ascii="Times New Roman" w:hAnsi="Times New Roman" w:eastAsia="方正小标宋简体"/>
          <w:sz w:val="48"/>
          <w:szCs w:val="48"/>
        </w:rPr>
      </w:pPr>
    </w:p>
    <w:p w14:paraId="1AB0A03F">
      <w:pPr>
        <w:jc w:val="center"/>
        <w:rPr>
          <w:rFonts w:ascii="Times New Roman" w:hAnsi="Times New Roman" w:eastAsia="方正小标宋简体"/>
          <w:sz w:val="48"/>
          <w:szCs w:val="48"/>
        </w:rPr>
      </w:pPr>
    </w:p>
    <w:p w14:paraId="2D7E7BE7">
      <w:pPr>
        <w:jc w:val="center"/>
        <w:rPr>
          <w:rFonts w:ascii="Times New Roman" w:hAnsi="Times New Roman" w:eastAsia="方正小标宋简体"/>
          <w:sz w:val="48"/>
          <w:szCs w:val="48"/>
        </w:rPr>
      </w:pPr>
    </w:p>
    <w:p w14:paraId="79B40947">
      <w:pPr>
        <w:rPr>
          <w:rFonts w:ascii="Times New Roman" w:hAnsi="Times New Roman" w:eastAsia="方正小标宋简体"/>
          <w:sz w:val="48"/>
          <w:szCs w:val="48"/>
        </w:rPr>
      </w:pPr>
    </w:p>
    <w:p w14:paraId="49182EA3">
      <w:pPr>
        <w:jc w:val="center"/>
        <w:rPr>
          <w:rFonts w:ascii="Times New Roman" w:hAnsi="Times New Roman" w:eastAsia="方正小标宋简体"/>
          <w:sz w:val="48"/>
          <w:szCs w:val="48"/>
        </w:rPr>
      </w:pPr>
      <w:r>
        <w:rPr>
          <w:rFonts w:hint="eastAsia" w:ascii="Times New Roman" w:hAnsi="Times New Roman" w:eastAsia="方正小标宋简体"/>
          <w:sz w:val="48"/>
          <w:szCs w:val="48"/>
        </w:rPr>
        <w:t>部门整体支出绩效自评报告</w:t>
      </w:r>
    </w:p>
    <w:p w14:paraId="1A1E2407">
      <w:pPr>
        <w:jc w:val="center"/>
        <w:rPr>
          <w:rFonts w:ascii="Times New Roman" w:hAnsi="Times New Roman" w:eastAsia="方正小标宋简体"/>
          <w:sz w:val="36"/>
          <w:szCs w:val="36"/>
        </w:rPr>
      </w:pPr>
      <w:r>
        <w:rPr>
          <w:rFonts w:hint="eastAsia" w:ascii="Times New Roman" w:hAnsi="Times New Roman" w:eastAsia="方正小标宋简体"/>
          <w:sz w:val="36"/>
          <w:szCs w:val="36"/>
        </w:rPr>
        <w:t>（</w:t>
      </w:r>
      <w:r>
        <w:rPr>
          <w:rFonts w:ascii="Times New Roman" w:hAnsi="Times New Roman" w:eastAsia="方正小标宋简体"/>
          <w:sz w:val="36"/>
          <w:szCs w:val="36"/>
        </w:rPr>
        <w:t>202</w:t>
      </w:r>
      <w:r>
        <w:rPr>
          <w:rFonts w:hint="eastAsia" w:ascii="Times New Roman" w:hAnsi="Times New Roman" w:eastAsia="方正小标宋简体"/>
          <w:sz w:val="36"/>
          <w:szCs w:val="36"/>
          <w:lang w:val="en-US" w:eastAsia="zh-CN"/>
        </w:rPr>
        <w:t>4</w:t>
      </w:r>
      <w:r>
        <w:rPr>
          <w:rFonts w:hint="eastAsia" w:ascii="Times New Roman" w:hAnsi="Times New Roman" w:eastAsia="方正小标宋简体"/>
          <w:sz w:val="36"/>
          <w:szCs w:val="36"/>
        </w:rPr>
        <w:t>年度）</w:t>
      </w:r>
    </w:p>
    <w:p w14:paraId="40039D35">
      <w:pPr>
        <w:jc w:val="center"/>
        <w:rPr>
          <w:rFonts w:ascii="Times New Roman" w:hAnsi="Times New Roman" w:eastAsia="黑体"/>
          <w:sz w:val="32"/>
          <w:szCs w:val="32"/>
        </w:rPr>
      </w:pPr>
    </w:p>
    <w:p w14:paraId="736F619C">
      <w:pPr>
        <w:jc w:val="center"/>
        <w:rPr>
          <w:rFonts w:ascii="Times New Roman" w:hAnsi="Times New Roman" w:eastAsia="黑体"/>
          <w:sz w:val="32"/>
          <w:szCs w:val="32"/>
        </w:rPr>
      </w:pPr>
    </w:p>
    <w:p w14:paraId="7CD6AC05">
      <w:pPr>
        <w:jc w:val="center"/>
        <w:rPr>
          <w:rFonts w:ascii="Times New Roman" w:hAnsi="Times New Roman" w:eastAsia="黑体"/>
          <w:sz w:val="32"/>
          <w:szCs w:val="32"/>
        </w:rPr>
      </w:pPr>
    </w:p>
    <w:p w14:paraId="121E210C">
      <w:pPr>
        <w:jc w:val="center"/>
        <w:rPr>
          <w:rFonts w:ascii="Times New Roman" w:hAnsi="Times New Roman" w:eastAsia="黑体"/>
          <w:sz w:val="32"/>
          <w:szCs w:val="32"/>
        </w:rPr>
      </w:pPr>
    </w:p>
    <w:p w14:paraId="597170AF">
      <w:pPr>
        <w:rPr>
          <w:rFonts w:ascii="Times New Roman" w:hAnsi="Times New Roman" w:eastAsia="黑体"/>
          <w:sz w:val="32"/>
          <w:szCs w:val="32"/>
        </w:rPr>
      </w:pPr>
    </w:p>
    <w:p w14:paraId="32E956B2">
      <w:pPr>
        <w:jc w:val="center"/>
        <w:rPr>
          <w:rFonts w:ascii="Times New Roman" w:hAnsi="Times New Roman"/>
          <w:sz w:val="36"/>
          <w:szCs w:val="36"/>
        </w:rPr>
      </w:pPr>
    </w:p>
    <w:p w14:paraId="4D0195B4">
      <w:pPr>
        <w:jc w:val="center"/>
        <w:rPr>
          <w:rFonts w:ascii="Times New Roman" w:hAnsi="Times New Roman"/>
          <w:sz w:val="36"/>
          <w:szCs w:val="36"/>
        </w:rPr>
      </w:pPr>
    </w:p>
    <w:p w14:paraId="62038669">
      <w:pPr>
        <w:jc w:val="center"/>
        <w:rPr>
          <w:rFonts w:ascii="Times New Roman" w:hAnsi="Times New Roman"/>
          <w:sz w:val="36"/>
          <w:szCs w:val="36"/>
        </w:rPr>
      </w:pPr>
    </w:p>
    <w:p w14:paraId="399ED584">
      <w:pPr>
        <w:jc w:val="center"/>
        <w:rPr>
          <w:rFonts w:ascii="Times New Roman" w:hAnsi="Times New Roman"/>
          <w:sz w:val="36"/>
          <w:szCs w:val="36"/>
        </w:rPr>
      </w:pPr>
      <w:r>
        <w:rPr>
          <w:rFonts w:hint="eastAsia" w:ascii="Times New Roman" w:hAnsi="Times New Roman"/>
          <w:sz w:val="36"/>
          <w:szCs w:val="36"/>
        </w:rPr>
        <w:t>单位名称：衡阳市交通运输局（盖章）</w:t>
      </w:r>
    </w:p>
    <w:p w14:paraId="2CCD0F1D">
      <w:pPr>
        <w:ind w:firstLine="1800" w:firstLineChars="500"/>
        <w:rPr>
          <w:rFonts w:ascii="Times New Roman" w:hAnsi="Times New Roman" w:eastAsia="黑体"/>
          <w:sz w:val="36"/>
          <w:szCs w:val="36"/>
        </w:rPr>
      </w:pPr>
      <w:r>
        <w:rPr>
          <w:rFonts w:hint="eastAsia" w:ascii="Times New Roman" w:hAnsi="Times New Roman"/>
          <w:sz w:val="36"/>
          <w:szCs w:val="36"/>
        </w:rPr>
        <w:t>主要负责人签字：</w:t>
      </w:r>
    </w:p>
    <w:p w14:paraId="69F87E25">
      <w:pPr>
        <w:jc w:val="center"/>
        <w:rPr>
          <w:rFonts w:ascii="Times New Roman" w:hAnsi="Times New Roman" w:eastAsia="黑体"/>
          <w:sz w:val="36"/>
          <w:szCs w:val="36"/>
        </w:rPr>
      </w:pPr>
    </w:p>
    <w:p w14:paraId="24F98087">
      <w:pPr>
        <w:jc w:val="center"/>
        <w:rPr>
          <w:rFonts w:ascii="Times New Roman" w:hAnsi="Times New Roman" w:eastAsia="黑体"/>
          <w:sz w:val="32"/>
          <w:szCs w:val="32"/>
        </w:rPr>
      </w:pPr>
      <w:r>
        <w:rPr>
          <w:rFonts w:ascii="Times New Roman" w:hAnsi="Times New Roman" w:eastAsia="黑体"/>
          <w:sz w:val="36"/>
          <w:szCs w:val="36"/>
        </w:rPr>
        <w:t>202</w:t>
      </w:r>
      <w:r>
        <w:rPr>
          <w:rFonts w:hint="eastAsia" w:ascii="Times New Roman" w:hAnsi="Times New Roman" w:eastAsia="黑体"/>
          <w:sz w:val="36"/>
          <w:szCs w:val="36"/>
          <w:lang w:val="en-US" w:eastAsia="zh-CN"/>
        </w:rPr>
        <w:t>5</w:t>
      </w:r>
      <w:r>
        <w:rPr>
          <w:rFonts w:hint="eastAsia" w:ascii="Times New Roman" w:hAnsi="Times New Roman" w:eastAsia="黑体"/>
          <w:sz w:val="36"/>
          <w:szCs w:val="36"/>
        </w:rPr>
        <w:t>年</w:t>
      </w:r>
      <w:r>
        <w:rPr>
          <w:rFonts w:ascii="Times New Roman" w:hAnsi="Times New Roman" w:eastAsia="黑体"/>
          <w:sz w:val="36"/>
          <w:szCs w:val="36"/>
        </w:rPr>
        <w:t>4</w:t>
      </w:r>
      <w:r>
        <w:rPr>
          <w:rFonts w:hint="eastAsia" w:ascii="Times New Roman" w:hAnsi="Times New Roman" w:eastAsia="黑体"/>
          <w:sz w:val="36"/>
          <w:szCs w:val="36"/>
        </w:rPr>
        <w:t>月</w:t>
      </w:r>
      <w:r>
        <w:rPr>
          <w:rFonts w:hint="eastAsia" w:ascii="Times New Roman" w:hAnsi="Times New Roman" w:eastAsia="黑体"/>
          <w:sz w:val="36"/>
          <w:szCs w:val="36"/>
          <w:lang w:val="en-US" w:eastAsia="zh-CN"/>
        </w:rPr>
        <w:t>19</w:t>
      </w:r>
      <w:r>
        <w:rPr>
          <w:rFonts w:hint="eastAsia" w:ascii="Times New Roman" w:hAnsi="Times New Roman" w:eastAsia="黑体"/>
          <w:sz w:val="36"/>
          <w:szCs w:val="36"/>
        </w:rPr>
        <w:t>日</w:t>
      </w:r>
    </w:p>
    <w:p w14:paraId="0EC9C8C7">
      <w:pPr>
        <w:jc w:val="center"/>
        <w:rPr>
          <w:rFonts w:ascii="Times New Roman" w:hAnsi="Times New Roman" w:eastAsia="黑体"/>
          <w:sz w:val="32"/>
          <w:szCs w:val="32"/>
        </w:rPr>
      </w:pPr>
    </w:p>
    <w:p w14:paraId="00A8C7D4">
      <w:pPr>
        <w:spacing w:line="600" w:lineRule="exact"/>
        <w:rPr>
          <w:rFonts w:ascii="Times New Roman" w:hAnsi="Times New Roman" w:eastAsia="方正小标宋简体"/>
          <w:sz w:val="44"/>
          <w:szCs w:val="44"/>
        </w:rPr>
      </w:pPr>
    </w:p>
    <w:p w14:paraId="21A62A12">
      <w:pPr>
        <w:spacing w:line="600" w:lineRule="exact"/>
        <w:jc w:val="center"/>
        <w:rPr>
          <w:rFonts w:ascii="Times New Roman" w:hAnsi="Times New Roman" w:eastAsia="方正小标宋简体"/>
          <w:sz w:val="44"/>
          <w:szCs w:val="44"/>
        </w:rPr>
      </w:pPr>
    </w:p>
    <w:p w14:paraId="15E741D5">
      <w:pPr>
        <w:pStyle w:val="10"/>
        <w:shd w:val="clear" w:color="auto" w:fill="FFFFFF"/>
        <w:spacing w:before="0" w:beforeAutospacing="0" w:after="0" w:afterAutospacing="0"/>
        <w:ind w:firstLine="640"/>
        <w:jc w:val="center"/>
        <w:rPr>
          <w:rFonts w:hint="eastAsia" w:ascii="黑体" w:hAnsi="黑体" w:eastAsia="黑体" w:cs="黑体"/>
          <w:sz w:val="44"/>
          <w:szCs w:val="44"/>
          <w:shd w:val="clear" w:color="auto" w:fill="FFFFFF"/>
        </w:rPr>
      </w:pPr>
      <w:r>
        <w:rPr>
          <w:rFonts w:hint="eastAsia" w:ascii="黑体" w:hAnsi="黑体" w:eastAsia="黑体" w:cs="黑体"/>
          <w:sz w:val="44"/>
          <w:szCs w:val="44"/>
          <w:shd w:val="clear" w:color="auto" w:fill="FFFFFF"/>
        </w:rPr>
        <w:t>202</w:t>
      </w:r>
      <w:r>
        <w:rPr>
          <w:rFonts w:hint="eastAsia" w:ascii="黑体" w:hAnsi="黑体" w:eastAsia="黑体" w:cs="黑体"/>
          <w:sz w:val="44"/>
          <w:szCs w:val="44"/>
          <w:shd w:val="clear" w:color="auto" w:fill="FFFFFF"/>
          <w:lang w:val="en-US" w:eastAsia="zh-CN"/>
        </w:rPr>
        <w:t>4</w:t>
      </w:r>
      <w:r>
        <w:rPr>
          <w:rFonts w:hint="eastAsia" w:ascii="黑体" w:hAnsi="黑体" w:eastAsia="黑体" w:cs="黑体"/>
          <w:sz w:val="44"/>
          <w:szCs w:val="44"/>
          <w:shd w:val="clear" w:color="auto" w:fill="FFFFFF"/>
        </w:rPr>
        <w:t>年度</w:t>
      </w:r>
      <w:r>
        <w:rPr>
          <w:rFonts w:hint="eastAsia" w:ascii="黑体" w:hAnsi="黑体" w:eastAsia="黑体" w:cs="黑体"/>
          <w:sz w:val="44"/>
          <w:szCs w:val="44"/>
          <w:shd w:val="clear" w:color="auto" w:fill="FFFFFF"/>
          <w:lang w:val="en-US" w:eastAsia="zh-CN"/>
        </w:rPr>
        <w:t>衡阳市交通运输局</w:t>
      </w:r>
      <w:r>
        <w:rPr>
          <w:rFonts w:hint="eastAsia" w:ascii="黑体" w:hAnsi="黑体" w:eastAsia="黑体" w:cs="黑体"/>
          <w:sz w:val="44"/>
          <w:szCs w:val="44"/>
          <w:shd w:val="clear" w:color="auto" w:fill="FFFFFF"/>
        </w:rPr>
        <w:t>整体支出</w:t>
      </w:r>
    </w:p>
    <w:p w14:paraId="0318E209">
      <w:pPr>
        <w:widowControl/>
        <w:shd w:val="clear" w:color="auto" w:fill="FFFFFF"/>
        <w:jc w:val="center"/>
        <w:rPr>
          <w:rFonts w:hint="eastAsia" w:ascii="黑体" w:hAnsi="黑体" w:eastAsia="黑体" w:cs="黑体"/>
          <w:color w:val="333333"/>
          <w:kern w:val="0"/>
          <w:sz w:val="40"/>
          <w:szCs w:val="40"/>
        </w:rPr>
      </w:pPr>
      <w:r>
        <w:rPr>
          <w:rFonts w:hint="eastAsia" w:ascii="黑体" w:hAnsi="黑体" w:eastAsia="黑体" w:cs="黑体"/>
          <w:sz w:val="44"/>
          <w:szCs w:val="44"/>
          <w:shd w:val="clear" w:color="auto" w:fill="FFFFFF"/>
        </w:rPr>
        <w:t>绩效自评报告</w:t>
      </w:r>
    </w:p>
    <w:p w14:paraId="4B2C0AF4">
      <w:pPr>
        <w:rPr>
          <w:rFonts w:ascii="Times New Roman" w:hAnsi="Times New Roman" w:eastAsia="方正小标宋_GBK"/>
          <w:sz w:val="32"/>
          <w:szCs w:val="32"/>
        </w:rPr>
      </w:pPr>
    </w:p>
    <w:p w14:paraId="1049D7B5">
      <w:pPr>
        <w:widowControl/>
        <w:shd w:val="clear" w:color="auto" w:fill="FFFFFF"/>
        <w:ind w:firstLine="562" w:firstLineChars="200"/>
        <w:jc w:val="left"/>
        <w:rPr>
          <w:rFonts w:hint="eastAsia" w:ascii="宋体" w:hAnsi="宋体" w:eastAsia="宋体" w:cs="宋体"/>
          <w:b/>
          <w:bCs/>
          <w:color w:val="333333"/>
          <w:kern w:val="0"/>
          <w:sz w:val="28"/>
          <w:szCs w:val="28"/>
          <w:shd w:val="clear" w:color="auto" w:fill="FFFFFF"/>
        </w:rPr>
      </w:pPr>
      <w:r>
        <w:rPr>
          <w:rFonts w:hint="eastAsia" w:ascii="宋体" w:hAnsi="宋体" w:eastAsia="宋体" w:cs="宋体"/>
          <w:b/>
          <w:bCs/>
          <w:color w:val="333333"/>
          <w:kern w:val="0"/>
          <w:sz w:val="28"/>
          <w:szCs w:val="28"/>
          <w:shd w:val="clear" w:color="auto" w:fill="FFFFFF"/>
        </w:rPr>
        <w:t>一</w:t>
      </w:r>
      <w:r>
        <w:rPr>
          <w:rFonts w:hint="eastAsia" w:ascii="宋体" w:hAnsi="宋体" w:eastAsia="宋体" w:cs="宋体"/>
          <w:b/>
          <w:bCs/>
          <w:color w:val="333333"/>
          <w:kern w:val="0"/>
          <w:sz w:val="28"/>
          <w:szCs w:val="28"/>
          <w:shd w:val="clear" w:color="auto" w:fill="FFFFFF"/>
          <w:lang w:val="zh-CN"/>
        </w:rPr>
        <w:t>、</w:t>
      </w:r>
      <w:r>
        <w:rPr>
          <w:rFonts w:hint="eastAsia" w:ascii="宋体" w:hAnsi="宋体" w:eastAsia="宋体" w:cs="宋体"/>
          <w:b/>
          <w:bCs/>
          <w:color w:val="333333"/>
          <w:kern w:val="0"/>
          <w:sz w:val="28"/>
          <w:szCs w:val="28"/>
          <w:shd w:val="clear" w:color="auto" w:fill="FFFFFF"/>
        </w:rPr>
        <w:t>部门、单位基本情况</w:t>
      </w:r>
    </w:p>
    <w:p w14:paraId="22D45F74">
      <w:pPr>
        <w:widowControl/>
        <w:shd w:val="clear" w:color="auto" w:fill="FFFFFF"/>
        <w:ind w:firstLine="562" w:firstLineChars="200"/>
        <w:jc w:val="left"/>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（一）职能职责</w:t>
      </w:r>
    </w:p>
    <w:p w14:paraId="5884331F">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(1)承担涉及综合运输体系的规划协调工作，会同有关部门组织编制全市综合运输体系</w:t>
      </w:r>
      <w:bookmarkStart w:id="0" w:name="_GoBack"/>
      <w:bookmarkEnd w:id="0"/>
      <w:r>
        <w:rPr>
          <w:rFonts w:hint="eastAsia" w:ascii="宋体" w:hAnsi="宋体" w:eastAsia="宋体" w:cs="宋体"/>
          <w:sz w:val="28"/>
          <w:szCs w:val="28"/>
        </w:rPr>
        <w:t>规划，指导县市区和承担市本级的交通运输枢纽规划和管理工作。</w:t>
      </w:r>
    </w:p>
    <w:p w14:paraId="44EC2D10">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(2)拟订全市交通运输业发展政策、行业管理规范性文件。组织拟订全市公路、水路等行业规划和实施细则并监督实施。负责交通运输行政许可、执法检查和监督。参与拟订物流业发展战略和规划并监督实施。指导全市交通运输行业有关体制改革。</w:t>
      </w:r>
    </w:p>
    <w:p w14:paraId="68B61D8D">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(3)承担原市公路管理局、市地方海事局、市城市公共交通管理处、市道路运输管理处、市交通建设质量安全监督管理处的行政职能。</w:t>
      </w:r>
    </w:p>
    <w:p w14:paraId="028903F0">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(4)承担全市公路、水路建设市场监管责任。负责全市公路水路工程建设相关政策、制度和技术标准的监督实施。组织实施或协调国家、省重点和市级公路、水路交通工程建设。负责公路、水路交通建设工程造价控制和工程质量、安全生产的监督管理。协助铁路部门做好铁路道口安全管理。承担全市公路、水路基本建设项目的绩效监督和管理工作。负责市本级和指导县市区交通运输基础设施管理和维护。</w:t>
      </w:r>
    </w:p>
    <w:p w14:paraId="45483613">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(5)承担全市道路运输、水路运输市场监管责任。组织宣传贯彻道路运输、水路运输、地方铁路专用线监管有关政策、技术标准和运营规范并监督实施。指导县市区和负责市本级城乡客运及有关设施规划和管理工作，指导县市区和负责市本级出租车行业管理工作。负责市管道运输有关管理工作。负责市民航机场有关管理工作。</w:t>
      </w:r>
    </w:p>
    <w:p w14:paraId="644E8ADB">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(6)承担水上交通安全监管责任。负责水上交通管制、船舶及相关水上设施检验、登记和防止污染、水上消防、救助打捞、通信导航、船舶与港口设施保安及危险品运输监督管理工作。负责船员管理有关工作。负责市级管理水域水上交通安全事故、船舶及相关水上设施污染事故的应急处置，依法组织或参与事故调查处理工作。负责和指导全市水上交通安全监管工作。</w:t>
      </w:r>
    </w:p>
    <w:p w14:paraId="0290EBBC">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(7)负责提出全市公路、水路固定资产投资规模和方向、市级财政性资金安排建议。负责公路、桥梁、渡口、隧道的行业管理，提出有关财政、土地、价格政策建议。</w:t>
      </w:r>
    </w:p>
    <w:p w14:paraId="2D9A9A1C">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(8)指导县市区和负责市本级公路、水路、地方铁路专用线行业安全生产和应急管理工作。按规定组织协调全市重点物资和紧急客货运输，负责全市重点干线路网运行监测和协调。组织协调全市地方交通战备工作，承担市国防动员有关工作。</w:t>
      </w:r>
    </w:p>
    <w:p w14:paraId="7320BACA">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(9)监督实施地方性交通运输行业科技政策、规划和规范。负责全市交通运输信息化建设，监测分析运行情况，开展相关统计工作，发布有关信息。指导县市区和负责市本级公路、水路行业环境保护和节能减排工作。</w:t>
      </w:r>
    </w:p>
    <w:p w14:paraId="2CF2D7A6">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(10)指导县市区和负责市本级交通运输行业开展对外交流合作和交通外经外贸工作。协调高速公路、铁路、民航、邮政管理涉及地方的相关工作。</w:t>
      </w:r>
    </w:p>
    <w:p w14:paraId="57DDEBB8">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（11）负责本行业、领域的应急管理工作，对本行业、领域的安全生产工作实施监督管理。</w:t>
      </w:r>
    </w:p>
    <w:p w14:paraId="07E94F5A">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（12）完成市委、市政府交办的其他任务。</w:t>
      </w:r>
    </w:p>
    <w:p w14:paraId="126F1D12">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（13）有关职责分工。</w:t>
      </w:r>
    </w:p>
    <w:p w14:paraId="7E39816C">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①与市发展和改革委员会、市工业和信息化局、市商务和粮食局的职责分工。市发展和改革委员会负责综合交通运输体系规划与国民经济和社会发展规划的衔接平衡，负责全市铁路、民航建设项目的衔接申报工作。市交通运输局负责研究拟订全市公路、水路等规划，提出公路、水路固定资产投资财政性资金安排意见，按市政府规定权限审批、核准规划内和计划规模内公路、水路固定资产投资项目，市发展和改革委员会审批、审核的交通运输基础设施固定资产投资项目，需征求市交通运输局意见。市发展和改革委员会牵头负责全市物流发展工作，拟订现代物流业发展战略、规划和政策，协调物流业发展重大布局。市工业和信息化局负责指导生产企业的物流外包工作，促进企业内部物流社会化。市商务和粮食局负责推动流通标准化和连锁经营商业特许经营、物流配送、电子商务等现代流通方式的发展，拟订运用电子商务开拓国内市场的相关政策措施，拟订商务领域电子商务相关标准和规划。市交通运输局参与拟订全市物流业发展战略和规划，拟订有关物流发展的政策和标准并监督实施。  </w:t>
      </w:r>
    </w:p>
    <w:p w14:paraId="7471505A">
      <w:pPr>
        <w:widowControl/>
        <w:shd w:val="clear" w:color="auto" w:fill="FFFFFF"/>
        <w:ind w:firstLine="560" w:firstLineChars="200"/>
        <w:jc w:val="left"/>
        <w:rPr>
          <w:rFonts w:hint="eastAsia"/>
        </w:rPr>
      </w:pPr>
      <w:r>
        <w:rPr>
          <w:rFonts w:hint="eastAsia" w:ascii="宋体" w:hAnsi="宋体" w:eastAsia="宋体" w:cs="宋体"/>
          <w:sz w:val="28"/>
          <w:szCs w:val="28"/>
        </w:rPr>
        <w:t>②与市水利局、市公安局、市自然资源和规划局、市生态环境局、市农业农村局、市林业局的职责分工。市水利局具体负责河道采砂的管理和监督工作，编制河道采砂规划和年度河道采砂计划，实施采砂许可，负责建立砂石开采监控平台、安装监控设备，负责采砂业主定点、定时、定量、定船数开采等现场监督及落实生态环保措施，负责组织开展河道采砂常态化监督巡查工作，依法查处无证采砂、夜间采挖、可采区超量、超时限、超范围等违法采砂行为。市交通运输局负责采(运)砂船舶、规划内集中停靠点及砂石码头的管理，依据职责权限对通航水域内采(运)砂船舶实施监管，依法查处采(运)砂船舶相关违法违规行为，结合辖区实际情况，划定停泊水域，强化对停航船舶的监管。市公安局负责打击涉砂刑事犯罪，开展河道采砂联合执法行动。市自然资源和规划局、市生态环境局、市农业农村局、市林业局按照各自职责，协助做好河道采砂监督管理的相关工作。</w:t>
      </w:r>
    </w:p>
    <w:p w14:paraId="0CBA1C36">
      <w:pPr>
        <w:widowControl/>
        <w:ind w:firstLine="562" w:firstLineChars="200"/>
        <w:rPr>
          <w:rFonts w:hint="eastAsia" w:ascii="宋体" w:hAnsi="宋体" w:eastAsia="宋体" w:cs="宋体"/>
          <w:b/>
          <w:bCs/>
          <w:color w:val="333333"/>
          <w:kern w:val="0"/>
          <w:sz w:val="28"/>
          <w:szCs w:val="28"/>
        </w:rPr>
      </w:pPr>
      <w:r>
        <w:rPr>
          <w:rFonts w:hint="eastAsia" w:ascii="宋体" w:hAnsi="宋体" w:eastAsia="宋体" w:cs="宋体"/>
          <w:b/>
          <w:bCs/>
          <w:color w:val="333333"/>
          <w:kern w:val="0"/>
          <w:sz w:val="28"/>
          <w:szCs w:val="28"/>
        </w:rPr>
        <w:t>（</w:t>
      </w:r>
      <w:r>
        <w:rPr>
          <w:rFonts w:hint="eastAsia" w:ascii="宋体" w:hAnsi="宋体" w:cs="宋体"/>
          <w:b/>
          <w:bCs/>
          <w:color w:val="333333"/>
          <w:kern w:val="0"/>
          <w:sz w:val="28"/>
          <w:szCs w:val="28"/>
          <w:lang w:val="en-US" w:eastAsia="zh-CN"/>
        </w:rPr>
        <w:t>二</w:t>
      </w:r>
      <w:r>
        <w:rPr>
          <w:rFonts w:hint="eastAsia" w:ascii="宋体" w:hAnsi="宋体" w:eastAsia="宋体" w:cs="宋体"/>
          <w:b/>
          <w:bCs/>
          <w:color w:val="333333"/>
          <w:kern w:val="0"/>
          <w:sz w:val="28"/>
          <w:szCs w:val="28"/>
        </w:rPr>
        <w:t>）机构设置</w:t>
      </w:r>
    </w:p>
    <w:p w14:paraId="407F8DE9">
      <w:pPr>
        <w:pStyle w:val="10"/>
        <w:widowControl/>
        <w:adjustRightInd/>
        <w:snapToGrid/>
        <w:spacing w:before="0" w:beforeAutospacing="0" w:after="0" w:afterAutospacing="0" w:line="360" w:lineRule="auto"/>
        <w:ind w:firstLine="560" w:firstLineChars="200"/>
        <w:jc w:val="both"/>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衡阳市交通运输局</w:t>
      </w:r>
      <w:r>
        <w:rPr>
          <w:rFonts w:hint="eastAsia" w:ascii="宋体" w:hAnsi="宋体" w:eastAsia="宋体" w:cs="宋体"/>
          <w:color w:val="333333"/>
          <w:kern w:val="0"/>
          <w:sz w:val="28"/>
          <w:szCs w:val="28"/>
        </w:rPr>
        <w:t>内设组室分</w:t>
      </w:r>
      <w:r>
        <w:rPr>
          <w:rFonts w:hint="eastAsia" w:ascii="宋体" w:hAnsi="宋体" w:eastAsia="宋体" w:cs="宋体"/>
          <w:color w:val="333333"/>
          <w:kern w:val="0"/>
          <w:sz w:val="28"/>
          <w:szCs w:val="28"/>
          <w:lang w:val="en-US" w:eastAsia="zh-CN"/>
        </w:rPr>
        <w:t>别是：办公室、组织人事科、法规科、规划统计科、基本建设科、道路运输科、公路管理科、港航管理科、安全监督科（应急办公室）、财务审计科、行政审批服务科、交通战备办（市国防动员委员会交通战备办公室）、机关党委、离退休人员管理服务科等14个科处室，属市一级财政预算单位。下设1个正处级、4个副处级、2个正科级等7个全额拨款事业单位。</w:t>
      </w:r>
    </w:p>
    <w:p w14:paraId="0ECA3791">
      <w:pPr>
        <w:pStyle w:val="10"/>
        <w:numPr>
          <w:ilvl w:val="0"/>
          <w:numId w:val="1"/>
        </w:numPr>
        <w:shd w:val="clear" w:color="auto" w:fill="FFFFFF"/>
        <w:spacing w:before="0" w:beforeAutospacing="0" w:after="0" w:afterAutospacing="0"/>
        <w:ind w:firstLine="562" w:firstLineChars="200"/>
        <w:rPr>
          <w:rFonts w:hint="eastAsia"/>
          <w:b/>
          <w:bCs/>
          <w:color w:val="333333"/>
          <w:sz w:val="28"/>
          <w:szCs w:val="28"/>
          <w:shd w:val="clear" w:color="auto" w:fill="FFFFFF"/>
        </w:rPr>
      </w:pPr>
      <w:r>
        <w:rPr>
          <w:rFonts w:hint="eastAsia"/>
          <w:b/>
          <w:bCs/>
          <w:color w:val="333333"/>
          <w:sz w:val="28"/>
          <w:szCs w:val="28"/>
          <w:shd w:val="clear" w:color="auto" w:fill="FFFFFF"/>
        </w:rPr>
        <w:t>部门整体支出管理及使用情况</w:t>
      </w:r>
    </w:p>
    <w:p w14:paraId="3EC85D47">
      <w:pPr>
        <w:pStyle w:val="10"/>
        <w:numPr>
          <w:ilvl w:val="0"/>
          <w:numId w:val="0"/>
        </w:numPr>
        <w:shd w:val="clear" w:color="auto" w:fill="FFFFFF"/>
        <w:spacing w:before="0" w:beforeAutospacing="0" w:after="0" w:afterAutospacing="0"/>
        <w:ind w:firstLine="562" w:firstLineChars="200"/>
        <w:rPr>
          <w:rFonts w:hint="eastAsia"/>
          <w:b/>
          <w:bCs/>
          <w:color w:val="333333"/>
          <w:sz w:val="28"/>
          <w:szCs w:val="28"/>
          <w:shd w:val="clear" w:color="auto" w:fill="FFFFFF"/>
        </w:rPr>
      </w:pPr>
      <w:r>
        <w:rPr>
          <w:rFonts w:hint="eastAsia"/>
          <w:b/>
          <w:bCs/>
          <w:color w:val="333333"/>
          <w:sz w:val="28"/>
          <w:szCs w:val="28"/>
          <w:shd w:val="clear" w:color="auto" w:fill="FFFFFF"/>
        </w:rPr>
        <w:t>（一）基本支出情况</w:t>
      </w:r>
    </w:p>
    <w:p w14:paraId="76510B11">
      <w:pPr>
        <w:pStyle w:val="10"/>
        <w:widowControl/>
        <w:adjustRightInd/>
        <w:snapToGrid/>
        <w:spacing w:before="0" w:beforeAutospacing="0" w:after="0" w:afterAutospacing="0" w:line="360" w:lineRule="auto"/>
        <w:ind w:firstLine="560" w:firstLineChars="200"/>
        <w:jc w:val="both"/>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1、预算完成情况</w:t>
      </w:r>
    </w:p>
    <w:p w14:paraId="6F2C1BD1">
      <w:pPr>
        <w:pStyle w:val="10"/>
        <w:widowControl/>
        <w:adjustRightInd/>
        <w:snapToGrid/>
        <w:spacing w:before="0" w:beforeAutospacing="0" w:after="0" w:afterAutospacing="0" w:line="360" w:lineRule="auto"/>
        <w:ind w:firstLine="560" w:firstLineChars="200"/>
        <w:jc w:val="both"/>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2024年度基本支出年初预算1235.75万元，决算数2172.93万元</w:t>
      </w:r>
      <w:r>
        <w:rPr>
          <w:rFonts w:hint="eastAsia" w:cs="宋体"/>
          <w:color w:val="333333"/>
          <w:kern w:val="0"/>
          <w:sz w:val="28"/>
          <w:szCs w:val="28"/>
          <w:lang w:val="en-US" w:eastAsia="zh-CN"/>
        </w:rPr>
        <w:t>完成年初预算数的75.84%</w:t>
      </w:r>
      <w:r>
        <w:rPr>
          <w:rFonts w:hint="eastAsia" w:ascii="宋体" w:hAnsi="宋体" w:eastAsia="宋体" w:cs="宋体"/>
          <w:color w:val="333333"/>
          <w:kern w:val="0"/>
          <w:sz w:val="28"/>
          <w:szCs w:val="28"/>
          <w:lang w:val="en-US" w:eastAsia="zh-CN"/>
        </w:rPr>
        <w:t>。主要原因是单位增人增资</w:t>
      </w:r>
      <w:r>
        <w:rPr>
          <w:rFonts w:hint="eastAsia" w:cs="宋体"/>
          <w:color w:val="333333"/>
          <w:kern w:val="0"/>
          <w:sz w:val="28"/>
          <w:szCs w:val="28"/>
          <w:lang w:val="en-US" w:eastAsia="zh-CN"/>
        </w:rPr>
        <w:t>及追加</w:t>
      </w:r>
      <w:r>
        <w:rPr>
          <w:rFonts w:hint="eastAsia" w:ascii="宋体" w:hAnsi="宋体" w:eastAsia="宋体" w:cs="宋体"/>
          <w:color w:val="333333"/>
          <w:kern w:val="0"/>
          <w:sz w:val="28"/>
          <w:szCs w:val="28"/>
          <w:lang w:val="en-US" w:eastAsia="zh-CN"/>
        </w:rPr>
        <w:t>2024年度绩效奖、丧葬抚恤金等</w:t>
      </w:r>
      <w:r>
        <w:rPr>
          <w:rFonts w:hint="eastAsia" w:cs="宋体"/>
          <w:color w:val="333333"/>
          <w:kern w:val="0"/>
          <w:sz w:val="28"/>
          <w:szCs w:val="28"/>
          <w:lang w:val="en-US" w:eastAsia="zh-CN"/>
        </w:rPr>
        <w:t>经费开支</w:t>
      </w:r>
      <w:r>
        <w:rPr>
          <w:rFonts w:hint="eastAsia" w:ascii="宋体" w:hAnsi="宋体" w:eastAsia="宋体" w:cs="宋体"/>
          <w:color w:val="333333"/>
          <w:kern w:val="0"/>
          <w:sz w:val="28"/>
          <w:szCs w:val="28"/>
          <w:lang w:val="en-US" w:eastAsia="zh-CN"/>
        </w:rPr>
        <w:t>。</w:t>
      </w:r>
    </w:p>
    <w:p w14:paraId="61FF0FCD">
      <w:pPr>
        <w:pStyle w:val="10"/>
        <w:widowControl/>
        <w:adjustRightInd/>
        <w:snapToGrid/>
        <w:spacing w:before="0" w:beforeAutospacing="0" w:after="0" w:afterAutospacing="0" w:line="360" w:lineRule="auto"/>
        <w:ind w:firstLine="560" w:firstLineChars="200"/>
        <w:jc w:val="both"/>
        <w:rPr>
          <w:rFonts w:hint="eastAsia" w:ascii="宋体" w:hAnsi="宋体" w:eastAsia="宋体" w:cs="宋体"/>
          <w:color w:val="333333"/>
          <w:kern w:val="0"/>
          <w:sz w:val="28"/>
          <w:szCs w:val="28"/>
          <w:lang w:val="en-US" w:eastAsia="zh-CN"/>
        </w:rPr>
      </w:pPr>
      <w:r>
        <w:rPr>
          <w:rFonts w:hint="eastAsia" w:cs="宋体"/>
          <w:color w:val="333333"/>
          <w:kern w:val="0"/>
          <w:sz w:val="28"/>
          <w:szCs w:val="28"/>
          <w:lang w:val="en-US" w:eastAsia="zh-CN"/>
        </w:rPr>
        <w:t>2、</w:t>
      </w:r>
      <w:r>
        <w:rPr>
          <w:rFonts w:hint="eastAsia" w:ascii="宋体" w:hAnsi="宋体" w:eastAsia="宋体" w:cs="宋体"/>
          <w:color w:val="333333"/>
          <w:kern w:val="0"/>
          <w:sz w:val="28"/>
          <w:szCs w:val="28"/>
          <w:lang w:val="en-US" w:eastAsia="zh-CN"/>
        </w:rPr>
        <w:t>基本支出构成</w:t>
      </w:r>
    </w:p>
    <w:p w14:paraId="6312CFA9">
      <w:pPr>
        <w:pStyle w:val="10"/>
        <w:widowControl/>
        <w:adjustRightInd/>
        <w:snapToGrid/>
        <w:spacing w:before="0" w:beforeAutospacing="0" w:after="0" w:afterAutospacing="0" w:line="360" w:lineRule="auto"/>
        <w:ind w:firstLine="560" w:firstLineChars="200"/>
        <w:jc w:val="both"/>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2024年基本支出决算数2172.93万元。</w:t>
      </w:r>
    </w:p>
    <w:p w14:paraId="2BC07039">
      <w:pPr>
        <w:pStyle w:val="10"/>
        <w:widowControl/>
        <w:adjustRightInd/>
        <w:snapToGrid/>
        <w:spacing w:before="0" w:beforeAutospacing="0" w:after="0" w:afterAutospacing="0" w:line="360" w:lineRule="auto"/>
        <w:ind w:firstLine="560" w:firstLineChars="200"/>
        <w:jc w:val="both"/>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基本支出主要是为保障单位机构正常运转、完成日常工作任务而发生的各项支出。包括用于基本工资、津贴补贴、养老保险、职工基本医保、住房公积金等人员经费以及办公费、印刷费、水电费、维修费、差旅费、公务接待、公务用车、会议费、培训费等日常公用经费。其中：</w:t>
      </w:r>
    </w:p>
    <w:p w14:paraId="24DE861E">
      <w:pPr>
        <w:pStyle w:val="10"/>
        <w:widowControl/>
        <w:adjustRightInd/>
        <w:snapToGrid/>
        <w:spacing w:before="0" w:beforeAutospacing="0" w:after="0" w:afterAutospacing="0" w:line="360" w:lineRule="auto"/>
        <w:ind w:firstLine="560" w:firstLineChars="200"/>
        <w:jc w:val="both"/>
        <w:rPr>
          <w:rFonts w:hint="default"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（1）工资福利支出858.34万元，占比39.50%，主要反映在职人员的工资福利和缴纳的五险一金</w:t>
      </w:r>
      <w:r>
        <w:rPr>
          <w:rFonts w:hint="eastAsia" w:cs="宋体"/>
          <w:color w:val="333333"/>
          <w:kern w:val="0"/>
          <w:sz w:val="28"/>
          <w:szCs w:val="28"/>
          <w:lang w:val="en-US" w:eastAsia="zh-CN"/>
        </w:rPr>
        <w:t>。</w:t>
      </w:r>
    </w:p>
    <w:p w14:paraId="1C035D05">
      <w:pPr>
        <w:pStyle w:val="10"/>
        <w:widowControl/>
        <w:adjustRightInd/>
        <w:snapToGrid/>
        <w:spacing w:before="0" w:beforeAutospacing="0" w:after="0" w:afterAutospacing="0" w:line="360" w:lineRule="auto"/>
        <w:ind w:firstLine="560" w:firstLineChars="200"/>
        <w:jc w:val="both"/>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（2）商品和服务支出1079.45万元，占比49.68%，主要反映单位的机关运转及完成日常工作任务而发生的经费</w:t>
      </w:r>
      <w:r>
        <w:rPr>
          <w:rFonts w:hint="eastAsia" w:cs="宋体"/>
          <w:color w:val="333333"/>
          <w:kern w:val="0"/>
          <w:sz w:val="28"/>
          <w:szCs w:val="28"/>
          <w:lang w:val="en-US" w:eastAsia="zh-CN"/>
        </w:rPr>
        <w:t>。</w:t>
      </w:r>
    </w:p>
    <w:p w14:paraId="4645D3E4">
      <w:pPr>
        <w:pStyle w:val="10"/>
        <w:widowControl/>
        <w:adjustRightInd/>
        <w:snapToGrid/>
        <w:spacing w:before="0" w:beforeAutospacing="0" w:after="0" w:afterAutospacing="0" w:line="360" w:lineRule="auto"/>
        <w:ind w:firstLine="560" w:firstLineChars="200"/>
        <w:jc w:val="both"/>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 xml:space="preserve">（3）对个人和家庭的补助支出198.36万元，占比9.13%，主要反映单位离退休人员的相关经费。 </w:t>
      </w:r>
    </w:p>
    <w:p w14:paraId="6850EA2F">
      <w:pPr>
        <w:pStyle w:val="10"/>
        <w:widowControl/>
        <w:adjustRightInd/>
        <w:snapToGrid/>
        <w:spacing w:before="0" w:beforeAutospacing="0" w:after="0" w:afterAutospacing="0" w:line="360" w:lineRule="auto"/>
        <w:ind w:firstLine="560" w:firstLineChars="200"/>
        <w:jc w:val="both"/>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（4）资本性支出36.78万元，占比1.69%，主要反映单位购买的办公电脑及公务用车购置费用。</w:t>
      </w:r>
    </w:p>
    <w:p w14:paraId="4F1B2E74">
      <w:pPr>
        <w:pStyle w:val="10"/>
        <w:widowControl/>
        <w:adjustRightInd/>
        <w:snapToGrid/>
        <w:spacing w:before="0" w:beforeAutospacing="0" w:after="0" w:afterAutospacing="0" w:line="360" w:lineRule="auto"/>
        <w:ind w:firstLine="560" w:firstLineChars="200"/>
        <w:jc w:val="both"/>
        <w:rPr>
          <w:rFonts w:hint="eastAsia" w:cs="宋体"/>
          <w:color w:val="333333"/>
          <w:kern w:val="0"/>
          <w:sz w:val="28"/>
          <w:szCs w:val="28"/>
          <w:lang w:val="en-US" w:eastAsia="zh-CN"/>
        </w:rPr>
      </w:pPr>
      <w:r>
        <w:rPr>
          <w:rFonts w:hint="eastAsia" w:cs="宋体"/>
          <w:color w:val="333333"/>
          <w:kern w:val="0"/>
          <w:sz w:val="28"/>
          <w:szCs w:val="28"/>
          <w:lang w:val="en-US" w:eastAsia="zh-CN"/>
        </w:rPr>
        <w:t>3、三公经费情况</w:t>
      </w:r>
    </w:p>
    <w:p w14:paraId="7AFE370F">
      <w:pPr>
        <w:pStyle w:val="10"/>
        <w:widowControl/>
        <w:adjustRightInd/>
        <w:snapToGrid/>
        <w:spacing w:before="0" w:beforeAutospacing="0" w:after="0" w:afterAutospacing="0" w:line="360" w:lineRule="auto"/>
        <w:ind w:firstLine="560" w:firstLineChars="200"/>
        <w:jc w:val="both"/>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2024年三公经费预算数为13.32万元，其中：因公出国（境）费0万元，公务用车购置及运行费10万元（其中：购置费0.00万元、运行费10万元），公务接待费3.32万元。2024年“三公”经费实际支出31.90万元,公务接待费3.42万元,公务用车购置费17.58万元,公务车运行维护费10.90万元，因公出国(境)费0万元。实际支出比预算数增加，主要是我局2024年购买了新的公务用车。</w:t>
      </w:r>
    </w:p>
    <w:p w14:paraId="0147AAA1">
      <w:pPr>
        <w:widowControl/>
        <w:ind w:firstLine="562" w:firstLineChars="200"/>
        <w:jc w:val="left"/>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（二）项目支出情况</w:t>
      </w:r>
    </w:p>
    <w:p w14:paraId="4302BB9D">
      <w:pPr>
        <w:widowControl/>
        <w:spacing w:line="600" w:lineRule="exact"/>
        <w:ind w:firstLine="560" w:firstLineChars="200"/>
        <w:jc w:val="left"/>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项目支出是在基本支出之外为完成其特定的行政工作任务而发生的支出及专项资金。</w:t>
      </w:r>
    </w:p>
    <w:p w14:paraId="2AB3D1FB">
      <w:pPr>
        <w:pStyle w:val="10"/>
        <w:widowControl/>
        <w:adjustRightInd/>
        <w:snapToGrid/>
        <w:spacing w:before="0" w:beforeAutospacing="0" w:after="0" w:afterAutospacing="0" w:line="360" w:lineRule="auto"/>
        <w:ind w:firstLine="562" w:firstLineChars="20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b/>
          <w:bCs/>
          <w:color w:val="333333"/>
          <w:kern w:val="0"/>
          <w:sz w:val="28"/>
          <w:szCs w:val="28"/>
          <w:lang w:val="en-US" w:eastAsia="zh-CN"/>
        </w:rPr>
        <w:t>1.项目资金安排与投入情况：</w:t>
      </w:r>
      <w:r>
        <w:rPr>
          <w:rFonts w:hint="eastAsia" w:ascii="宋体" w:hAnsi="宋体" w:eastAsia="宋体" w:cs="宋体"/>
          <w:color w:val="333333"/>
          <w:kern w:val="0"/>
          <w:sz w:val="28"/>
          <w:szCs w:val="28"/>
          <w:lang w:val="en-US" w:eastAsia="zh-CN"/>
        </w:rPr>
        <w:t>2024年度局机关项目支出996.5万元，其中：纪检派驻机构专项经费4.33万元，春节慰问资金86.28万元，中央环保</w:t>
      </w:r>
      <w:r>
        <w:rPr>
          <w:rFonts w:hint="eastAsia" w:cs="宋体"/>
          <w:color w:val="333333"/>
          <w:kern w:val="0"/>
          <w:sz w:val="28"/>
          <w:szCs w:val="28"/>
          <w:lang w:val="en-US" w:eastAsia="zh-CN"/>
        </w:rPr>
        <w:t>督察</w:t>
      </w:r>
      <w:r>
        <w:rPr>
          <w:rFonts w:hint="eastAsia" w:ascii="宋体" w:hAnsi="宋体" w:eastAsia="宋体" w:cs="宋体"/>
          <w:color w:val="333333"/>
          <w:kern w:val="0"/>
          <w:sz w:val="28"/>
          <w:szCs w:val="28"/>
          <w:lang w:val="en-US" w:eastAsia="zh-CN"/>
        </w:rPr>
        <w:t>奖补资金20万元，乡村振兴3.07万元，广安全生产监管经费19.99万元，安全生产检查第三方评估费78.</w:t>
      </w:r>
      <w:r>
        <w:rPr>
          <w:rFonts w:hint="eastAsia" w:ascii="宋体" w:hAnsi="宋体" w:eastAsia="宋体" w:cs="宋体"/>
          <w:color w:val="333333"/>
          <w:kern w:val="0"/>
          <w:sz w:val="28"/>
          <w:szCs w:val="28"/>
          <w:lang w:val="en-US" w:eastAsia="zh-CN" w:bidi="ar-SA"/>
        </w:rPr>
        <w:t>42万元，春运工作经费20万元，交通行业安全监管44.12万元，交通运输信息化管理经费10万元，交通运输行业监管53.99万元，交通战备经费29.92万元，铁路专线监管经费9.97万元，应急行业管理维稳55万元，“两客”车辆智能终端设备盘点及管理经费4万元，《衡阳市城市货运配送需求现状及未来发展分析报告》编制经费9.88万元，城市货运配送运行检测服务平台建设费96.87万元，城市货运配送运行检测服务平台招标代理费2.65万元，全市“两客一危”车辆智能监管中心第三方机构监督和运维经费25.24万元，农村客运补贴资金和城市交通发展奖励资金12.5万元，船舶污染物接收50万元，两客一危监管专项14.05万元，农村水路客运疫情纾困补助80万元，铁路沿线安全环境综合整治195万元，乡村振兴26.9万元，治超工作经费44.32万元。</w:t>
      </w:r>
    </w:p>
    <w:p w14:paraId="71D597C5">
      <w:pPr>
        <w:widowControl/>
        <w:ind w:firstLine="562" w:firstLineChars="200"/>
        <w:jc w:val="left"/>
        <w:rPr>
          <w:rFonts w:hint="eastAsia" w:ascii="宋体" w:hAnsi="宋体" w:cs="宋体"/>
          <w:kern w:val="0"/>
          <w:sz w:val="28"/>
          <w:szCs w:val="28"/>
          <w:lang w:val="en"/>
        </w:rPr>
      </w:pPr>
      <w:r>
        <w:rPr>
          <w:rFonts w:hint="eastAsia" w:ascii="宋体" w:hAnsi="宋体" w:cs="宋体"/>
          <w:b/>
          <w:bCs/>
          <w:sz w:val="28"/>
          <w:szCs w:val="28"/>
        </w:rPr>
        <w:t>2.项目资金使用情况</w:t>
      </w:r>
      <w:r>
        <w:rPr>
          <w:rFonts w:hint="eastAsia" w:ascii="宋体" w:hAnsi="宋体" w:cs="宋体"/>
          <w:sz w:val="28"/>
          <w:szCs w:val="28"/>
        </w:rPr>
        <w:t>：</w:t>
      </w:r>
      <w:r>
        <w:rPr>
          <w:rFonts w:hint="eastAsia" w:ascii="宋体" w:hAnsi="宋体" w:cs="宋体"/>
          <w:kern w:val="0"/>
          <w:sz w:val="28"/>
          <w:szCs w:val="28"/>
          <w:lang w:val="en"/>
        </w:rPr>
        <w:t>本部门履职效益良好。一是对各项支出严格按照预算额度进行控制，努力节约经费。二是各项工作均能够按时完成，且质量较高。三是部门整体支出使用效果达到预期。</w:t>
      </w:r>
    </w:p>
    <w:p w14:paraId="49B7A7C9">
      <w:pPr>
        <w:widowControl/>
        <w:ind w:firstLine="562" w:firstLineChars="200"/>
        <w:jc w:val="left"/>
        <w:rPr>
          <w:rFonts w:hint="eastAsia" w:ascii="宋体" w:hAnsi="宋体" w:eastAsia="宋体" w:cs="宋体"/>
          <w:color w:val="333333"/>
          <w:kern w:val="0"/>
          <w:sz w:val="28"/>
          <w:szCs w:val="28"/>
          <w:lang w:val="en-US" w:eastAsia="zh-CN" w:bidi="ar-SA"/>
        </w:rPr>
      </w:pPr>
      <w:r>
        <w:rPr>
          <w:rFonts w:hint="eastAsia" w:ascii="宋体" w:hAnsi="宋体" w:cs="宋体"/>
          <w:b/>
          <w:bCs/>
          <w:kern w:val="0"/>
          <w:sz w:val="28"/>
          <w:szCs w:val="28"/>
        </w:rPr>
        <w:t>3.项目资金管理情况</w:t>
      </w:r>
      <w:r>
        <w:rPr>
          <w:rFonts w:hint="eastAsia" w:ascii="宋体" w:hAnsi="宋体" w:cs="宋体"/>
          <w:kern w:val="0"/>
          <w:sz w:val="28"/>
          <w:szCs w:val="28"/>
        </w:rPr>
        <w:t>：严格遵守中央及省委的指示精神，认真执行市财政局等部门的文件要求，加强项目资金的监管，实行申报使用制度。</w:t>
      </w:r>
    </w:p>
    <w:p w14:paraId="67F6B39F">
      <w:pPr>
        <w:pStyle w:val="10"/>
        <w:numPr>
          <w:ilvl w:val="0"/>
          <w:numId w:val="0"/>
        </w:numPr>
        <w:shd w:val="clear" w:color="auto" w:fill="FFFFFF"/>
        <w:spacing w:before="0" w:beforeAutospacing="0" w:after="0" w:afterAutospacing="0"/>
        <w:ind w:firstLine="562" w:firstLineChars="200"/>
        <w:rPr>
          <w:rFonts w:hint="eastAsia"/>
          <w:b/>
          <w:bCs/>
          <w:color w:val="333333"/>
          <w:sz w:val="28"/>
          <w:szCs w:val="28"/>
          <w:shd w:val="clear" w:color="auto" w:fill="FFFFFF"/>
        </w:rPr>
      </w:pPr>
      <w:r>
        <w:rPr>
          <w:rFonts w:hint="eastAsia"/>
          <w:b/>
          <w:bCs/>
          <w:color w:val="333333"/>
          <w:sz w:val="28"/>
          <w:szCs w:val="28"/>
          <w:shd w:val="clear" w:color="auto" w:fill="FFFFFF"/>
        </w:rPr>
        <w:t>三、政府性基金预算支出情况</w:t>
      </w:r>
    </w:p>
    <w:p w14:paraId="108C1593">
      <w:pPr>
        <w:widowControl/>
        <w:spacing w:line="600" w:lineRule="exact"/>
        <w:ind w:firstLine="560" w:firstLineChars="200"/>
        <w:jc w:val="left"/>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我单位没有政府性基金预算支出。</w:t>
      </w:r>
    </w:p>
    <w:p w14:paraId="5E5AFC8C">
      <w:pPr>
        <w:pStyle w:val="10"/>
        <w:numPr>
          <w:ilvl w:val="0"/>
          <w:numId w:val="0"/>
        </w:numPr>
        <w:shd w:val="clear" w:color="auto" w:fill="FFFFFF"/>
        <w:spacing w:before="0" w:beforeAutospacing="0" w:after="0" w:afterAutospacing="0"/>
        <w:ind w:firstLine="562" w:firstLineChars="200"/>
        <w:rPr>
          <w:rFonts w:hint="eastAsia"/>
          <w:b/>
          <w:bCs/>
          <w:color w:val="333333"/>
          <w:sz w:val="28"/>
          <w:szCs w:val="28"/>
          <w:shd w:val="clear" w:color="auto" w:fill="FFFFFF"/>
        </w:rPr>
      </w:pPr>
      <w:r>
        <w:rPr>
          <w:rFonts w:hint="eastAsia"/>
          <w:b/>
          <w:bCs/>
          <w:color w:val="333333"/>
          <w:sz w:val="28"/>
          <w:szCs w:val="28"/>
          <w:shd w:val="clear" w:color="auto" w:fill="FFFFFF"/>
        </w:rPr>
        <w:t>四、国有资本经营预算支出情况</w:t>
      </w:r>
    </w:p>
    <w:p w14:paraId="02ED584D">
      <w:pPr>
        <w:widowControl/>
        <w:spacing w:line="600" w:lineRule="exact"/>
        <w:ind w:firstLine="560" w:firstLineChars="200"/>
        <w:jc w:val="left"/>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我单位没有国有资本经营预算支出。</w:t>
      </w:r>
    </w:p>
    <w:p w14:paraId="0C4E39D7">
      <w:pPr>
        <w:pStyle w:val="10"/>
        <w:numPr>
          <w:ilvl w:val="0"/>
          <w:numId w:val="0"/>
        </w:numPr>
        <w:shd w:val="clear" w:color="auto" w:fill="FFFFFF"/>
        <w:spacing w:before="0" w:beforeAutospacing="0" w:after="0" w:afterAutospacing="0"/>
        <w:ind w:firstLine="562" w:firstLineChars="200"/>
        <w:rPr>
          <w:rFonts w:hint="eastAsia"/>
          <w:b/>
          <w:bCs/>
          <w:color w:val="333333"/>
          <w:sz w:val="28"/>
          <w:szCs w:val="28"/>
          <w:shd w:val="clear" w:color="auto" w:fill="FFFFFF"/>
        </w:rPr>
      </w:pPr>
      <w:r>
        <w:rPr>
          <w:rFonts w:hint="eastAsia"/>
          <w:b/>
          <w:bCs/>
          <w:color w:val="333333"/>
          <w:sz w:val="28"/>
          <w:szCs w:val="28"/>
          <w:shd w:val="clear" w:color="auto" w:fill="FFFFFF"/>
        </w:rPr>
        <w:t>五、社会保险基金预算支出情况</w:t>
      </w:r>
    </w:p>
    <w:p w14:paraId="1D4BABE6">
      <w:pPr>
        <w:widowControl/>
        <w:spacing w:line="600" w:lineRule="exact"/>
        <w:ind w:firstLine="560" w:firstLineChars="200"/>
        <w:jc w:val="left"/>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我单位没有社会保险基金预算支出。</w:t>
      </w:r>
    </w:p>
    <w:p w14:paraId="646ADA02">
      <w:pPr>
        <w:pStyle w:val="10"/>
        <w:numPr>
          <w:ilvl w:val="0"/>
          <w:numId w:val="0"/>
        </w:numPr>
        <w:shd w:val="clear" w:color="auto" w:fill="FFFFFF"/>
        <w:spacing w:before="0" w:beforeAutospacing="0" w:after="0" w:afterAutospacing="0"/>
        <w:ind w:firstLine="562" w:firstLineChars="200"/>
        <w:rPr>
          <w:rFonts w:hint="eastAsia"/>
          <w:b/>
          <w:bCs/>
          <w:color w:val="333333"/>
          <w:sz w:val="28"/>
          <w:szCs w:val="28"/>
          <w:shd w:val="clear" w:color="auto" w:fill="FFFFFF"/>
        </w:rPr>
      </w:pPr>
      <w:r>
        <w:rPr>
          <w:rFonts w:hint="eastAsia"/>
          <w:b/>
          <w:bCs/>
          <w:color w:val="333333"/>
          <w:sz w:val="28"/>
          <w:szCs w:val="28"/>
          <w:shd w:val="clear" w:color="auto" w:fill="FFFFFF"/>
        </w:rPr>
        <w:t>六、部门整体支出绩效情况</w:t>
      </w:r>
    </w:p>
    <w:p w14:paraId="42C979B0">
      <w:pPr>
        <w:ind w:firstLine="281" w:firstLineChars="100"/>
        <w:rPr>
          <w:rFonts w:hint="eastAsia" w:ascii="宋体" w:hAnsi="宋体" w:eastAsia="宋体" w:cs="宋体"/>
          <w:sz w:val="28"/>
          <w:szCs w:val="28"/>
        </w:rPr>
      </w:pPr>
      <w:r>
        <w:rPr>
          <w:rFonts w:hint="eastAsia" w:ascii="宋体" w:hAnsi="宋体" w:eastAsia="宋体" w:cs="宋体"/>
          <w:b/>
          <w:bCs/>
          <w:sz w:val="28"/>
          <w:szCs w:val="28"/>
        </w:rPr>
        <w:t>（一）部门整体目标完成情况</w:t>
      </w:r>
    </w:p>
    <w:p w14:paraId="5EBE3DCF">
      <w:pPr>
        <w:widowControl/>
        <w:spacing w:line="600" w:lineRule="exact"/>
        <w:ind w:firstLine="560" w:firstLineChars="200"/>
        <w:jc w:val="left"/>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2024年，在市委、市政府的坚强领导下，在市人大、市政协和省厅的大力支持下，全系统广大干部职工主动对标对表</w:t>
      </w:r>
      <w:r>
        <w:rPr>
          <w:rFonts w:hint="eastAsia" w:ascii="宋体" w:hAnsi="宋体" w:cs="宋体"/>
          <w:color w:val="333333"/>
          <w:kern w:val="0"/>
          <w:sz w:val="28"/>
          <w:szCs w:val="28"/>
          <w:lang w:val="en-US" w:eastAsia="zh-CN" w:bidi="ar-SA"/>
        </w:rPr>
        <w:t>国家、省、市</w:t>
      </w:r>
      <w:r>
        <w:rPr>
          <w:rFonts w:hint="eastAsia" w:ascii="宋体" w:hAnsi="宋体" w:eastAsia="宋体" w:cs="宋体"/>
          <w:color w:val="333333"/>
          <w:kern w:val="0"/>
          <w:sz w:val="28"/>
          <w:szCs w:val="28"/>
          <w:lang w:val="en-US" w:eastAsia="zh-CN" w:bidi="ar-SA"/>
        </w:rPr>
        <w:t>重大战略决策部署，坚持以高度的政治自觉、思想自觉、行动自觉，圆满完成了各项工作目标任务。</w:t>
      </w:r>
    </w:p>
    <w:p w14:paraId="2E426D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333333"/>
          <w:kern w:val="0"/>
          <w:sz w:val="28"/>
          <w:szCs w:val="28"/>
          <w:lang w:val="en-US" w:eastAsia="zh-CN" w:bidi="ar-SA"/>
        </w:rPr>
      </w:pPr>
      <w:r>
        <w:rPr>
          <w:rFonts w:hint="default" w:ascii="宋体" w:hAnsi="宋体" w:eastAsia="宋体" w:cs="宋体"/>
          <w:b/>
          <w:bCs/>
          <w:sz w:val="28"/>
          <w:szCs w:val="28"/>
          <w:lang w:val="en-US" w:eastAsia="zh-CN"/>
        </w:rPr>
        <w:t>（一）坚决贯彻落实党中央决策部署。</w:t>
      </w:r>
      <w:r>
        <w:rPr>
          <w:rFonts w:hint="eastAsia" w:ascii="宋体" w:hAnsi="宋体" w:eastAsia="宋体" w:cs="宋体"/>
          <w:color w:val="333333"/>
          <w:kern w:val="0"/>
          <w:sz w:val="28"/>
          <w:szCs w:val="28"/>
          <w:lang w:val="en-US" w:eastAsia="zh-CN" w:bidi="ar-SA"/>
        </w:rPr>
        <w:t>对党中央作出的决策、部署的工作，坚持雷厉风行、紧抓快办、一抓到底。</w:t>
      </w:r>
    </w:p>
    <w:p w14:paraId="1014CA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b/>
          <w:bCs/>
          <w:color w:val="333333"/>
          <w:kern w:val="0"/>
          <w:sz w:val="28"/>
          <w:szCs w:val="28"/>
          <w:lang w:val="en-US" w:eastAsia="zh-CN" w:bidi="ar-SA"/>
        </w:rPr>
        <w:t>一是一以贯之推进党的建设。</w:t>
      </w:r>
      <w:r>
        <w:rPr>
          <w:rFonts w:hint="eastAsia" w:ascii="宋体" w:hAnsi="宋体" w:eastAsia="宋体" w:cs="宋体"/>
          <w:color w:val="333333"/>
          <w:kern w:val="0"/>
          <w:sz w:val="28"/>
          <w:szCs w:val="28"/>
          <w:lang w:val="en-US" w:eastAsia="zh-CN" w:bidi="ar-SA"/>
        </w:rPr>
        <w:t>坚持以政治建设为统领，全面加强新时代党的建设。</w:t>
      </w:r>
      <w:r>
        <w:rPr>
          <w:rFonts w:hint="eastAsia" w:ascii="宋体" w:hAnsi="宋体" w:eastAsia="宋体" w:cs="宋体"/>
          <w:b/>
          <w:bCs/>
          <w:color w:val="auto"/>
          <w:sz w:val="28"/>
          <w:szCs w:val="28"/>
          <w:lang w:val="en-US" w:eastAsia="zh-CN"/>
        </w:rPr>
        <w:t>政治教育走深走实。</w:t>
      </w:r>
      <w:r>
        <w:rPr>
          <w:rFonts w:hint="eastAsia" w:ascii="宋体" w:hAnsi="宋体" w:eastAsia="宋体" w:cs="宋体"/>
          <w:color w:val="333333"/>
          <w:kern w:val="0"/>
          <w:sz w:val="28"/>
          <w:szCs w:val="28"/>
          <w:lang w:val="en-US" w:eastAsia="zh-CN" w:bidi="ar-SA"/>
        </w:rPr>
        <w:t>持续深入学习习近平新时代中国特色社会主义思想和二十届三中全会精神，强化党的创新理论武装，忠诚捍卫“两个确立”、坚决做到“两个维护”。以党纪学习教育为抓手，组织开展廉政教育和警示教育，教育引导党员干部筑牢廉政防线，从严管好亲属子女。</w:t>
      </w:r>
      <w:r>
        <w:rPr>
          <w:rFonts w:hint="eastAsia" w:ascii="宋体" w:hAnsi="宋体" w:eastAsia="宋体" w:cs="宋体"/>
          <w:b/>
          <w:bCs/>
          <w:color w:val="auto"/>
          <w:sz w:val="28"/>
          <w:szCs w:val="28"/>
          <w:lang w:val="en-US" w:eastAsia="zh-CN"/>
        </w:rPr>
        <w:t>政治监督做深做实。</w:t>
      </w:r>
      <w:r>
        <w:rPr>
          <w:rFonts w:hint="eastAsia" w:ascii="宋体" w:hAnsi="宋体" w:eastAsia="宋体" w:cs="宋体"/>
          <w:color w:val="333333"/>
          <w:kern w:val="0"/>
          <w:sz w:val="28"/>
          <w:szCs w:val="28"/>
          <w:lang w:val="en-US" w:eastAsia="zh-CN" w:bidi="ar-SA"/>
        </w:rPr>
        <w:t>聚焦项目建设、项目申报、工程招投标、行政审批、行政执法、安全监管等重点领域，强化日常监督检查，压紧压实管党治党政治责任。2024年，查处问题线索17起，立案审查调查10人，给予党纪政纪处分10人，采取第一种形态处置15人次，全面从严治党成效、反腐倡廉震慑态势持续巩固。政治生态持续向好。始终把政治过硬、业绩突出、勤政廉洁作为干部选拔任用、职级晋升、评先评优的“度量衡”；一年来，局直系统提拔使用、职级晋升共44人，通过省考、遴选、招聘等方式新进15人，党风廉政审查共21批175人次，干部队伍活力迸发、风清气正。继续抓好星级党支部管理，充分发挥行业党委作用，基层基础更加夯实。积极组织参加各类竞赛活动，在全省首届船检业务比赛中荣获团体和个人一等奖；做好“五个十佳”评选工作；大力开展货车司机建会入会工作，新增货车司机入会3123人，持续彰显工会活力。严格落实意识形态工作责任制，讲好交通故事、传播交通声音、弘扬交通正能量；一年来，在</w:t>
      </w:r>
      <w:r>
        <w:rPr>
          <w:rFonts w:hint="eastAsia" w:ascii="宋体" w:hAnsi="宋体" w:cs="宋体"/>
          <w:color w:val="333333"/>
          <w:kern w:val="0"/>
          <w:sz w:val="28"/>
          <w:szCs w:val="28"/>
          <w:lang w:val="en-US" w:eastAsia="zh-CN" w:bidi="ar-SA"/>
        </w:rPr>
        <w:t>国家、省、市</w:t>
      </w:r>
      <w:r>
        <w:rPr>
          <w:rFonts w:hint="eastAsia" w:ascii="宋体" w:hAnsi="宋体" w:eastAsia="宋体" w:cs="宋体"/>
          <w:color w:val="333333"/>
          <w:kern w:val="0"/>
          <w:sz w:val="28"/>
          <w:szCs w:val="28"/>
          <w:lang w:val="en-US" w:eastAsia="zh-CN" w:bidi="ar-SA"/>
        </w:rPr>
        <w:t>等各级官方媒体上共发布新闻报道300余篇，1名执法人员获评“衡阳好人”。大力开展文明城市创建、“爱心送考”等活动，充分展现良好交通形象。</w:t>
      </w:r>
    </w:p>
    <w:p w14:paraId="458A2744">
      <w:pPr>
        <w:keepNext w:val="0"/>
        <w:keepLines w:val="0"/>
        <w:pageBreakBefore w:val="0"/>
        <w:widowControl w:val="0"/>
        <w:numPr>
          <w:ilvl w:val="0"/>
          <w:numId w:val="0"/>
        </w:numPr>
        <w:kinsoku/>
        <w:wordWrap/>
        <w:overflowPunct/>
        <w:topLinePunct w:val="0"/>
        <w:bidi w:val="0"/>
        <w:adjustRightInd/>
        <w:snapToGrid/>
        <w:spacing w:line="560" w:lineRule="exact"/>
        <w:ind w:firstLine="642"/>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b/>
          <w:bCs/>
          <w:color w:val="auto"/>
          <w:sz w:val="28"/>
          <w:szCs w:val="28"/>
          <w:lang w:val="en-US" w:eastAsia="zh-CN"/>
        </w:rPr>
        <w:t>二是一如既往助力乡村振兴。</w:t>
      </w:r>
      <w:r>
        <w:rPr>
          <w:rFonts w:hint="eastAsia" w:ascii="宋体" w:hAnsi="宋体" w:eastAsia="宋体" w:cs="宋体"/>
          <w:b/>
          <w:bCs/>
          <w:color w:val="auto"/>
          <w:sz w:val="28"/>
          <w:szCs w:val="28"/>
          <w:lang w:eastAsia="zh-CN"/>
        </w:rPr>
        <w:t>聚力完善干支联通、</w:t>
      </w:r>
      <w:r>
        <w:rPr>
          <w:rFonts w:hint="eastAsia" w:ascii="宋体" w:hAnsi="宋体" w:eastAsia="宋体" w:cs="宋体"/>
          <w:b/>
          <w:bCs/>
          <w:color w:val="auto"/>
          <w:sz w:val="28"/>
          <w:szCs w:val="28"/>
        </w:rPr>
        <w:t>覆盖城乡的</w:t>
      </w:r>
      <w:r>
        <w:rPr>
          <w:rFonts w:hint="eastAsia" w:ascii="宋体" w:hAnsi="宋体" w:eastAsia="宋体" w:cs="宋体"/>
          <w:b/>
          <w:bCs/>
          <w:color w:val="auto"/>
          <w:sz w:val="28"/>
          <w:szCs w:val="28"/>
          <w:lang w:eastAsia="zh-CN"/>
        </w:rPr>
        <w:t>公路交通网络。</w:t>
      </w:r>
      <w:r>
        <w:rPr>
          <w:rFonts w:hint="eastAsia" w:ascii="宋体" w:hAnsi="宋体" w:eastAsia="宋体" w:cs="宋体"/>
          <w:color w:val="333333"/>
          <w:kern w:val="0"/>
          <w:sz w:val="28"/>
          <w:szCs w:val="28"/>
          <w:lang w:val="en-US" w:eastAsia="zh-CN" w:bidi="ar-SA"/>
        </w:rPr>
        <w:t>全力推进普通国省道建设。G240衡山长青至白果公路已建成通车；G234祁东洪桥至归阳、G234常宁兰江至洋泉公路、南岳高速萱洲互通及连接线工程建设稳步推进；S337衡南花桥至泉溪公路即将开工建设。G107耒阳绕城公路等5个停缓建项目全面复工，按时序推进。全面提质农村公路。完成农村公路提质改造496.3km、安防工程建设2678.8km，分别为目标任务的120.75%、100.78%；完成农村公路危桥改造42座，按时序完成省委巡视组交办的农村公路入库存量危桥整改任务。常宁市渔罗公路获评“湖南省十大最美农村路”；衡阳县英秋公路被交通运输部、公安部确定为年度公路安全精品路建设项目。</w:t>
      </w:r>
      <w:r>
        <w:rPr>
          <w:rFonts w:hint="eastAsia" w:ascii="宋体" w:hAnsi="宋体" w:eastAsia="宋体" w:cs="宋体"/>
          <w:b/>
          <w:bCs/>
          <w:color w:val="auto"/>
          <w:sz w:val="28"/>
          <w:szCs w:val="28"/>
          <w:lang w:val="en-US" w:eastAsia="zh-CN"/>
        </w:rPr>
        <w:t>着力推进城乡道路运输转型升级。</w:t>
      </w:r>
      <w:r>
        <w:rPr>
          <w:rFonts w:hint="eastAsia" w:ascii="宋体" w:hAnsi="宋体" w:eastAsia="宋体" w:cs="宋体"/>
          <w:color w:val="333333"/>
          <w:kern w:val="0"/>
          <w:sz w:val="28"/>
          <w:szCs w:val="28"/>
          <w:lang w:val="en-US" w:eastAsia="zh-CN" w:bidi="ar-SA"/>
        </w:rPr>
        <w:t>推动农村客运集约化、规模化经营转型，着力解决农村群众出行难、出行贵的问题，全力打造县、乡、村相互补充的客运网络体系。衡山县、衡阳县成功创建为城乡客运一体化省级示范县。依托城乡客、货运资源，为邮件快件提供共同配送服务，加快完善乡村电子商务和快递物流配送体系。珠晖区成功申报创建全省客货邮融合发展示范县（区）。</w:t>
      </w:r>
      <w:r>
        <w:rPr>
          <w:rFonts w:hint="eastAsia" w:ascii="宋体" w:hAnsi="宋体" w:eastAsia="宋体" w:cs="宋体"/>
          <w:b/>
          <w:bCs/>
          <w:color w:val="auto"/>
          <w:sz w:val="28"/>
          <w:szCs w:val="28"/>
          <w:lang w:val="en-US" w:eastAsia="zh-CN"/>
        </w:rPr>
        <w:t>全力开展驻村帮扶。</w:t>
      </w:r>
      <w:r>
        <w:rPr>
          <w:rFonts w:hint="eastAsia" w:ascii="宋体" w:hAnsi="宋体" w:eastAsia="宋体" w:cs="宋体"/>
          <w:color w:val="333333"/>
          <w:kern w:val="0"/>
          <w:sz w:val="28"/>
          <w:szCs w:val="28"/>
          <w:lang w:val="en-US" w:eastAsia="zh-CN" w:bidi="ar-SA"/>
        </w:rPr>
        <w:t>共派出12名干部职工参与衡东县白莲村等6个联点村的帮扶工作，积极开展产业帮扶，完善基础设施，为白莲村油化道路6.6km。</w:t>
      </w:r>
    </w:p>
    <w:p w14:paraId="161EE384">
      <w:pPr>
        <w:keepNext w:val="0"/>
        <w:keepLines w:val="0"/>
        <w:pageBreakBefore w:val="0"/>
        <w:widowControl w:val="0"/>
        <w:kinsoku/>
        <w:wordWrap/>
        <w:overflowPunct/>
        <w:topLinePunct w:val="0"/>
        <w:bidi w:val="0"/>
        <w:adjustRightInd/>
        <w:snapToGrid/>
        <w:spacing w:line="560" w:lineRule="exact"/>
        <w:ind w:firstLine="642"/>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b/>
          <w:bCs/>
          <w:color w:val="auto"/>
          <w:sz w:val="28"/>
          <w:szCs w:val="28"/>
          <w:lang w:val="en-US" w:eastAsia="zh-CN"/>
        </w:rPr>
        <w:t>三是一丝不苟打好污染防治攻坚战。</w:t>
      </w:r>
      <w:r>
        <w:rPr>
          <w:rFonts w:hint="eastAsia" w:ascii="宋体" w:hAnsi="宋体" w:eastAsia="宋体" w:cs="宋体"/>
          <w:color w:val="333333"/>
          <w:kern w:val="0"/>
          <w:sz w:val="28"/>
          <w:szCs w:val="28"/>
          <w:lang w:val="en-US" w:eastAsia="zh-CN" w:bidi="ar-SA"/>
        </w:rPr>
        <w:t>深入贯彻落实习近平生态文明思想，切实守好“碧水蓝天”，顺利通过第三轮中央生态环保督察。</w:t>
      </w:r>
      <w:r>
        <w:rPr>
          <w:rFonts w:hint="eastAsia" w:ascii="宋体" w:hAnsi="宋体" w:eastAsia="宋体" w:cs="宋体"/>
          <w:b/>
          <w:bCs/>
          <w:color w:val="auto"/>
          <w:sz w:val="28"/>
          <w:szCs w:val="28"/>
          <w:lang w:val="en-US" w:eastAsia="zh-CN"/>
        </w:rPr>
        <w:t>多点发力打好蓝天保卫战。</w:t>
      </w:r>
      <w:r>
        <w:rPr>
          <w:rFonts w:hint="eastAsia" w:ascii="宋体" w:hAnsi="宋体" w:eastAsia="宋体" w:cs="宋体"/>
          <w:color w:val="333333"/>
          <w:kern w:val="0"/>
          <w:sz w:val="28"/>
          <w:szCs w:val="28"/>
          <w:lang w:val="en-US" w:eastAsia="zh-CN" w:bidi="ar-SA"/>
        </w:rPr>
        <w:t>加快更新新能源营运车船。全市新能源货车、出租车分别达到</w:t>
      </w:r>
      <w:r>
        <w:rPr>
          <w:rFonts w:hint="eastAsia" w:ascii="宋体" w:hAnsi="宋体" w:eastAsia="宋体" w:cs="宋体"/>
          <w:color w:val="333333"/>
          <w:kern w:val="0"/>
          <w:sz w:val="28"/>
          <w:szCs w:val="28"/>
          <w:lang w:val="en" w:eastAsia="zh-CN" w:bidi="ar-SA"/>
        </w:rPr>
        <w:t>488</w:t>
      </w:r>
      <w:r>
        <w:rPr>
          <w:rFonts w:hint="eastAsia" w:ascii="宋体" w:hAnsi="宋体" w:eastAsia="宋体" w:cs="宋体"/>
          <w:color w:val="333333"/>
          <w:kern w:val="0"/>
          <w:sz w:val="28"/>
          <w:szCs w:val="28"/>
          <w:lang w:val="en-US" w:eastAsia="zh-CN" w:bidi="ar-SA"/>
        </w:rPr>
        <w:t>辆、358辆，市城区1</w:t>
      </w:r>
      <w:r>
        <w:rPr>
          <w:rFonts w:hint="eastAsia" w:ascii="宋体" w:hAnsi="宋体" w:eastAsia="宋体" w:cs="宋体"/>
          <w:color w:val="333333"/>
          <w:kern w:val="0"/>
          <w:sz w:val="28"/>
          <w:szCs w:val="28"/>
          <w:lang w:val="en" w:eastAsia="zh-CN" w:bidi="ar-SA"/>
        </w:rPr>
        <w:t>055</w:t>
      </w:r>
      <w:r>
        <w:rPr>
          <w:rFonts w:hint="eastAsia" w:ascii="宋体" w:hAnsi="宋体" w:eastAsia="宋体" w:cs="宋体"/>
          <w:color w:val="333333"/>
          <w:kern w:val="0"/>
          <w:sz w:val="28"/>
          <w:szCs w:val="28"/>
          <w:lang w:val="en-US" w:eastAsia="zh-CN" w:bidi="ar-SA"/>
        </w:rPr>
        <w:t>台公交车</w:t>
      </w:r>
      <w:r>
        <w:rPr>
          <w:rFonts w:hint="eastAsia" w:ascii="宋体" w:hAnsi="宋体" w:eastAsia="宋体" w:cs="宋体"/>
          <w:color w:val="333333"/>
          <w:kern w:val="0"/>
          <w:sz w:val="28"/>
          <w:szCs w:val="28"/>
          <w:lang w:val="en" w:eastAsia="zh-CN" w:bidi="ar-SA"/>
        </w:rPr>
        <w:t>全部更新为</w:t>
      </w:r>
      <w:r>
        <w:rPr>
          <w:rFonts w:hint="eastAsia" w:ascii="宋体" w:hAnsi="宋体" w:eastAsia="宋体" w:cs="宋体"/>
          <w:color w:val="333333"/>
          <w:kern w:val="0"/>
          <w:sz w:val="28"/>
          <w:szCs w:val="28"/>
          <w:lang w:val="en-US" w:eastAsia="zh-CN" w:bidi="ar-SA"/>
        </w:rPr>
        <w:t>新能源汽车；拆解高耗能老旧船舶28艘，新增新能源客运船舶2艘。加速压降车船废气排放。全市建成汽车维修M站13家；安装船舶受电设施23套，建成千吨级码头岸电设施6套，有序完成船舶硫排放达标检测。加紧推动交通运输结构调整。城市绿色货运配送示范工程、湖南红光公铁水多式联运示范工程创建取得良好成效，运输组织效率显著提高。加快优化绿色出行环境。优化调整公交线路13条，新增定制客运线路4条；普通公路沿线建成公共快充站66个/充电车位755个，为目标任务的111.36%。人民群众绿色出行更加便捷舒适。</w:t>
      </w:r>
      <w:r>
        <w:rPr>
          <w:rFonts w:hint="eastAsia" w:ascii="宋体" w:hAnsi="宋体" w:eastAsia="宋体" w:cs="宋体"/>
          <w:b/>
          <w:bCs/>
          <w:color w:val="auto"/>
          <w:sz w:val="28"/>
          <w:szCs w:val="28"/>
          <w:lang w:val="en-US" w:eastAsia="zh-CN"/>
        </w:rPr>
        <w:t>靶向发力打好碧水保卫战。</w:t>
      </w:r>
      <w:r>
        <w:rPr>
          <w:rFonts w:hint="eastAsia" w:ascii="宋体" w:hAnsi="宋体" w:eastAsia="宋体" w:cs="宋体"/>
          <w:color w:val="333333"/>
          <w:kern w:val="0"/>
          <w:sz w:val="28"/>
          <w:szCs w:val="28"/>
          <w:lang w:val="en-US" w:eastAsia="zh-CN" w:bidi="ar-SA"/>
        </w:rPr>
        <w:t>强化船舶污染物收集转运处置，全市共接收及处置船舶垃圾22.3吨、生活污水682.2m³，实现船舶污染物“应收尽收、应转尽转、应处尽处”目标。强化船舶防污设备器材配备使用，新增12艘400总吨以下船舶安装油污水贮存柜和生活污水储存柜。</w:t>
      </w:r>
    </w:p>
    <w:p w14:paraId="75460F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b/>
          <w:bCs/>
          <w:color w:val="auto"/>
          <w:sz w:val="28"/>
          <w:szCs w:val="28"/>
          <w:lang w:val="en-US" w:eastAsia="zh-CN"/>
        </w:rPr>
        <w:t>（二）锚定“三高四新”美好蓝图。</w:t>
      </w:r>
      <w:r>
        <w:rPr>
          <w:rFonts w:hint="eastAsia" w:ascii="宋体" w:hAnsi="宋体" w:eastAsia="宋体" w:cs="宋体"/>
          <w:color w:val="333333"/>
          <w:kern w:val="0"/>
          <w:sz w:val="28"/>
          <w:szCs w:val="28"/>
          <w:lang w:val="en-US" w:eastAsia="zh-CN" w:bidi="ar-SA"/>
        </w:rPr>
        <w:t>全年完成交通固定资产投资33.1亿元，为年度目标任务（19.7亿元）的168%，在加快推动高质量发展中持续彰显衡阳交通担当。</w:t>
      </w:r>
    </w:p>
    <w:p w14:paraId="79D6929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b/>
          <w:bCs/>
          <w:color w:val="auto"/>
          <w:sz w:val="28"/>
          <w:szCs w:val="28"/>
          <w:lang w:val="en-US" w:eastAsia="zh-CN"/>
        </w:rPr>
        <w:t>一是省管项目高效推进。</w:t>
      </w:r>
      <w:r>
        <w:rPr>
          <w:rFonts w:hint="eastAsia" w:ascii="宋体" w:hAnsi="宋体" w:eastAsia="宋体" w:cs="宋体"/>
          <w:color w:val="333333"/>
          <w:kern w:val="0"/>
          <w:sz w:val="28"/>
          <w:szCs w:val="28"/>
          <w:lang w:val="en-US" w:eastAsia="zh-CN" w:bidi="ar-SA"/>
        </w:rPr>
        <w:t>衡永、白南、茶常高速公路建成通车，我市高速公路通车里程达877km，居全省第一；衡阳至永州三级航道近尾洲船闸建成通航；京港澳高速耒宜段扩容工程正在抓紧路基和桥梁桩基施工；京港澳高速株耒段提质扩容工程已经开工建设。南岳高速北延线、泉南高速衡阳段改线等6个项目纳入《湖南省高速公路网规划修编方案》。</w:t>
      </w:r>
    </w:p>
    <w:p w14:paraId="2DE007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b/>
          <w:bCs/>
          <w:color w:val="auto"/>
          <w:sz w:val="28"/>
          <w:szCs w:val="28"/>
          <w:lang w:val="en-US" w:eastAsia="zh-CN"/>
        </w:rPr>
        <w:t>二是服务群众高效作为。政务服务提质增效。</w:t>
      </w:r>
      <w:r>
        <w:rPr>
          <w:rFonts w:hint="eastAsia" w:ascii="宋体" w:hAnsi="宋体" w:eastAsia="宋体" w:cs="宋体"/>
          <w:color w:val="333333"/>
          <w:kern w:val="0"/>
          <w:sz w:val="28"/>
          <w:szCs w:val="28"/>
          <w:lang w:val="en-US" w:eastAsia="zh-CN" w:bidi="ar-SA"/>
        </w:rPr>
        <w:t>持续拓宽线上办事渠道，道路运输电子证照普及率达91%，95项高频服务事项上线“湘易办”超级服务端，“一网通办”、“跨省通办”和不见面审批等</w:t>
      </w:r>
      <w:r>
        <w:rPr>
          <w:rFonts w:hint="eastAsia" w:ascii="宋体" w:hAnsi="宋体" w:eastAsia="宋体" w:cs="宋体"/>
          <w:color w:val="333333"/>
          <w:kern w:val="0"/>
          <w:sz w:val="28"/>
          <w:szCs w:val="28"/>
          <w:lang w:val="en" w:eastAsia="zh-CN" w:bidi="ar-SA"/>
        </w:rPr>
        <w:t>成为新常态。</w:t>
      </w:r>
      <w:r>
        <w:rPr>
          <w:rFonts w:hint="eastAsia" w:ascii="宋体" w:hAnsi="宋体" w:eastAsia="宋体" w:cs="宋体"/>
          <w:color w:val="333333"/>
          <w:kern w:val="0"/>
          <w:sz w:val="28"/>
          <w:szCs w:val="28"/>
          <w:lang w:val="en-US" w:eastAsia="zh-CN" w:bidi="ar-SA"/>
        </w:rPr>
        <w:t>积极发挥试点市州示范作用，圆满完成高效办成大件运输一件事试点任务。“宁电入湘”特高压输变电设备仅在3个工作日内获得通行许可，刷新了省内许可特大件重量及特大件通行非高速公路里程两项记录，入围全国优秀案例、获得2024年全国第四届数字政务发展年会重点推介，在全省交通运输工作会议上作经验交流发言。率先发出全省第一艘船舶全国通检互认书。</w:t>
      </w:r>
      <w:r>
        <w:rPr>
          <w:rFonts w:hint="eastAsia" w:ascii="宋体" w:hAnsi="宋体" w:eastAsia="宋体" w:cs="宋体"/>
          <w:b/>
          <w:bCs w:val="0"/>
          <w:color w:val="auto"/>
          <w:kern w:val="0"/>
          <w:sz w:val="28"/>
          <w:szCs w:val="28"/>
          <w:lang w:val="en-US" w:eastAsia="zh-CN" w:bidi="ar-SA"/>
        </w:rPr>
        <w:t>解决群众困难有力有效。</w:t>
      </w:r>
      <w:r>
        <w:rPr>
          <w:rFonts w:hint="eastAsia" w:ascii="宋体" w:hAnsi="宋体" w:eastAsia="宋体" w:cs="宋体"/>
          <w:color w:val="333333"/>
          <w:kern w:val="0"/>
          <w:sz w:val="28"/>
          <w:szCs w:val="28"/>
          <w:lang w:val="en-US" w:eastAsia="zh-CN" w:bidi="ar-SA"/>
        </w:rPr>
        <w:t>克服三轮大范围持续低温雨雪冰冻天气影响，重点物资保通保畅，春运期间客流量同比增长9.57%，春运工作再获全省先进。去年4月份，受连日强降雨影响，大量旅客滞留衡阳火车站。我局协调市公交集团，迅速将16000余名滞留乘客转运安置，得到省政府的高度肯定。7月份，南岳区因山洪引发山体滑坡，我局迅速行动，为开展现场搜救和灾后重建提供了坚强的交通运输保障。</w:t>
      </w:r>
      <w:r>
        <w:rPr>
          <w:rFonts w:hint="eastAsia" w:ascii="宋体" w:hAnsi="宋体" w:eastAsia="宋体" w:cs="宋体"/>
          <w:b/>
          <w:bCs w:val="0"/>
          <w:color w:val="auto"/>
          <w:kern w:val="0"/>
          <w:sz w:val="28"/>
          <w:szCs w:val="28"/>
          <w:lang w:val="en-US" w:eastAsia="zh-CN" w:bidi="ar-SA"/>
        </w:rPr>
        <w:t>回应群众关切及时高效。</w:t>
      </w:r>
      <w:r>
        <w:rPr>
          <w:rFonts w:hint="eastAsia" w:ascii="宋体" w:hAnsi="宋体" w:eastAsia="宋体" w:cs="宋体"/>
          <w:color w:val="333333"/>
          <w:kern w:val="0"/>
          <w:sz w:val="28"/>
          <w:szCs w:val="28"/>
          <w:lang w:val="en-US" w:eastAsia="zh-CN" w:bidi="ar-SA"/>
        </w:rPr>
        <w:t>办结省、市交办的信访件96件，办理各类咨询、投诉件5033件，及时受理率、按时办结率均达到98%以上，回访满意率96%以上。</w:t>
      </w:r>
    </w:p>
    <w:p w14:paraId="58704111">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b/>
          <w:bCs w:val="0"/>
          <w:color w:val="auto"/>
          <w:kern w:val="0"/>
          <w:sz w:val="28"/>
          <w:szCs w:val="28"/>
          <w:lang w:val="en-US" w:eastAsia="zh-CN" w:bidi="ar-SA"/>
        </w:rPr>
        <w:t>三是重点工作高效推动。持续推动高速公路“三保三大一创”专项行动。</w:t>
      </w:r>
      <w:r>
        <w:rPr>
          <w:rFonts w:hint="eastAsia" w:ascii="宋体" w:hAnsi="宋体" w:eastAsia="宋体" w:cs="宋体"/>
          <w:color w:val="333333"/>
          <w:kern w:val="0"/>
          <w:sz w:val="28"/>
          <w:szCs w:val="28"/>
          <w:lang w:val="en-US" w:eastAsia="zh-CN" w:bidi="ar-SA"/>
        </w:rPr>
        <w:t>通行环境大幅改善。省级交办问题1220处，完成整改1211处，整改率99.26%；京港澳高速衡阳段绿化大面积缺失、许广高速常宁服务区安全隐患等一批问题得到解决，本质安全大幅提升。应急能力有效提升。“一路多方”工作机制更加完善，属地、行业部门、企业联动更加顺畅，应急处突更加高效；成功应对22轮强降雨天气。服务质量持续升级。5000余起车辆救援服务保持“零投诉”；10个高速公路收费站完成提质改造；辖区高速公路“断崖式”限速基本消除；“油品盗损先行垫付”服务全面落实；服务区干净整洁、秩序良好成为主流，春运期间未发生1起负面舆情。工作成效显著突出。2024年高速公路路政执法监管综合评价排名全省第四，省高速集团衡阳分公司、湖南高速服务区经营管理有限公司、湖南高速广通实业发展有限公司获省厅通报表扬；雨母山服务区、衡南服务区在省级评估中达到优秀标准。“安畅舒美好”的高速公路环境加快形成。</w:t>
      </w:r>
      <w:r>
        <w:rPr>
          <w:rFonts w:hint="eastAsia" w:ascii="宋体" w:hAnsi="宋体" w:eastAsia="宋体" w:cs="宋体"/>
          <w:b/>
          <w:bCs w:val="0"/>
          <w:color w:val="auto"/>
          <w:kern w:val="0"/>
          <w:sz w:val="28"/>
          <w:szCs w:val="28"/>
          <w:lang w:val="en-US" w:eastAsia="zh-CN" w:bidi="ar-SA"/>
        </w:rPr>
        <w:t>持续巩固铁路沿线安全环境综合整治成果。</w:t>
      </w:r>
      <w:r>
        <w:rPr>
          <w:rFonts w:hint="eastAsia" w:ascii="宋体" w:hAnsi="宋体" w:eastAsia="宋体" w:cs="宋体"/>
          <w:color w:val="333333"/>
          <w:kern w:val="0"/>
          <w:sz w:val="28"/>
          <w:szCs w:val="28"/>
          <w:lang w:val="en" w:eastAsia="zh-CN" w:bidi="ar-SA"/>
        </w:rPr>
        <w:t>开展“双段长”培训</w:t>
      </w:r>
      <w:r>
        <w:rPr>
          <w:rFonts w:hint="eastAsia" w:ascii="宋体" w:hAnsi="宋体" w:eastAsia="宋体" w:cs="宋体"/>
          <w:color w:val="333333"/>
          <w:kern w:val="0"/>
          <w:sz w:val="28"/>
          <w:szCs w:val="28"/>
          <w:lang w:val="en-US" w:eastAsia="zh-CN" w:bidi="ar-SA"/>
        </w:rPr>
        <w:t>19期，共培训730人次。完成年度</w:t>
      </w:r>
      <w:r>
        <w:rPr>
          <w:rFonts w:hint="eastAsia" w:ascii="宋体" w:hAnsi="宋体" w:eastAsia="宋体" w:cs="宋体"/>
          <w:color w:val="333333"/>
          <w:kern w:val="0"/>
          <w:sz w:val="28"/>
          <w:szCs w:val="28"/>
          <w:lang w:val="en" w:eastAsia="zh-CN" w:bidi="ar-SA"/>
        </w:rPr>
        <w:t>整治任务111处，</w:t>
      </w:r>
      <w:r>
        <w:rPr>
          <w:rFonts w:hint="eastAsia" w:ascii="宋体" w:hAnsi="宋体" w:eastAsia="宋体" w:cs="宋体"/>
          <w:color w:val="333333"/>
          <w:kern w:val="0"/>
          <w:sz w:val="28"/>
          <w:szCs w:val="28"/>
          <w:lang w:val="en-US" w:eastAsia="zh-CN" w:bidi="ar-SA"/>
        </w:rPr>
        <w:t>拆除、加固硬质、轻质</w:t>
      </w:r>
      <w:r>
        <w:rPr>
          <w:rFonts w:hint="eastAsia" w:ascii="宋体" w:hAnsi="宋体" w:cs="宋体"/>
          <w:color w:val="333333"/>
          <w:kern w:val="0"/>
          <w:sz w:val="28"/>
          <w:szCs w:val="28"/>
          <w:lang w:val="en-US" w:eastAsia="zh-CN" w:bidi="ar-SA"/>
        </w:rPr>
        <w:t>漂浮物</w:t>
      </w:r>
      <w:r>
        <w:rPr>
          <w:rFonts w:hint="eastAsia" w:ascii="宋体" w:hAnsi="宋体" w:eastAsia="宋体" w:cs="宋体"/>
          <w:color w:val="333333"/>
          <w:kern w:val="0"/>
          <w:sz w:val="28"/>
          <w:szCs w:val="28"/>
          <w:lang w:val="en-US" w:eastAsia="zh-CN" w:bidi="ar-SA"/>
        </w:rPr>
        <w:t>4.3万㎡，清理垃圾2.5万吨，复绿2.87万㎡。成功拆除京广线老欧阳海危桥。完成京广线瓦园站人行涵洞两侧红线范围外围墙及配套设施建设。全市境内京广线全线所有栅栏开口全部封闭，有效为京广线提速保驾护航。路外伤亡事故同比减少5件、下降62.5%，亡人数同比下降50%。“安畅绿美好”的铁路沿线环境基本形成。</w:t>
      </w:r>
      <w:r>
        <w:rPr>
          <w:rFonts w:hint="eastAsia" w:ascii="宋体" w:hAnsi="宋体" w:eastAsia="宋体" w:cs="宋体"/>
          <w:b/>
          <w:bCs w:val="0"/>
          <w:color w:val="auto"/>
          <w:kern w:val="0"/>
          <w:sz w:val="28"/>
          <w:szCs w:val="28"/>
          <w:lang w:val="en-US" w:eastAsia="zh-CN" w:bidi="ar-SA"/>
        </w:rPr>
        <w:t>全力开展规划评估和编制工作。</w:t>
      </w:r>
      <w:r>
        <w:rPr>
          <w:rFonts w:hint="eastAsia" w:ascii="宋体" w:hAnsi="宋体" w:eastAsia="宋体" w:cs="宋体"/>
          <w:color w:val="333333"/>
          <w:kern w:val="0"/>
          <w:sz w:val="28"/>
          <w:szCs w:val="28"/>
          <w:lang w:val="en-US" w:eastAsia="zh-CN" w:bidi="ar-SA"/>
        </w:rPr>
        <w:t>全面完成“十四五”交通运输发展规划中期评估，调入国省干线项目8个/85km，优化完善农村公路、水运站场项目库，确保“十四五”规划目标顺利实现。有序开展“十五五”规划前期研究和项目需求摸底，并将《衡阳市“十五五”交通运输发展规划》纳入市本级“十五五”专项规划编制申报清单。</w:t>
      </w:r>
      <w:r>
        <w:rPr>
          <w:rFonts w:hint="eastAsia" w:ascii="宋体" w:hAnsi="宋体" w:eastAsia="宋体" w:cs="宋体"/>
          <w:b/>
          <w:bCs w:val="0"/>
          <w:color w:val="auto"/>
          <w:kern w:val="0"/>
          <w:sz w:val="28"/>
          <w:szCs w:val="28"/>
          <w:lang w:val="en-US" w:eastAsia="zh-CN" w:bidi="ar-SA"/>
        </w:rPr>
        <w:t>大力开展“两新”工作。</w:t>
      </w:r>
      <w:r>
        <w:rPr>
          <w:rFonts w:hint="eastAsia" w:ascii="宋体" w:hAnsi="宋体" w:eastAsia="宋体" w:cs="宋体"/>
          <w:color w:val="333333"/>
          <w:kern w:val="0"/>
          <w:sz w:val="28"/>
          <w:szCs w:val="28"/>
          <w:lang w:val="en-US" w:eastAsia="zh-CN" w:bidi="ar-SA"/>
        </w:rPr>
        <w:t>累计完成新能源城市公交车辆更新、动力电池更换和老旧营运货车报废更新共计302台（套），水运领域设备更新专项再贷款项目4个。</w:t>
      </w:r>
      <w:r>
        <w:rPr>
          <w:rFonts w:hint="eastAsia" w:ascii="宋体" w:hAnsi="宋体" w:eastAsia="宋体" w:cs="宋体"/>
          <w:b/>
          <w:bCs w:val="0"/>
          <w:color w:val="auto"/>
          <w:kern w:val="0"/>
          <w:sz w:val="28"/>
          <w:szCs w:val="28"/>
          <w:lang w:val="en-US" w:eastAsia="zh-CN" w:bidi="ar-SA"/>
        </w:rPr>
        <w:t>有序做好油补资金发放工作。</w:t>
      </w:r>
      <w:r>
        <w:rPr>
          <w:rFonts w:hint="eastAsia" w:ascii="宋体" w:hAnsi="宋体" w:eastAsia="宋体" w:cs="宋体"/>
          <w:color w:val="333333"/>
          <w:kern w:val="0"/>
          <w:sz w:val="28"/>
          <w:szCs w:val="28"/>
          <w:lang w:val="en-US" w:eastAsia="zh-CN" w:bidi="ar-SA"/>
        </w:rPr>
        <w:t>共计发放2023年度油补资金0.6亿元。</w:t>
      </w:r>
    </w:p>
    <w:p w14:paraId="25CFA939">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333333"/>
          <w:kern w:val="0"/>
          <w:sz w:val="28"/>
          <w:szCs w:val="28"/>
          <w:lang w:val="en-US" w:eastAsia="zh-CN" w:bidi="ar-SA"/>
        </w:rPr>
      </w:pPr>
      <w:r>
        <w:rPr>
          <w:rFonts w:hint="default" w:ascii="宋体" w:hAnsi="宋体" w:eastAsia="宋体" w:cs="宋体"/>
          <w:b/>
          <w:bCs w:val="0"/>
          <w:color w:val="auto"/>
          <w:kern w:val="0"/>
          <w:sz w:val="28"/>
          <w:szCs w:val="28"/>
          <w:lang w:val="en-US" w:eastAsia="zh-CN" w:bidi="ar-SA"/>
        </w:rPr>
        <w:t>（三）大力落实“制造立市、文旅兴城”发展战略。</w:t>
      </w:r>
      <w:r>
        <w:rPr>
          <w:rFonts w:hint="eastAsia" w:ascii="宋体" w:hAnsi="宋体" w:eastAsia="宋体" w:cs="宋体"/>
          <w:color w:val="333333"/>
          <w:kern w:val="0"/>
          <w:sz w:val="28"/>
          <w:szCs w:val="28"/>
          <w:lang w:val="en-US" w:eastAsia="zh-CN" w:bidi="ar-SA"/>
        </w:rPr>
        <w:t>坚决贯彻落实市委、市政府的决策部署，为加快推进衡阳区域中心化进程、全面展示城市魅力、擦亮城市名片不断贡献交通力量。</w:t>
      </w:r>
    </w:p>
    <w:p w14:paraId="609AEA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b/>
          <w:bCs w:val="0"/>
          <w:color w:val="auto"/>
          <w:kern w:val="0"/>
          <w:sz w:val="28"/>
          <w:szCs w:val="28"/>
          <w:lang w:val="en-US" w:eastAsia="zh-CN" w:bidi="ar-SA"/>
        </w:rPr>
        <w:t>一是为“旅发大会”提质加力。全力争取省厅支持。</w:t>
      </w:r>
      <w:r>
        <w:rPr>
          <w:rFonts w:hint="eastAsia" w:ascii="宋体" w:hAnsi="宋体" w:eastAsia="宋体" w:cs="宋体"/>
          <w:color w:val="333333"/>
          <w:kern w:val="0"/>
          <w:sz w:val="28"/>
          <w:szCs w:val="28"/>
          <w:lang w:val="en-US" w:eastAsia="zh-CN" w:bidi="ar-SA"/>
        </w:rPr>
        <w:t>我市交通建设、管理、养护、运营等累计争取国省补助资金11.16亿元，超过前两届争资规模，为旅发大会相关重点项目建设提供了资金保障。积极向省厅衔接汇报，切实加快了我市旅发大会重点观摩项目欢乐湘江玩美公园、美丽湘江夜游项目的前期工作，办好了通航审查、经营资质审批等相关手续，为加快项目建设开辟了绿色通道。</w:t>
      </w:r>
      <w:r>
        <w:rPr>
          <w:rFonts w:hint="eastAsia" w:ascii="宋体" w:hAnsi="宋体" w:eastAsia="宋体" w:cs="宋体"/>
          <w:b/>
          <w:bCs w:val="0"/>
          <w:color w:val="auto"/>
          <w:kern w:val="0"/>
          <w:sz w:val="28"/>
          <w:szCs w:val="28"/>
          <w:lang w:val="en-US" w:eastAsia="zh-CN" w:bidi="ar-SA"/>
        </w:rPr>
        <w:t>全力提供交通运输服务保障。</w:t>
      </w:r>
      <w:r>
        <w:rPr>
          <w:rFonts w:hint="eastAsia" w:ascii="宋体" w:hAnsi="宋体" w:eastAsia="宋体" w:cs="宋体"/>
          <w:color w:val="333333"/>
          <w:kern w:val="0"/>
          <w:sz w:val="28"/>
          <w:szCs w:val="28"/>
          <w:lang w:val="en-US" w:eastAsia="zh-CN" w:bidi="ar-SA"/>
        </w:rPr>
        <w:t>聚力完成重大任务。以路景相融、交旅融合为目标，统筹公路功能和景观设计，因地制宜增设旅游公路标识92块，高质量完成环南岳旅游公路102km路段提质改造任务；积极组织，高标准配备旅游大巴134台，圆满完成大会嘉宾用车保障和出行调度任务。聚力保障多种运输方式的有效衔接。衡阳港白沙洲港区文家坪作业区和祁东银星、衡山西综合客运枢纽等23个汽车站场项目抓紧建设、完善服务功能；整合汽车客运站资源；开通衡阳东站至南岳等4条旅游公交线路，开通衡阳东站至南岳机场等3条旅游客运专线；根据末班飞机及末班列车时间，实行公交无缝衔接。聚力营造浓厚氛围。从严从快打击各类违法违章行为；积极衔接交通运输企业提升服务质量，在高速公路重点路段、服务区、收费站、“三站一场”、网约车、出租车、公交车、公交站亭等场所，加大宣传力度，擦亮衡阳名片，助力“周末不忙、来趟衡阳”广泛相传。</w:t>
      </w:r>
    </w:p>
    <w:p w14:paraId="23947285">
      <w:pPr>
        <w:pStyle w:val="26"/>
        <w:keepNext w:val="0"/>
        <w:keepLines w:val="0"/>
        <w:pageBreakBefore w:val="0"/>
        <w:widowControl w:val="0"/>
        <w:kinsoku/>
        <w:wordWrap/>
        <w:overflowPunct/>
        <w:topLinePunct w:val="0"/>
        <w:autoSpaceDE w:val="0"/>
        <w:autoSpaceDN w:val="0"/>
        <w:bidi w:val="0"/>
        <w:adjustRightInd/>
        <w:snapToGrid/>
        <w:spacing w:line="560" w:lineRule="exact"/>
        <w:jc w:val="both"/>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b/>
          <w:bCs w:val="0"/>
          <w:color w:val="auto"/>
          <w:sz w:val="28"/>
          <w:szCs w:val="28"/>
          <w:lang w:val="en-US" w:eastAsia="zh-CN"/>
        </w:rPr>
        <w:t>二是为“大美雁城”增添底色。公路管养提档升级。</w:t>
      </w:r>
      <w:r>
        <w:rPr>
          <w:rFonts w:hint="eastAsia" w:ascii="宋体" w:hAnsi="宋体" w:eastAsia="宋体" w:cs="宋体"/>
          <w:color w:val="333333"/>
          <w:kern w:val="0"/>
          <w:sz w:val="28"/>
          <w:szCs w:val="28"/>
          <w:lang w:val="en-US" w:eastAsia="zh-CN" w:bidi="ar-SA"/>
        </w:rPr>
        <w:t>深入开展路域环境专项整治行动，2024年新增问题整治率达100%。扎实推进养护工程，完成普通国省道安全精细化提升184km，为目标任务的172%；完成普通国省道危桥改造5座以及衡阳市湘江三桥（白沙洲大桥）安全隐患整治；完成普通国省道大中修118km、应急养护项目57km。高标准完成138km国省干线路段及4座桥梁迎“国评”任务，为湖南迎“国评”挑大梁，获得省厅高度肯定。普通国省道优良路率达到95.82%，同比提升4.37个百分点，排名大幅跃升至全省先进行列，为历史最好水平，并在2024年国省道综合养护“双评双促”评估中获省厅通报表扬。大力开展农村公路日常养护，全面推进养护工程，全面落实养护巡查机制，农村公路优良路率同比提升13个百分点，优良中等路率同比提升5.5个百分点。</w:t>
      </w:r>
      <w:r>
        <w:rPr>
          <w:rFonts w:hint="eastAsia" w:ascii="宋体" w:hAnsi="宋体" w:eastAsia="宋体" w:cs="宋体"/>
          <w:b/>
          <w:bCs w:val="0"/>
          <w:color w:val="auto"/>
          <w:sz w:val="28"/>
          <w:szCs w:val="28"/>
          <w:lang w:val="en-US" w:eastAsia="zh-CN"/>
        </w:rPr>
        <w:t>行业治理提优赋能。</w:t>
      </w:r>
      <w:r>
        <w:rPr>
          <w:rFonts w:hint="eastAsia" w:ascii="宋体" w:hAnsi="宋体" w:eastAsia="宋体" w:cs="宋体"/>
          <w:color w:val="333333"/>
          <w:kern w:val="0"/>
          <w:sz w:val="28"/>
          <w:szCs w:val="28"/>
          <w:lang w:val="en-US" w:eastAsia="zh-CN" w:bidi="ar-SA"/>
        </w:rPr>
        <w:t>纵深推进法治政府部门建设。坚持重大行政决策法制审核，严格落实行政执法“三项制度”和行政处罚自由裁量权基准制度，获评全市“八五”普法中期优秀单位、行政执法评议“优秀案卷”单位，衡东县1个案例获评全省交通运输行政执法公路管理类典型案例；扎实开展执法领域突出问题专项整治行动，切实强化执法监督；出台《公平竞争审查内部工作制度》。持续强化道路运输行业监管。高标准完成道路运输行业质量信誉考核工作，有效规范行业服务经营行为；以“联网联控”为主抓手，高效利用“两客一危”车辆智能监管系统，落实“五有”管理制度；全面规范驾培行业管理，在全省率先试行机动车驾培行业计时培训及资金存管新模式，建立市场诚信体系，有效规范行业发展；大力开展出租车客运市场联合整治行动；市政府常务会审议并通过《衡阳市加强出租车行业管理服务工作方案》，进一步规范出租车客运市场秩序，推进网络预约出租客运合规化经营。积极协调解决全市城市公交行业欠薪欠保问题，清欠人数662人，清欠总额862.19万元，切实保障城市公交行业稳定发展。</w:t>
      </w:r>
    </w:p>
    <w:p w14:paraId="0944B4B0">
      <w:pPr>
        <w:pStyle w:val="26"/>
        <w:keepNext w:val="0"/>
        <w:keepLines w:val="0"/>
        <w:pageBreakBefore w:val="0"/>
        <w:widowControl w:val="0"/>
        <w:kinsoku/>
        <w:wordWrap/>
        <w:overflowPunct/>
        <w:topLinePunct w:val="0"/>
        <w:autoSpaceDE w:val="0"/>
        <w:autoSpaceDN w:val="0"/>
        <w:bidi w:val="0"/>
        <w:adjustRightInd/>
        <w:snapToGrid/>
        <w:spacing w:line="560" w:lineRule="exact"/>
        <w:jc w:val="both"/>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b/>
          <w:bCs w:val="0"/>
          <w:color w:val="auto"/>
          <w:sz w:val="28"/>
          <w:szCs w:val="28"/>
          <w:lang w:val="en-US" w:eastAsia="zh-CN"/>
        </w:rPr>
        <w:t>三是为“安全守底”夯实基础。</w:t>
      </w:r>
      <w:r>
        <w:rPr>
          <w:rFonts w:hint="eastAsia" w:ascii="宋体" w:hAnsi="宋体" w:eastAsia="宋体" w:cs="宋体"/>
          <w:color w:val="333333"/>
          <w:kern w:val="0"/>
          <w:sz w:val="28"/>
          <w:szCs w:val="28"/>
          <w:lang w:val="en-US" w:eastAsia="zh-CN" w:bidi="ar-SA"/>
        </w:rPr>
        <w:t>扎实推进安全生产治本攻坚三年行动和安全守底行动，全市交通运输行业未发生较大及以上安全生产责任事故，事故起数、亡人数同比分别下降50%和41.6%，其中道路客运同比分别下降80%、83.3%；危货运输、水上交通、交通工程建设、铁路专用线领域均保持零事故，交通工程质量安全可控，安全生产形势持续稳定向好。</w:t>
      </w:r>
      <w:r>
        <w:rPr>
          <w:rFonts w:hint="eastAsia" w:ascii="宋体" w:hAnsi="宋体" w:eastAsia="宋体" w:cs="宋体"/>
          <w:b/>
          <w:bCs/>
          <w:color w:val="auto"/>
          <w:sz w:val="28"/>
          <w:szCs w:val="28"/>
          <w:lang w:val="en-US" w:eastAsia="zh-CN"/>
        </w:rPr>
        <w:t>抓实宣传教育。</w:t>
      </w:r>
      <w:r>
        <w:rPr>
          <w:rFonts w:hint="eastAsia" w:ascii="宋体" w:hAnsi="宋体" w:eastAsia="宋体" w:cs="宋体"/>
          <w:color w:val="333333"/>
          <w:kern w:val="0"/>
          <w:sz w:val="28"/>
          <w:szCs w:val="28"/>
          <w:lang w:val="en-US" w:eastAsia="zh-CN" w:bidi="ar-SA"/>
        </w:rPr>
        <w:t>深入企业一线，开展“开工第一课”和重大事故隐患专项排查整治宣讲会；扎实开展安全生产月、路政宣传月、消防宣传月等活动；组织开展3期安全生产专题培训班。不断提高广大从业人员的安全生产意识和技能。</w:t>
      </w:r>
      <w:r>
        <w:rPr>
          <w:rFonts w:hint="eastAsia" w:ascii="宋体" w:hAnsi="宋体" w:eastAsia="宋体" w:cs="宋体"/>
          <w:b/>
          <w:bCs/>
          <w:color w:val="auto"/>
          <w:sz w:val="28"/>
          <w:szCs w:val="28"/>
          <w:lang w:val="en-US" w:eastAsia="zh-CN"/>
        </w:rPr>
        <w:t>抓细隐患整治。</w:t>
      </w:r>
      <w:r>
        <w:rPr>
          <w:rFonts w:hint="eastAsia" w:ascii="宋体" w:hAnsi="宋体" w:eastAsia="宋体" w:cs="宋体"/>
          <w:color w:val="333333"/>
          <w:kern w:val="0"/>
          <w:sz w:val="28"/>
          <w:szCs w:val="28"/>
          <w:lang w:val="en-US" w:eastAsia="zh-CN" w:bidi="ar-SA"/>
        </w:rPr>
        <w:t>严格落实“五全一常态”机制，大力开展“起底式”全面排查，共下发《安全隐患交办单》29期，交办整治问题隐患184项；聘请“第三方”专家开展安全检查4轮次，共检查企业207家次，抽查车辆543台次、船舶14艘次，排查整治问题隐患583项。</w:t>
      </w:r>
      <w:r>
        <w:rPr>
          <w:rFonts w:hint="eastAsia" w:ascii="宋体" w:hAnsi="宋体" w:eastAsia="宋体" w:cs="宋体"/>
          <w:b/>
          <w:bCs/>
          <w:color w:val="auto"/>
          <w:sz w:val="28"/>
          <w:szCs w:val="28"/>
          <w:lang w:val="en-US" w:eastAsia="zh-CN"/>
        </w:rPr>
        <w:t>抓严安全执法。</w:t>
      </w:r>
      <w:r>
        <w:rPr>
          <w:rFonts w:hint="eastAsia" w:ascii="宋体" w:hAnsi="宋体" w:eastAsia="宋体" w:cs="宋体"/>
          <w:color w:val="333333"/>
          <w:kern w:val="0"/>
          <w:sz w:val="28"/>
          <w:szCs w:val="28"/>
          <w:lang w:val="en-US" w:eastAsia="zh-CN" w:bidi="ar-SA"/>
        </w:rPr>
        <w:t>深入推进安全监管、“打非治违”、联合治超等执法行动。全市交通运输行业共查处案件3568起，责令限期改正1520家，其中查处非法营运1070起，运用</w:t>
      </w:r>
      <w:r>
        <w:rPr>
          <w:rFonts w:hint="eastAsia" w:ascii="宋体" w:hAnsi="宋体" w:cs="宋体"/>
          <w:color w:val="333333"/>
          <w:kern w:val="0"/>
          <w:sz w:val="28"/>
          <w:szCs w:val="28"/>
          <w:lang w:val="en-US" w:eastAsia="zh-CN" w:bidi="ar-SA"/>
        </w:rPr>
        <w:t>《中华人民共和国安全生产法》</w:t>
      </w:r>
      <w:r>
        <w:rPr>
          <w:rFonts w:hint="eastAsia" w:ascii="宋体" w:hAnsi="宋体" w:eastAsia="宋体" w:cs="宋体"/>
          <w:color w:val="333333"/>
          <w:kern w:val="0"/>
          <w:sz w:val="28"/>
          <w:szCs w:val="28"/>
          <w:lang w:val="en-US" w:eastAsia="zh-CN" w:bidi="ar-SA"/>
        </w:rPr>
        <w:t>处罚企业12家；全市普通公路和高速公路违法超限率分别稳定控制在1%、0.5%以内。</w:t>
      </w:r>
      <w:r>
        <w:rPr>
          <w:rFonts w:hint="eastAsia" w:ascii="宋体" w:hAnsi="宋体" w:eastAsia="宋体" w:cs="宋体"/>
          <w:b/>
          <w:bCs/>
          <w:color w:val="auto"/>
          <w:sz w:val="28"/>
          <w:szCs w:val="28"/>
          <w:lang w:val="en-US" w:eastAsia="zh-CN"/>
        </w:rPr>
        <w:t>抓牢项目质量。</w:t>
      </w:r>
      <w:r>
        <w:rPr>
          <w:rFonts w:hint="eastAsia" w:ascii="宋体" w:hAnsi="宋体" w:eastAsia="宋体" w:cs="宋体"/>
          <w:color w:val="333333"/>
          <w:kern w:val="0"/>
          <w:sz w:val="28"/>
          <w:szCs w:val="28"/>
          <w:lang w:val="en-US" w:eastAsia="zh-CN" w:bidi="ar-SA"/>
        </w:rPr>
        <w:t>坚决落实项目报监、施工许可和“一会三卡”制度，全面加强标后人员履约监管。全市受监交通项目239个，排查整治质量安全隐患476项，确保项目工程质量安全。</w:t>
      </w:r>
    </w:p>
    <w:p w14:paraId="16E7B6E6">
      <w:pPr>
        <w:pStyle w:val="26"/>
        <w:keepNext w:val="0"/>
        <w:keepLines w:val="0"/>
        <w:pageBreakBefore w:val="0"/>
        <w:widowControl w:val="0"/>
        <w:kinsoku/>
        <w:wordWrap/>
        <w:overflowPunct/>
        <w:topLinePunct w:val="0"/>
        <w:autoSpaceDE w:val="0"/>
        <w:autoSpaceDN w:val="0"/>
        <w:bidi w:val="0"/>
        <w:adjustRightInd/>
        <w:snapToGrid/>
        <w:spacing w:line="560" w:lineRule="exact"/>
        <w:jc w:val="both"/>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一年来，综合交通统计、交通战备、企业脱钩、行业党委、联合工会、财务审计、离退休干部管理服务、行业禁毒、平安建设、机关后勤、政务信息、交通信息化、常态化扫黑除恶斗争等工作都卓有成效，建议提案办理工作再获全市先进。</w:t>
      </w:r>
    </w:p>
    <w:p w14:paraId="7A3BA699">
      <w:pPr>
        <w:pStyle w:val="26"/>
        <w:keepNext w:val="0"/>
        <w:keepLines w:val="0"/>
        <w:pageBreakBefore w:val="0"/>
        <w:widowControl w:val="0"/>
        <w:kinsoku/>
        <w:wordWrap/>
        <w:overflowPunct/>
        <w:topLinePunct w:val="0"/>
        <w:autoSpaceDE w:val="0"/>
        <w:autoSpaceDN w:val="0"/>
        <w:bidi w:val="0"/>
        <w:adjustRightInd/>
        <w:snapToGrid/>
        <w:spacing w:line="560" w:lineRule="exact"/>
        <w:jc w:val="both"/>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这些成绩的取得，是市委、市政府坚强领导的结果，是市人大、市政协和省厅鼎力支持的结果，是县市区党委政府、市直部门、有关企业通力协作的结果，是全系统广大干部职工团结奋进、攻坚克难的结果。在此，我代表市交通运输局党组，向长期关心支持全市交通运输事业发展的各级领导、有关部门、社会各界、全系统广大干部职工及离退休老同志表示衷心的感谢和崇高的敬意！</w:t>
      </w:r>
    </w:p>
    <w:p w14:paraId="65669B8B">
      <w:pPr>
        <w:pStyle w:val="26"/>
        <w:keepNext w:val="0"/>
        <w:keepLines w:val="0"/>
        <w:pageBreakBefore w:val="0"/>
        <w:widowControl w:val="0"/>
        <w:kinsoku/>
        <w:wordWrap/>
        <w:overflowPunct/>
        <w:topLinePunct w:val="0"/>
        <w:autoSpaceDE w:val="0"/>
        <w:autoSpaceDN w:val="0"/>
        <w:bidi w:val="0"/>
        <w:adjustRightInd/>
        <w:snapToGrid/>
        <w:spacing w:line="560" w:lineRule="exact"/>
        <w:jc w:val="both"/>
        <w:textAlignment w:val="auto"/>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在看到成绩的同时，也要清醒认识到存在的问题和短板。</w:t>
      </w:r>
      <w:r>
        <w:rPr>
          <w:rFonts w:hint="eastAsia" w:ascii="宋体" w:hAnsi="宋体" w:eastAsia="宋体" w:cs="宋体"/>
          <w:b/>
          <w:bCs/>
          <w:color w:val="auto"/>
          <w:sz w:val="28"/>
          <w:szCs w:val="28"/>
          <w:lang w:val="en-US" w:eastAsia="zh-CN"/>
        </w:rPr>
        <w:t>一是要素保障压力仍然较大。</w:t>
      </w:r>
      <w:r>
        <w:rPr>
          <w:rFonts w:hint="eastAsia" w:ascii="宋体" w:hAnsi="宋体" w:eastAsia="宋体" w:cs="宋体"/>
          <w:color w:val="333333"/>
          <w:kern w:val="0"/>
          <w:sz w:val="28"/>
          <w:szCs w:val="28"/>
          <w:lang w:val="en-US" w:eastAsia="zh-CN" w:bidi="ar-SA"/>
        </w:rPr>
        <w:t>当前地方财政配套资金筹措困难，同时受国土、环保等要素刚性制约，推进项目建设的困难更多、周期更长、变数更大。</w:t>
      </w:r>
      <w:r>
        <w:rPr>
          <w:rFonts w:hint="eastAsia" w:ascii="宋体" w:hAnsi="宋体" w:eastAsia="宋体" w:cs="宋体"/>
          <w:b/>
          <w:bCs/>
          <w:color w:val="auto"/>
          <w:sz w:val="28"/>
          <w:szCs w:val="28"/>
          <w:lang w:val="en-US" w:eastAsia="zh-CN"/>
        </w:rPr>
        <w:t>二是安全生产压力仍然较大。</w:t>
      </w:r>
      <w:r>
        <w:rPr>
          <w:rFonts w:hint="eastAsia" w:ascii="宋体" w:hAnsi="宋体" w:eastAsia="宋体" w:cs="宋体"/>
          <w:color w:val="333333"/>
          <w:kern w:val="0"/>
          <w:sz w:val="28"/>
          <w:szCs w:val="28"/>
          <w:lang w:val="en-US" w:eastAsia="zh-CN" w:bidi="ar-SA"/>
        </w:rPr>
        <w:t>交通运输行业点多、线长、面广，安全生产监管执法工作量大、任务重，一般伤亡事故仍有发生，安全生产形势依然严峻。部分农村公路安防设施还不完善，部分农养国省道技术标准较低；“两客一危”车辆超速、疲劳驾驶等违法违规行为仍有发生，水上渡运超载行为仍然存在；客货运企业普遍亏损，安全生产资金投入不足，主体责任落实不到位等。</w:t>
      </w:r>
      <w:r>
        <w:rPr>
          <w:rFonts w:hint="eastAsia" w:ascii="宋体" w:hAnsi="宋体" w:eastAsia="宋体" w:cs="宋体"/>
          <w:b/>
          <w:bCs/>
          <w:color w:val="auto"/>
          <w:sz w:val="28"/>
          <w:szCs w:val="28"/>
          <w:lang w:val="en-US" w:eastAsia="zh-CN"/>
        </w:rPr>
        <w:t>三是信访维稳压力仍然较大。</w:t>
      </w:r>
      <w:r>
        <w:rPr>
          <w:rFonts w:hint="eastAsia" w:ascii="宋体" w:hAnsi="宋体" w:eastAsia="宋体" w:cs="宋体"/>
          <w:color w:val="333333"/>
          <w:kern w:val="0"/>
          <w:sz w:val="28"/>
          <w:szCs w:val="28"/>
          <w:lang w:val="en-US" w:eastAsia="zh-CN" w:bidi="ar-SA"/>
        </w:rPr>
        <w:t>衡汽集团破产重组引发的重点群体不稳定、改制企业遗留问题、驾培行业投诉较多、网约车合规化率不高、道路水运企业恶性竞争，造成行业维稳和舆情压力日益加大。</w:t>
      </w:r>
    </w:p>
    <w:p w14:paraId="0796F74D">
      <w:pPr>
        <w:pStyle w:val="10"/>
        <w:spacing w:before="0" w:beforeAutospacing="0" w:after="0" w:afterAutospacing="0" w:line="340" w:lineRule="atLeast"/>
        <w:ind w:right="160" w:firstLine="562" w:firstLineChars="200"/>
        <w:jc w:val="both"/>
        <w:rPr>
          <w:rFonts w:hint="eastAsia" w:ascii="宋体" w:hAnsi="宋体" w:eastAsia="宋体" w:cs="宋体"/>
          <w:b/>
          <w:bCs/>
          <w:sz w:val="28"/>
          <w:szCs w:val="28"/>
        </w:rPr>
      </w:pPr>
      <w:r>
        <w:rPr>
          <w:rFonts w:hint="eastAsia" w:ascii="宋体" w:hAnsi="宋体" w:eastAsia="宋体" w:cs="宋体"/>
          <w:b/>
          <w:bCs/>
          <w:sz w:val="28"/>
          <w:szCs w:val="28"/>
        </w:rPr>
        <w:t>（二）预算投入、过程、产出及效率方面</w:t>
      </w:r>
    </w:p>
    <w:p w14:paraId="69E06C16">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1、2024年人员配置方面，财政供养人员控制在预算编制以内，编制内在职人员控制率100%，“三公经费”控制较好。</w:t>
      </w:r>
    </w:p>
    <w:p w14:paraId="51BB050C">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2、产出情况：保障交通局机关在职人员以及离退休人员正常办公、生活秩序，基本满足在职人员和离退休的正常办公、生活要求。完成专项资金支出进度要求，确保交通局各项工作顺利开展.</w:t>
      </w:r>
    </w:p>
    <w:p w14:paraId="76D8F239">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3、预算管理：我局严格遵守财经纪律及相关会计制度，按照财务管理、预算管理、资产管理、办公用品管理、电子卖场管理等一系列内部财务管理制度进行财务管理。项目支出分项目单独核算。严格按规定在局门户网站上公开预决算信息、绩效评价和三公经费情况。限额以上的按规定进行政府采购，限额以下的均通过电子卖场实施采购，达到公开招投标限额的项目均按要求进行公开招投标。相关资产管理制度合法、合规、完整。预算管理本着厉行节俭、只减不增的原则，严格执行“三公”经费标准和审批制度与程序，公用经费、三公经费都得到了有效控制。</w:t>
      </w:r>
    </w:p>
    <w:p w14:paraId="0634C22C">
      <w:pPr>
        <w:pStyle w:val="10"/>
        <w:spacing w:before="0" w:beforeAutospacing="0" w:after="0" w:afterAutospacing="0" w:line="340" w:lineRule="atLeast"/>
        <w:ind w:right="160" w:firstLine="602" w:firstLineChars="200"/>
        <w:jc w:val="both"/>
        <w:rPr>
          <w:rFonts w:hint="eastAsia" w:ascii="宋体" w:hAnsi="宋体" w:eastAsia="宋体" w:cs="宋体"/>
          <w:b/>
          <w:bCs/>
          <w:sz w:val="30"/>
          <w:szCs w:val="30"/>
        </w:rPr>
      </w:pPr>
      <w:r>
        <w:rPr>
          <w:rFonts w:hint="eastAsia" w:ascii="宋体" w:hAnsi="宋体" w:eastAsia="宋体" w:cs="宋体"/>
          <w:b/>
          <w:bCs/>
          <w:sz w:val="30"/>
          <w:szCs w:val="30"/>
        </w:rPr>
        <w:t>（三）发展规划</w:t>
      </w:r>
    </w:p>
    <w:p w14:paraId="2A1AF811">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 xml:space="preserve"> 2024年，我局坚持贯彻中央、省、市决策部署和工作安排，紧紧围绕年度目标，着力抓好重点工作，全面推进交通运输工作年度目标任务完成，力争获得省、市真抓实干激励，为推动衡阳经济社会发展提供强有力的交通运输支撑保障。</w:t>
      </w:r>
    </w:p>
    <w:p w14:paraId="50FDBFF2">
      <w:pPr>
        <w:pStyle w:val="10"/>
        <w:spacing w:before="0" w:beforeAutospacing="0" w:after="0" w:afterAutospacing="0" w:line="340" w:lineRule="atLeast"/>
        <w:ind w:right="160" w:firstLine="602" w:firstLineChars="200"/>
        <w:jc w:val="both"/>
        <w:rPr>
          <w:rFonts w:hint="eastAsia" w:ascii="宋体" w:hAnsi="宋体" w:eastAsia="宋体" w:cs="宋体"/>
          <w:b/>
          <w:bCs/>
          <w:sz w:val="30"/>
          <w:szCs w:val="30"/>
        </w:rPr>
      </w:pPr>
      <w:r>
        <w:rPr>
          <w:rFonts w:hint="eastAsia" w:ascii="宋体" w:hAnsi="宋体" w:eastAsia="宋体" w:cs="宋体"/>
          <w:b/>
          <w:bCs/>
          <w:sz w:val="30"/>
          <w:szCs w:val="30"/>
        </w:rPr>
        <w:t>（四）社会效益和行政效益方面</w:t>
      </w:r>
    </w:p>
    <w:p w14:paraId="78791A65">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2024年，在市委、市政府的坚强领导下，在市人大、市政协和省厅的大力支持下，全系统广大干部职工主动对标对表</w:t>
      </w:r>
      <w:r>
        <w:rPr>
          <w:rFonts w:hint="eastAsia" w:cs="宋体"/>
          <w:color w:val="333333"/>
          <w:kern w:val="0"/>
          <w:sz w:val="28"/>
          <w:szCs w:val="28"/>
          <w:lang w:val="en-US" w:eastAsia="zh-CN" w:bidi="ar-SA"/>
        </w:rPr>
        <w:t>国家、省、市</w:t>
      </w:r>
      <w:r>
        <w:rPr>
          <w:rFonts w:hint="eastAsia" w:ascii="宋体" w:hAnsi="宋体" w:eastAsia="宋体" w:cs="宋体"/>
          <w:color w:val="333333"/>
          <w:kern w:val="0"/>
          <w:sz w:val="28"/>
          <w:szCs w:val="28"/>
          <w:lang w:val="en-US" w:eastAsia="zh-CN" w:bidi="ar-SA"/>
        </w:rPr>
        <w:t>重大战略决策部署，坚持以高度的政治自觉、思想自觉、行动自觉，全市交通运输工作抓出了成效。</w:t>
      </w:r>
    </w:p>
    <w:p w14:paraId="6212B275">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 xml:space="preserve"> 在行政效能上，进一步精简文件数量，提高文件质量；严格行文规则，控制文件规格；减少会议数量，压缩会议时间；控制会议规模，创新会议形式；节约会议成本，严肃会议纪律；推动网上办事，降低提交资料的时间及成本，提高了行政效率，降低了行政成本。</w:t>
      </w:r>
    </w:p>
    <w:p w14:paraId="2F398E67">
      <w:pPr>
        <w:pStyle w:val="10"/>
        <w:spacing w:before="0" w:beforeAutospacing="0" w:after="0" w:afterAutospacing="0" w:line="340" w:lineRule="atLeast"/>
        <w:ind w:right="160" w:firstLine="602" w:firstLineChars="200"/>
        <w:jc w:val="both"/>
        <w:rPr>
          <w:rFonts w:hint="eastAsia" w:ascii="宋体" w:hAnsi="宋体" w:eastAsia="宋体" w:cs="宋体"/>
          <w:b/>
          <w:bCs/>
          <w:sz w:val="30"/>
          <w:szCs w:val="30"/>
        </w:rPr>
      </w:pPr>
      <w:r>
        <w:rPr>
          <w:rFonts w:hint="eastAsia" w:ascii="宋体" w:hAnsi="宋体" w:eastAsia="宋体" w:cs="宋体"/>
          <w:b/>
          <w:bCs/>
          <w:sz w:val="30"/>
          <w:szCs w:val="30"/>
        </w:rPr>
        <w:t>（五）履职效益：</w:t>
      </w:r>
    </w:p>
    <w:p w14:paraId="5A244E94">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ascii="仿宋" w:hAnsi="仿宋" w:eastAsia="仿宋"/>
        </w:rPr>
        <w:t xml:space="preserve">  </w:t>
      </w:r>
      <w:r>
        <w:rPr>
          <w:rFonts w:hint="eastAsia" w:ascii="宋体" w:hAnsi="宋体" w:eastAsia="宋体" w:cs="宋体"/>
          <w:color w:val="333333"/>
          <w:kern w:val="0"/>
          <w:sz w:val="28"/>
          <w:szCs w:val="28"/>
          <w:lang w:val="en-US" w:eastAsia="zh-CN" w:bidi="ar-SA"/>
        </w:rPr>
        <w:t xml:space="preserve"> (1)经济效益：通过厉行节约，努力减少各项支出，确保财政资金的正确使用。</w:t>
      </w:r>
    </w:p>
    <w:p w14:paraId="49EE076A">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 xml:space="preserve">   (2)环境效益：通过项目实施，减少环境污染，提高环境质量。</w:t>
      </w:r>
    </w:p>
    <w:p w14:paraId="7D216BFC">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 xml:space="preserve">  (3)可持续影响：体现政策导向，发挥交通专业优势，带动交通局各项工作的可持续发展。</w:t>
      </w:r>
    </w:p>
    <w:p w14:paraId="1FE709C0">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 xml:space="preserve">  (4)服务对象满意度：通过上述工作的开展，全市交通运输各项工作稳步推进，社会公众的满意度得到了提高。</w:t>
      </w:r>
    </w:p>
    <w:p w14:paraId="01469AD3">
      <w:pPr>
        <w:pStyle w:val="10"/>
        <w:spacing w:before="0" w:beforeAutospacing="0" w:after="0" w:afterAutospacing="0" w:line="340" w:lineRule="atLeast"/>
        <w:ind w:right="160" w:firstLine="602" w:firstLineChars="200"/>
        <w:jc w:val="both"/>
        <w:rPr>
          <w:rFonts w:hint="eastAsia" w:ascii="宋体" w:hAnsi="宋体" w:eastAsia="宋体" w:cs="宋体"/>
          <w:b/>
          <w:bCs/>
          <w:sz w:val="30"/>
          <w:szCs w:val="30"/>
        </w:rPr>
      </w:pPr>
      <w:r>
        <w:rPr>
          <w:rFonts w:hint="eastAsia" w:ascii="宋体" w:hAnsi="宋体" w:eastAsia="宋体" w:cs="宋体"/>
          <w:b/>
          <w:bCs/>
          <w:sz w:val="30"/>
          <w:szCs w:val="30"/>
        </w:rPr>
        <w:t>（六）可持续性分析</w:t>
      </w:r>
    </w:p>
    <w:p w14:paraId="602331F8">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通过上述工作的开展，全市交通运输各项工作稳步推进，社会公众的满意度得到了提高。同时在市委市政府的坚强领导下，我局认真完成上级政府部门布置各项工作任务，加强资金管理，提高资金使用效率。</w:t>
      </w:r>
    </w:p>
    <w:p w14:paraId="30C313A5">
      <w:pPr>
        <w:pStyle w:val="10"/>
        <w:spacing w:before="0" w:beforeAutospacing="0" w:after="0" w:afterAutospacing="0" w:line="340" w:lineRule="atLeast"/>
        <w:ind w:right="160" w:firstLine="643" w:firstLineChars="200"/>
        <w:jc w:val="both"/>
        <w:rPr>
          <w:rFonts w:hint="eastAsia" w:ascii="宋体" w:hAnsi="宋体" w:eastAsia="宋体" w:cs="宋体"/>
          <w:b/>
          <w:bCs/>
          <w:sz w:val="32"/>
          <w:szCs w:val="32"/>
        </w:rPr>
      </w:pPr>
      <w:r>
        <w:rPr>
          <w:rFonts w:hint="eastAsia" w:cs="宋体"/>
          <w:b/>
          <w:bCs/>
          <w:sz w:val="32"/>
          <w:szCs w:val="32"/>
          <w:lang w:val="en-US" w:eastAsia="zh-CN"/>
        </w:rPr>
        <w:t>七、</w:t>
      </w:r>
      <w:r>
        <w:rPr>
          <w:rFonts w:hint="eastAsia" w:ascii="宋体" w:hAnsi="宋体" w:eastAsia="宋体" w:cs="宋体"/>
          <w:b/>
          <w:bCs/>
          <w:sz w:val="32"/>
          <w:szCs w:val="32"/>
        </w:rPr>
        <w:t>存在的问题及原因分析</w:t>
      </w:r>
    </w:p>
    <w:p w14:paraId="707DFE07">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预算绩效管理人才缺乏，管理能力和水平有待进一步提高。</w:t>
      </w:r>
    </w:p>
    <w:p w14:paraId="41002578">
      <w:pPr>
        <w:pStyle w:val="10"/>
        <w:spacing w:before="0" w:beforeAutospacing="0" w:after="0" w:afterAutospacing="0" w:line="340" w:lineRule="atLeast"/>
        <w:ind w:right="160" w:firstLine="643" w:firstLineChars="200"/>
        <w:jc w:val="both"/>
        <w:rPr>
          <w:rFonts w:hint="eastAsia" w:cs="宋体"/>
          <w:b/>
          <w:bCs/>
          <w:sz w:val="32"/>
          <w:szCs w:val="32"/>
          <w:lang w:val="en-US" w:eastAsia="zh-CN"/>
        </w:rPr>
      </w:pPr>
      <w:r>
        <w:rPr>
          <w:rFonts w:hint="eastAsia" w:cs="宋体"/>
          <w:b/>
          <w:bCs/>
          <w:sz w:val="32"/>
          <w:szCs w:val="32"/>
          <w:lang w:val="en-US" w:eastAsia="zh-CN"/>
        </w:rPr>
        <w:t>八、下一步工作安排</w:t>
      </w:r>
    </w:p>
    <w:p w14:paraId="2478F3B9">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1、认真做好预算编制</w:t>
      </w:r>
    </w:p>
    <w:p w14:paraId="10DD71BE">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进一步加强单位内部预算管理，严格按照预算编制的相关制度和要求，本着“勤俭节约、保障运转”的原则进行预算编制；编制范围尽可能的全面，不漏项；杜绝预算编制粗放现象的发生，进一步提高预算编制的科学性、合理性、严谨性和可控性，科学制定年度预算，充分预计和提前计划各项支出。</w:t>
      </w:r>
    </w:p>
    <w:p w14:paraId="5FEBC496">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2、提高绩效管理水平</w:t>
      </w:r>
    </w:p>
    <w:p w14:paraId="1FD14F2D">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进一步建立健全预算绩效管理工作制度，加强预算绩效管理工作队伍建设，通过开展预算绩效管理工作培训、与财政和绩效管理先进单位交流学习等方式提高单位绩效管理工作能力和水平。</w:t>
      </w:r>
    </w:p>
    <w:p w14:paraId="738F73F4">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3、完善财务管理制度</w:t>
      </w:r>
    </w:p>
    <w:p w14:paraId="2DA70C1C">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进一步贯彻落实中央</w:t>
      </w:r>
      <w:r>
        <w:rPr>
          <w:rFonts w:hint="eastAsia" w:cs="宋体"/>
          <w:color w:val="333333"/>
          <w:kern w:val="0"/>
          <w:sz w:val="28"/>
          <w:szCs w:val="28"/>
          <w:lang w:val="en-US" w:eastAsia="zh-CN" w:bidi="ar-SA"/>
        </w:rPr>
        <w:t>八项规定</w:t>
      </w:r>
      <w:r>
        <w:rPr>
          <w:rFonts w:hint="eastAsia" w:ascii="宋体" w:hAnsi="宋体" w:eastAsia="宋体" w:cs="宋体"/>
          <w:color w:val="333333"/>
          <w:kern w:val="0"/>
          <w:sz w:val="28"/>
          <w:szCs w:val="28"/>
          <w:lang w:val="en-US" w:eastAsia="zh-CN" w:bidi="ar-SA"/>
        </w:rPr>
        <w:t>，建立健全新的财务管理制度，针对“三公”经费制订专门的审批和控制制度，规范支出标准与范围，并严格执行。</w:t>
      </w:r>
    </w:p>
    <w:p w14:paraId="3803105B">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4、加强全局经费管理</w:t>
      </w:r>
    </w:p>
    <w:p w14:paraId="14FCA66D">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r>
        <w:rPr>
          <w:rFonts w:hint="eastAsia" w:ascii="宋体" w:hAnsi="宋体" w:eastAsia="宋体" w:cs="宋体"/>
          <w:color w:val="333333"/>
          <w:kern w:val="0"/>
          <w:sz w:val="28"/>
          <w:szCs w:val="28"/>
          <w:lang w:val="en-US" w:eastAsia="zh-CN" w:bidi="ar-SA"/>
        </w:rPr>
        <w:t>在当前工作经费逐年压减少的大环境下，财务本着少花钱、事要办好的原则，继续推行经费先批后用、先预算后结算的操作模式，确保我局各项工作有序开展并取得实效。</w:t>
      </w:r>
    </w:p>
    <w:p w14:paraId="7C3910EB">
      <w:pPr>
        <w:pStyle w:val="10"/>
        <w:shd w:val="clear" w:color="auto" w:fill="FFFFFF"/>
        <w:spacing w:before="0" w:beforeAutospacing="0" w:after="0" w:afterAutospacing="0" w:line="340" w:lineRule="atLeast"/>
        <w:ind w:firstLine="560"/>
        <w:jc w:val="both"/>
        <w:rPr>
          <w:rFonts w:hint="eastAsia" w:ascii="宋体" w:hAnsi="宋体" w:eastAsia="宋体" w:cs="宋体"/>
          <w:color w:val="333333"/>
          <w:kern w:val="0"/>
          <w:sz w:val="28"/>
          <w:szCs w:val="28"/>
          <w:lang w:val="en-US" w:eastAsia="zh-CN" w:bidi="ar-SA"/>
        </w:rPr>
      </w:pPr>
    </w:p>
    <w:p w14:paraId="27F4607C">
      <w:pPr>
        <w:ind w:right="640"/>
        <w:rPr>
          <w:rFonts w:ascii="黑体" w:hAnsi="黑体" w:eastAsia="黑体" w:cs="黑体"/>
          <w:kern w:val="0"/>
          <w:sz w:val="32"/>
          <w:szCs w:val="32"/>
        </w:rPr>
      </w:pPr>
    </w:p>
    <w:p w14:paraId="7EAA8ED4">
      <w:pPr>
        <w:ind w:right="640"/>
        <w:rPr>
          <w:rFonts w:ascii="黑体" w:hAnsi="黑体" w:eastAsia="黑体" w:cs="黑体"/>
          <w:kern w:val="0"/>
          <w:sz w:val="32"/>
          <w:szCs w:val="32"/>
        </w:rPr>
      </w:pPr>
    </w:p>
    <w:p w14:paraId="5766B5CA">
      <w:pPr>
        <w:ind w:right="640"/>
        <w:rPr>
          <w:rFonts w:ascii="黑体" w:hAnsi="黑体" w:eastAsia="黑体" w:cs="黑体"/>
          <w:kern w:val="0"/>
          <w:sz w:val="32"/>
          <w:szCs w:val="32"/>
        </w:rPr>
      </w:pPr>
    </w:p>
    <w:p w14:paraId="48455B10">
      <w:pPr>
        <w:ind w:right="640"/>
        <w:rPr>
          <w:rFonts w:ascii="黑体" w:hAnsi="黑体" w:eastAsia="黑体" w:cs="黑体"/>
          <w:kern w:val="0"/>
          <w:sz w:val="32"/>
          <w:szCs w:val="32"/>
        </w:rPr>
      </w:pPr>
    </w:p>
    <w:p w14:paraId="2AEDC2CB">
      <w:pPr>
        <w:pStyle w:val="5"/>
        <w:rPr>
          <w:rFonts w:ascii="黑体" w:hAnsi="黑体" w:eastAsia="黑体" w:cs="黑体"/>
          <w:kern w:val="0"/>
        </w:rPr>
      </w:pPr>
    </w:p>
    <w:p w14:paraId="64409EE3">
      <w:pPr>
        <w:pStyle w:val="5"/>
        <w:rPr>
          <w:rFonts w:ascii="黑体" w:hAnsi="黑体" w:eastAsia="黑体" w:cs="黑体"/>
          <w:kern w:val="0"/>
        </w:rPr>
      </w:pPr>
    </w:p>
    <w:p w14:paraId="0FE7B67F">
      <w:pPr>
        <w:pStyle w:val="5"/>
        <w:rPr>
          <w:rFonts w:ascii="Times New Roman" w:hAnsi="Times New Roman" w:eastAsia="仿宋_GB2312"/>
          <w:sz w:val="24"/>
        </w:rPr>
      </w:pPr>
    </w:p>
    <w:p w14:paraId="69AC7D86">
      <w:pPr>
        <w:pStyle w:val="5"/>
        <w:rPr>
          <w:rFonts w:ascii="Times New Roman" w:hAnsi="Times New Roman" w:eastAsia="仿宋_GB2312"/>
          <w:sz w:val="24"/>
        </w:rPr>
      </w:pPr>
    </w:p>
    <w:p w14:paraId="0709E943">
      <w:pPr>
        <w:pStyle w:val="5"/>
        <w:rPr>
          <w:rFonts w:ascii="Times New Roman" w:hAnsi="Times New Roman" w:eastAsia="仿宋_GB2312"/>
          <w:sz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AD0A7">
    <w:pPr>
      <w:pStyle w:val="7"/>
      <w:framePr w:wrap="around" w:vAnchor="text" w:hAnchor="margin" w:xAlign="outside" w:y="1"/>
      <w:rPr>
        <w:rStyle w:val="13"/>
        <w:rFonts w:ascii="Times New Roman" w:hAnsi="Times New Roman"/>
        <w:sz w:val="28"/>
        <w:szCs w:val="28"/>
      </w:rPr>
    </w:pPr>
    <w:r>
      <w:rPr>
        <w:rStyle w:val="13"/>
        <w:rFonts w:ascii="Times New Roman" w:hAnsi="Times New Roman"/>
        <w:sz w:val="28"/>
        <w:szCs w:val="28"/>
      </w:rPr>
      <w:fldChar w:fldCharType="begin"/>
    </w:r>
    <w:r>
      <w:rPr>
        <w:rStyle w:val="13"/>
        <w:rFonts w:ascii="Times New Roman" w:hAnsi="Times New Roman"/>
        <w:sz w:val="28"/>
        <w:szCs w:val="28"/>
      </w:rPr>
      <w:instrText xml:space="preserve">PAGE  </w:instrText>
    </w:r>
    <w:r>
      <w:rPr>
        <w:rStyle w:val="13"/>
        <w:rFonts w:ascii="Times New Roman" w:hAnsi="Times New Roman"/>
        <w:sz w:val="28"/>
        <w:szCs w:val="28"/>
      </w:rPr>
      <w:fldChar w:fldCharType="separate"/>
    </w:r>
    <w:r>
      <w:rPr>
        <w:rStyle w:val="13"/>
        <w:rFonts w:ascii="Times New Roman" w:hAnsi="Times New Roman"/>
        <w:sz w:val="28"/>
        <w:szCs w:val="28"/>
      </w:rPr>
      <w:t>10</w:t>
    </w:r>
    <w:r>
      <w:rPr>
        <w:rStyle w:val="13"/>
        <w:rFonts w:ascii="Times New Roman" w:hAnsi="Times New Roman"/>
        <w:sz w:val="28"/>
        <w:szCs w:val="28"/>
      </w:rPr>
      <w:fldChar w:fldCharType="end"/>
    </w:r>
  </w:p>
  <w:p w14:paraId="4F13DE67">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61EF">
    <w:pPr>
      <w:pStyle w:val="7"/>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end"/>
    </w:r>
  </w:p>
  <w:p w14:paraId="426B0E5A">
    <w:pPr>
      <w:pStyle w:val="7"/>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792320"/>
    <w:multiLevelType w:val="singleLevel"/>
    <w:tmpl w:val="1579232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RlZDc4MmU2OWJkODcxNWQ0NTgxZTc5ZTliZDg3YmUifQ=="/>
  </w:docVars>
  <w:rsids>
    <w:rsidRoot w:val="00C553EF"/>
    <w:rsid w:val="0000120E"/>
    <w:rsid w:val="00012C93"/>
    <w:rsid w:val="000734E3"/>
    <w:rsid w:val="000773D5"/>
    <w:rsid w:val="00080625"/>
    <w:rsid w:val="00093B9D"/>
    <w:rsid w:val="00094646"/>
    <w:rsid w:val="000A561A"/>
    <w:rsid w:val="000D5E7F"/>
    <w:rsid w:val="000E2B59"/>
    <w:rsid w:val="000E3FC3"/>
    <w:rsid w:val="000F775C"/>
    <w:rsid w:val="00135131"/>
    <w:rsid w:val="00135395"/>
    <w:rsid w:val="00184AF2"/>
    <w:rsid w:val="001A7CAB"/>
    <w:rsid w:val="001B56F4"/>
    <w:rsid w:val="001B69B6"/>
    <w:rsid w:val="001B6D56"/>
    <w:rsid w:val="00220A85"/>
    <w:rsid w:val="002238BB"/>
    <w:rsid w:val="00225BED"/>
    <w:rsid w:val="002320EB"/>
    <w:rsid w:val="002A03D6"/>
    <w:rsid w:val="002D01D7"/>
    <w:rsid w:val="002F05A3"/>
    <w:rsid w:val="003056F3"/>
    <w:rsid w:val="003126FC"/>
    <w:rsid w:val="00323CF3"/>
    <w:rsid w:val="0032533F"/>
    <w:rsid w:val="00350333"/>
    <w:rsid w:val="003A1408"/>
    <w:rsid w:val="003B7F5C"/>
    <w:rsid w:val="003E1FD6"/>
    <w:rsid w:val="003E5841"/>
    <w:rsid w:val="003F1540"/>
    <w:rsid w:val="004148E0"/>
    <w:rsid w:val="004217FE"/>
    <w:rsid w:val="00440BFE"/>
    <w:rsid w:val="00463FD5"/>
    <w:rsid w:val="00474AD0"/>
    <w:rsid w:val="00487AC5"/>
    <w:rsid w:val="00496F05"/>
    <w:rsid w:val="00537950"/>
    <w:rsid w:val="00551D43"/>
    <w:rsid w:val="00566BA9"/>
    <w:rsid w:val="00581EEE"/>
    <w:rsid w:val="005851E9"/>
    <w:rsid w:val="00591495"/>
    <w:rsid w:val="00594AEE"/>
    <w:rsid w:val="006264B7"/>
    <w:rsid w:val="006964D9"/>
    <w:rsid w:val="006F37DA"/>
    <w:rsid w:val="007123D7"/>
    <w:rsid w:val="00713B58"/>
    <w:rsid w:val="00723134"/>
    <w:rsid w:val="00751BF0"/>
    <w:rsid w:val="00764972"/>
    <w:rsid w:val="00771B0E"/>
    <w:rsid w:val="007A6F2C"/>
    <w:rsid w:val="007B3731"/>
    <w:rsid w:val="007C3C5A"/>
    <w:rsid w:val="007E2D1B"/>
    <w:rsid w:val="007E3E71"/>
    <w:rsid w:val="008241E1"/>
    <w:rsid w:val="00847A3C"/>
    <w:rsid w:val="00893AEC"/>
    <w:rsid w:val="00940D4A"/>
    <w:rsid w:val="009638FE"/>
    <w:rsid w:val="00971DB4"/>
    <w:rsid w:val="0097394E"/>
    <w:rsid w:val="009D0C0A"/>
    <w:rsid w:val="00A0127D"/>
    <w:rsid w:val="00A148B9"/>
    <w:rsid w:val="00A2187E"/>
    <w:rsid w:val="00A3605E"/>
    <w:rsid w:val="00A377C0"/>
    <w:rsid w:val="00A55C61"/>
    <w:rsid w:val="00A56CBB"/>
    <w:rsid w:val="00A801F4"/>
    <w:rsid w:val="00AC12C1"/>
    <w:rsid w:val="00AC349E"/>
    <w:rsid w:val="00AC5F31"/>
    <w:rsid w:val="00AF15ED"/>
    <w:rsid w:val="00B049DD"/>
    <w:rsid w:val="00B17D23"/>
    <w:rsid w:val="00B62F82"/>
    <w:rsid w:val="00B702EE"/>
    <w:rsid w:val="00B86511"/>
    <w:rsid w:val="00B86BA1"/>
    <w:rsid w:val="00B9399A"/>
    <w:rsid w:val="00BD4955"/>
    <w:rsid w:val="00C23636"/>
    <w:rsid w:val="00C553EF"/>
    <w:rsid w:val="00C641BD"/>
    <w:rsid w:val="00C84458"/>
    <w:rsid w:val="00C91F4C"/>
    <w:rsid w:val="00C9428C"/>
    <w:rsid w:val="00CC6012"/>
    <w:rsid w:val="00CD7E4E"/>
    <w:rsid w:val="00CE4DFE"/>
    <w:rsid w:val="00CF0AA7"/>
    <w:rsid w:val="00D64926"/>
    <w:rsid w:val="00D74987"/>
    <w:rsid w:val="00D812AD"/>
    <w:rsid w:val="00D8620A"/>
    <w:rsid w:val="00D90B2D"/>
    <w:rsid w:val="00D91931"/>
    <w:rsid w:val="00DC7EE1"/>
    <w:rsid w:val="00DD4AA2"/>
    <w:rsid w:val="00DD5A15"/>
    <w:rsid w:val="00E01819"/>
    <w:rsid w:val="00E039BF"/>
    <w:rsid w:val="00E141EB"/>
    <w:rsid w:val="00E323CD"/>
    <w:rsid w:val="00E8571A"/>
    <w:rsid w:val="00E94B12"/>
    <w:rsid w:val="00EF0339"/>
    <w:rsid w:val="00F137EB"/>
    <w:rsid w:val="00F2080B"/>
    <w:rsid w:val="00F55DE1"/>
    <w:rsid w:val="00FA2BB2"/>
    <w:rsid w:val="00FC450D"/>
    <w:rsid w:val="00FD081E"/>
    <w:rsid w:val="00FE100B"/>
    <w:rsid w:val="00FE4826"/>
    <w:rsid w:val="02076F1C"/>
    <w:rsid w:val="027A6FEA"/>
    <w:rsid w:val="02820862"/>
    <w:rsid w:val="028D58A7"/>
    <w:rsid w:val="02A46D06"/>
    <w:rsid w:val="03043E77"/>
    <w:rsid w:val="03334D99"/>
    <w:rsid w:val="03B32E34"/>
    <w:rsid w:val="04074D6C"/>
    <w:rsid w:val="046E3A85"/>
    <w:rsid w:val="04DC42B4"/>
    <w:rsid w:val="04F35535"/>
    <w:rsid w:val="05305441"/>
    <w:rsid w:val="05592026"/>
    <w:rsid w:val="055C7BF2"/>
    <w:rsid w:val="05910880"/>
    <w:rsid w:val="05CC64B2"/>
    <w:rsid w:val="068C1467"/>
    <w:rsid w:val="07286BBE"/>
    <w:rsid w:val="07966D78"/>
    <w:rsid w:val="08BF22FE"/>
    <w:rsid w:val="09456F63"/>
    <w:rsid w:val="09CB7861"/>
    <w:rsid w:val="0A2A1F75"/>
    <w:rsid w:val="0ACB4F8A"/>
    <w:rsid w:val="0AE147AE"/>
    <w:rsid w:val="0B266665"/>
    <w:rsid w:val="0B604295"/>
    <w:rsid w:val="0BB05556"/>
    <w:rsid w:val="0BCA3DA9"/>
    <w:rsid w:val="0C68202D"/>
    <w:rsid w:val="0C7C260F"/>
    <w:rsid w:val="0D110C4F"/>
    <w:rsid w:val="0D1C2595"/>
    <w:rsid w:val="0D5154EF"/>
    <w:rsid w:val="0D571602"/>
    <w:rsid w:val="0DDF6F9F"/>
    <w:rsid w:val="0E184715"/>
    <w:rsid w:val="0EC0292C"/>
    <w:rsid w:val="0F262ACD"/>
    <w:rsid w:val="0F345D26"/>
    <w:rsid w:val="11B06C78"/>
    <w:rsid w:val="12087E47"/>
    <w:rsid w:val="12D06BF3"/>
    <w:rsid w:val="1356385F"/>
    <w:rsid w:val="13EB3FA7"/>
    <w:rsid w:val="13F264AF"/>
    <w:rsid w:val="13F56BD4"/>
    <w:rsid w:val="14966ED5"/>
    <w:rsid w:val="14C60571"/>
    <w:rsid w:val="153656F6"/>
    <w:rsid w:val="157B57FF"/>
    <w:rsid w:val="159A6F7B"/>
    <w:rsid w:val="159D49D2"/>
    <w:rsid w:val="15A44D56"/>
    <w:rsid w:val="15DA6FC6"/>
    <w:rsid w:val="1706559C"/>
    <w:rsid w:val="17A666E8"/>
    <w:rsid w:val="17B62B1E"/>
    <w:rsid w:val="18934E7A"/>
    <w:rsid w:val="1AA81F13"/>
    <w:rsid w:val="1B21327E"/>
    <w:rsid w:val="1B4072CF"/>
    <w:rsid w:val="1B923894"/>
    <w:rsid w:val="1DF92B94"/>
    <w:rsid w:val="1E3D5D47"/>
    <w:rsid w:val="1E9049CE"/>
    <w:rsid w:val="1EEC32CA"/>
    <w:rsid w:val="1EED3883"/>
    <w:rsid w:val="20A51CE5"/>
    <w:rsid w:val="217D46AD"/>
    <w:rsid w:val="218B1ADA"/>
    <w:rsid w:val="21B02A12"/>
    <w:rsid w:val="21B75E11"/>
    <w:rsid w:val="21EE6901"/>
    <w:rsid w:val="227B4008"/>
    <w:rsid w:val="2291514A"/>
    <w:rsid w:val="23091CF9"/>
    <w:rsid w:val="2378007B"/>
    <w:rsid w:val="2403462C"/>
    <w:rsid w:val="24717252"/>
    <w:rsid w:val="25587043"/>
    <w:rsid w:val="26A650A8"/>
    <w:rsid w:val="27215264"/>
    <w:rsid w:val="27351C9B"/>
    <w:rsid w:val="27DA6DDD"/>
    <w:rsid w:val="27EE3C0E"/>
    <w:rsid w:val="2893667D"/>
    <w:rsid w:val="28980AF3"/>
    <w:rsid w:val="29652B97"/>
    <w:rsid w:val="29A04A31"/>
    <w:rsid w:val="2A3D08C7"/>
    <w:rsid w:val="2AD642EB"/>
    <w:rsid w:val="2AFA5B22"/>
    <w:rsid w:val="2B4E63B9"/>
    <w:rsid w:val="2B5F72E9"/>
    <w:rsid w:val="2B6F5066"/>
    <w:rsid w:val="2BD305D3"/>
    <w:rsid w:val="2C65033B"/>
    <w:rsid w:val="2CA61530"/>
    <w:rsid w:val="2DB30A0A"/>
    <w:rsid w:val="2DF36C4C"/>
    <w:rsid w:val="2E204D3E"/>
    <w:rsid w:val="2E660FDE"/>
    <w:rsid w:val="2E907E08"/>
    <w:rsid w:val="2EBF7C24"/>
    <w:rsid w:val="2ED61241"/>
    <w:rsid w:val="2F3D3EB4"/>
    <w:rsid w:val="2FF30BA2"/>
    <w:rsid w:val="2FFC27A3"/>
    <w:rsid w:val="301F52AD"/>
    <w:rsid w:val="30B55C11"/>
    <w:rsid w:val="311453D0"/>
    <w:rsid w:val="314502DB"/>
    <w:rsid w:val="31B06F89"/>
    <w:rsid w:val="31FE3BEE"/>
    <w:rsid w:val="32797238"/>
    <w:rsid w:val="32C04E80"/>
    <w:rsid w:val="34974197"/>
    <w:rsid w:val="35F74241"/>
    <w:rsid w:val="361A593A"/>
    <w:rsid w:val="367459D4"/>
    <w:rsid w:val="36A92AAB"/>
    <w:rsid w:val="36C05BDE"/>
    <w:rsid w:val="36E43B5F"/>
    <w:rsid w:val="37531961"/>
    <w:rsid w:val="37B65D46"/>
    <w:rsid w:val="37F41099"/>
    <w:rsid w:val="382F6367"/>
    <w:rsid w:val="3914766B"/>
    <w:rsid w:val="398B5761"/>
    <w:rsid w:val="3A0705F3"/>
    <w:rsid w:val="3AA646BC"/>
    <w:rsid w:val="3C136E3C"/>
    <w:rsid w:val="3C145EE2"/>
    <w:rsid w:val="3C62248D"/>
    <w:rsid w:val="3DBD4389"/>
    <w:rsid w:val="3E1408C1"/>
    <w:rsid w:val="3E277EC7"/>
    <w:rsid w:val="3E907AB6"/>
    <w:rsid w:val="3EFF10CB"/>
    <w:rsid w:val="3F215F4F"/>
    <w:rsid w:val="3F52287D"/>
    <w:rsid w:val="3FBA6DA0"/>
    <w:rsid w:val="40A62E81"/>
    <w:rsid w:val="40C2756A"/>
    <w:rsid w:val="411B561D"/>
    <w:rsid w:val="416B7C26"/>
    <w:rsid w:val="417B5774"/>
    <w:rsid w:val="41807B75"/>
    <w:rsid w:val="41C61B6B"/>
    <w:rsid w:val="42093C6B"/>
    <w:rsid w:val="421366AA"/>
    <w:rsid w:val="42497F67"/>
    <w:rsid w:val="424B0183"/>
    <w:rsid w:val="439A7C3A"/>
    <w:rsid w:val="43C55609"/>
    <w:rsid w:val="44186EBF"/>
    <w:rsid w:val="444917D4"/>
    <w:rsid w:val="448E762B"/>
    <w:rsid w:val="449A0253"/>
    <w:rsid w:val="44A75419"/>
    <w:rsid w:val="451926A8"/>
    <w:rsid w:val="456B5020"/>
    <w:rsid w:val="4616283A"/>
    <w:rsid w:val="47280A93"/>
    <w:rsid w:val="47727F60"/>
    <w:rsid w:val="479D69BF"/>
    <w:rsid w:val="48D10CB7"/>
    <w:rsid w:val="49147208"/>
    <w:rsid w:val="49950503"/>
    <w:rsid w:val="4AF84C20"/>
    <w:rsid w:val="4B5538D6"/>
    <w:rsid w:val="4B56183A"/>
    <w:rsid w:val="4B7E0AE9"/>
    <w:rsid w:val="4B842C24"/>
    <w:rsid w:val="4BAB3A41"/>
    <w:rsid w:val="4BE32D41"/>
    <w:rsid w:val="4C391DEA"/>
    <w:rsid w:val="4CBA03DF"/>
    <w:rsid w:val="4D090A1F"/>
    <w:rsid w:val="4DD06745"/>
    <w:rsid w:val="4F0757CA"/>
    <w:rsid w:val="4FA2515B"/>
    <w:rsid w:val="4FCE12DA"/>
    <w:rsid w:val="4FFF120E"/>
    <w:rsid w:val="5067585C"/>
    <w:rsid w:val="50E33C7D"/>
    <w:rsid w:val="514E5624"/>
    <w:rsid w:val="520B5239"/>
    <w:rsid w:val="521318BA"/>
    <w:rsid w:val="521C17FC"/>
    <w:rsid w:val="52770B21"/>
    <w:rsid w:val="5281374D"/>
    <w:rsid w:val="52AD3126"/>
    <w:rsid w:val="53446E95"/>
    <w:rsid w:val="53542C2A"/>
    <w:rsid w:val="54A97900"/>
    <w:rsid w:val="55311AB1"/>
    <w:rsid w:val="554641B6"/>
    <w:rsid w:val="55552838"/>
    <w:rsid w:val="567D7CFB"/>
    <w:rsid w:val="568D5713"/>
    <w:rsid w:val="57B46841"/>
    <w:rsid w:val="58131D55"/>
    <w:rsid w:val="58C40FF2"/>
    <w:rsid w:val="591C7D2C"/>
    <w:rsid w:val="59F16894"/>
    <w:rsid w:val="59FA1516"/>
    <w:rsid w:val="5A702E86"/>
    <w:rsid w:val="5AEB20AC"/>
    <w:rsid w:val="5B325690"/>
    <w:rsid w:val="5BDB704B"/>
    <w:rsid w:val="5C036F81"/>
    <w:rsid w:val="5C137D0F"/>
    <w:rsid w:val="5C2F64BB"/>
    <w:rsid w:val="5FD24771"/>
    <w:rsid w:val="5FE43136"/>
    <w:rsid w:val="609A4BD3"/>
    <w:rsid w:val="60CC64DC"/>
    <w:rsid w:val="6165003F"/>
    <w:rsid w:val="61D373A0"/>
    <w:rsid w:val="61F119FE"/>
    <w:rsid w:val="62312A9A"/>
    <w:rsid w:val="62946748"/>
    <w:rsid w:val="62F62474"/>
    <w:rsid w:val="63393766"/>
    <w:rsid w:val="640815D9"/>
    <w:rsid w:val="64215F60"/>
    <w:rsid w:val="64614B24"/>
    <w:rsid w:val="64B80B6F"/>
    <w:rsid w:val="64D83F13"/>
    <w:rsid w:val="650C334B"/>
    <w:rsid w:val="65174CDD"/>
    <w:rsid w:val="654F3237"/>
    <w:rsid w:val="660E6C4E"/>
    <w:rsid w:val="66B91727"/>
    <w:rsid w:val="683546F5"/>
    <w:rsid w:val="689E5515"/>
    <w:rsid w:val="68B91843"/>
    <w:rsid w:val="690B56C7"/>
    <w:rsid w:val="694A64E1"/>
    <w:rsid w:val="696574CD"/>
    <w:rsid w:val="697B3329"/>
    <w:rsid w:val="69E05367"/>
    <w:rsid w:val="6A321D47"/>
    <w:rsid w:val="6A325601"/>
    <w:rsid w:val="6AF80B9B"/>
    <w:rsid w:val="6B8C3BF9"/>
    <w:rsid w:val="6BA11423"/>
    <w:rsid w:val="6BAD2A66"/>
    <w:rsid w:val="6BB362CE"/>
    <w:rsid w:val="6BBD584D"/>
    <w:rsid w:val="6C636BEE"/>
    <w:rsid w:val="6CDE3E9F"/>
    <w:rsid w:val="6CE0227F"/>
    <w:rsid w:val="6DA73C10"/>
    <w:rsid w:val="6DC63F1B"/>
    <w:rsid w:val="6E5673E4"/>
    <w:rsid w:val="6E843F52"/>
    <w:rsid w:val="6EBE020C"/>
    <w:rsid w:val="6F481FDE"/>
    <w:rsid w:val="6F7C731F"/>
    <w:rsid w:val="6F9603E0"/>
    <w:rsid w:val="6FE07923"/>
    <w:rsid w:val="6FEA102B"/>
    <w:rsid w:val="7020318B"/>
    <w:rsid w:val="704C4F43"/>
    <w:rsid w:val="71125845"/>
    <w:rsid w:val="71780130"/>
    <w:rsid w:val="71FA5AA8"/>
    <w:rsid w:val="72294004"/>
    <w:rsid w:val="7249173A"/>
    <w:rsid w:val="72545C91"/>
    <w:rsid w:val="72991060"/>
    <w:rsid w:val="7327134F"/>
    <w:rsid w:val="73A03875"/>
    <w:rsid w:val="73FE47A6"/>
    <w:rsid w:val="752D7DA7"/>
    <w:rsid w:val="75CD2682"/>
    <w:rsid w:val="75D83039"/>
    <w:rsid w:val="76400D93"/>
    <w:rsid w:val="765B5EE0"/>
    <w:rsid w:val="76CC46E8"/>
    <w:rsid w:val="77132317"/>
    <w:rsid w:val="773A3B3B"/>
    <w:rsid w:val="77A24B7F"/>
    <w:rsid w:val="77E75290"/>
    <w:rsid w:val="77EB306D"/>
    <w:rsid w:val="79312F28"/>
    <w:rsid w:val="79734262"/>
    <w:rsid w:val="7A620E8E"/>
    <w:rsid w:val="7ABA14E0"/>
    <w:rsid w:val="7B293EB3"/>
    <w:rsid w:val="7B367B0A"/>
    <w:rsid w:val="7B4E50F2"/>
    <w:rsid w:val="7BD227A0"/>
    <w:rsid w:val="7C4B4301"/>
    <w:rsid w:val="7C554D56"/>
    <w:rsid w:val="7D4058CC"/>
    <w:rsid w:val="7D6C4656"/>
    <w:rsid w:val="7EA2775A"/>
    <w:rsid w:val="7EB0669D"/>
    <w:rsid w:val="7F4A2182"/>
    <w:rsid w:val="7F531EB8"/>
    <w:rsid w:val="7F910F92"/>
    <w:rsid w:val="7F9145F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qFormat/>
    <w:uiPriority w:val="99"/>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annotation text"/>
    <w:basedOn w:val="1"/>
    <w:link w:val="16"/>
    <w:qFormat/>
    <w:uiPriority w:val="99"/>
    <w:pPr>
      <w:jc w:val="left"/>
    </w:pPr>
    <w:rPr>
      <w:rFonts w:ascii="Times New Roman" w:hAnsi="Times New Roman"/>
      <w:szCs w:val="24"/>
    </w:rPr>
  </w:style>
  <w:style w:type="paragraph" w:styleId="5">
    <w:name w:val="Body Text"/>
    <w:basedOn w:val="1"/>
    <w:link w:val="17"/>
    <w:autoRedefine/>
    <w:qFormat/>
    <w:uiPriority w:val="99"/>
    <w:rPr>
      <w:sz w:val="32"/>
      <w:szCs w:val="32"/>
    </w:rPr>
  </w:style>
  <w:style w:type="paragraph" w:styleId="6">
    <w:name w:val="Balloon Text"/>
    <w:basedOn w:val="1"/>
    <w:link w:val="18"/>
    <w:qFormat/>
    <w:uiPriority w:val="99"/>
    <w:rPr>
      <w:rFonts w:ascii="Times New Roman" w:hAnsi="Times New Roman"/>
      <w:sz w:val="18"/>
      <w:szCs w:val="18"/>
    </w:rPr>
  </w:style>
  <w:style w:type="paragraph" w:styleId="7">
    <w:name w:val="footer"/>
    <w:basedOn w:val="1"/>
    <w:link w:val="19"/>
    <w:autoRedefine/>
    <w:qFormat/>
    <w:uiPriority w:val="99"/>
    <w:pPr>
      <w:tabs>
        <w:tab w:val="center" w:pos="4153"/>
        <w:tab w:val="right" w:pos="8306"/>
      </w:tabs>
      <w:snapToGrid w:val="0"/>
      <w:jc w:val="left"/>
    </w:pPr>
    <w:rPr>
      <w:sz w:val="18"/>
      <w:szCs w:val="18"/>
    </w:rPr>
  </w:style>
  <w:style w:type="paragraph" w:styleId="8">
    <w:name w:val="header"/>
    <w:basedOn w:val="1"/>
    <w:link w:val="20"/>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semiHidden/>
    <w:qFormat/>
    <w:locked/>
    <w:uiPriority w:val="99"/>
  </w:style>
  <w:style w:type="paragraph" w:styleId="10">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13">
    <w:name w:val="page number"/>
    <w:basedOn w:val="12"/>
    <w:qFormat/>
    <w:uiPriority w:val="99"/>
    <w:rPr>
      <w:rFonts w:cs="Times New Roman"/>
    </w:rPr>
  </w:style>
  <w:style w:type="character" w:styleId="14">
    <w:name w:val="annotation reference"/>
    <w:basedOn w:val="12"/>
    <w:qFormat/>
    <w:uiPriority w:val="99"/>
    <w:rPr>
      <w:rFonts w:cs="Times New Roman"/>
      <w:sz w:val="21"/>
      <w:szCs w:val="21"/>
    </w:rPr>
  </w:style>
  <w:style w:type="paragraph" w:customStyle="1" w:styleId="15">
    <w:name w:val="样式2"/>
    <w:basedOn w:val="1"/>
    <w:qFormat/>
    <w:uiPriority w:val="99"/>
    <w:pPr>
      <w:widowControl/>
      <w:shd w:val="clear" w:color="auto" w:fill="FFFFFF"/>
      <w:spacing w:before="100" w:beforeAutospacing="1" w:after="100" w:afterAutospacing="1"/>
      <w:ind w:left="562"/>
      <w:jc w:val="center"/>
    </w:pPr>
    <w:rPr>
      <w:rFonts w:ascii="宋体" w:cs="宋体"/>
      <w:b/>
      <w:bCs/>
    </w:rPr>
  </w:style>
  <w:style w:type="character" w:customStyle="1" w:styleId="16">
    <w:name w:val="Comment Text Char"/>
    <w:basedOn w:val="12"/>
    <w:link w:val="4"/>
    <w:qFormat/>
    <w:locked/>
    <w:uiPriority w:val="99"/>
    <w:rPr>
      <w:rFonts w:ascii="Times New Roman" w:hAnsi="Times New Roman" w:eastAsia="宋体" w:cs="Times New Roman"/>
      <w:sz w:val="24"/>
      <w:szCs w:val="24"/>
    </w:rPr>
  </w:style>
  <w:style w:type="character" w:customStyle="1" w:styleId="17">
    <w:name w:val="Body Text Char"/>
    <w:basedOn w:val="12"/>
    <w:link w:val="5"/>
    <w:semiHidden/>
    <w:qFormat/>
    <w:uiPriority w:val="99"/>
  </w:style>
  <w:style w:type="character" w:customStyle="1" w:styleId="18">
    <w:name w:val="Balloon Text Char"/>
    <w:basedOn w:val="12"/>
    <w:link w:val="6"/>
    <w:qFormat/>
    <w:locked/>
    <w:uiPriority w:val="99"/>
    <w:rPr>
      <w:rFonts w:ascii="Times New Roman" w:hAnsi="Times New Roman" w:eastAsia="宋体" w:cs="Times New Roman"/>
      <w:sz w:val="18"/>
      <w:szCs w:val="18"/>
    </w:rPr>
  </w:style>
  <w:style w:type="character" w:customStyle="1" w:styleId="19">
    <w:name w:val="Footer Char"/>
    <w:basedOn w:val="12"/>
    <w:link w:val="7"/>
    <w:qFormat/>
    <w:locked/>
    <w:uiPriority w:val="99"/>
    <w:rPr>
      <w:rFonts w:cs="Times New Roman"/>
      <w:sz w:val="18"/>
      <w:szCs w:val="18"/>
    </w:rPr>
  </w:style>
  <w:style w:type="character" w:customStyle="1" w:styleId="20">
    <w:name w:val="Header Char"/>
    <w:basedOn w:val="12"/>
    <w:link w:val="8"/>
    <w:qFormat/>
    <w:locked/>
    <w:uiPriority w:val="99"/>
    <w:rPr>
      <w:rFonts w:cs="Times New Roman"/>
      <w:sz w:val="18"/>
      <w:szCs w:val="18"/>
    </w:rPr>
  </w:style>
  <w:style w:type="paragraph" w:customStyle="1" w:styleId="21">
    <w:name w:val="列出段落1"/>
    <w:basedOn w:val="1"/>
    <w:qFormat/>
    <w:uiPriority w:val="99"/>
    <w:pPr>
      <w:ind w:firstLine="420" w:firstLineChars="200"/>
    </w:pPr>
    <w:rPr>
      <w:rFonts w:ascii="Times New Roman" w:hAnsi="Times New Roman"/>
      <w:szCs w:val="24"/>
    </w:rPr>
  </w:style>
  <w:style w:type="paragraph" w:styleId="22">
    <w:name w:val="List Paragraph"/>
    <w:basedOn w:val="1"/>
    <w:qFormat/>
    <w:uiPriority w:val="99"/>
    <w:pPr>
      <w:ind w:firstLine="420" w:firstLineChars="200"/>
    </w:pPr>
    <w:rPr>
      <w:rFonts w:ascii="Times New Roman" w:hAnsi="Times New Roman"/>
      <w:szCs w:val="24"/>
    </w:rPr>
  </w:style>
  <w:style w:type="paragraph" w:customStyle="1" w:styleId="23">
    <w:name w:val="修订1"/>
    <w:hidden/>
    <w:qFormat/>
    <w:uiPriority w:val="99"/>
    <w:rPr>
      <w:rFonts w:ascii="Times New Roman" w:hAnsi="Times New Roman" w:eastAsia="宋体" w:cs="Times New Roman"/>
      <w:kern w:val="2"/>
      <w:sz w:val="21"/>
      <w:szCs w:val="24"/>
      <w:lang w:val="en-US" w:eastAsia="zh-CN" w:bidi="ar-SA"/>
    </w:rPr>
  </w:style>
  <w:style w:type="paragraph" w:customStyle="1" w:styleId="24">
    <w:name w:val="Table Paragraph"/>
    <w:basedOn w:val="1"/>
    <w:qFormat/>
    <w:uiPriority w:val="99"/>
    <w:rPr>
      <w:rFonts w:ascii="楷体" w:hAnsi="楷体" w:eastAsia="楷体" w:cs="楷体"/>
    </w:rPr>
  </w:style>
  <w:style w:type="paragraph" w:customStyle="1" w:styleId="25">
    <w:name w:val="BodyText1I"/>
    <w:basedOn w:val="1"/>
    <w:qFormat/>
    <w:uiPriority w:val="99"/>
    <w:pPr>
      <w:snapToGrid w:val="0"/>
      <w:spacing w:line="360" w:lineRule="auto"/>
      <w:ind w:firstLine="420" w:firstLineChars="100"/>
    </w:pPr>
    <w:rPr>
      <w:sz w:val="28"/>
      <w:szCs w:val="20"/>
    </w:rPr>
  </w:style>
  <w:style w:type="paragraph" w:customStyle="1" w:styleId="26">
    <w:name w:val="BodyText1I2"/>
    <w:basedOn w:val="27"/>
    <w:qFormat/>
    <w:uiPriority w:val="0"/>
    <w:pPr>
      <w:ind w:firstLine="420"/>
    </w:pPr>
  </w:style>
  <w:style w:type="paragraph" w:customStyle="1" w:styleId="27">
    <w:name w:val="BodyTextIndent"/>
    <w:basedOn w:val="1"/>
    <w:qFormat/>
    <w:uiPriority w:val="0"/>
    <w:pPr>
      <w:ind w:firstLine="720" w:firstLineChars="200"/>
    </w:pPr>
    <w:rPr>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20</Pages>
  <Words>10854</Words>
  <Characters>11372</Characters>
  <Lines>0</Lines>
  <Paragraphs>0</Paragraphs>
  <TotalTime>5</TotalTime>
  <ScaleCrop>false</ScaleCrop>
  <LinksUpToDate>false</LinksUpToDate>
  <CharactersWithSpaces>11387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2024-01-02T08:33:00Z</dcterms:created>
  <dc:creator>lenovo</dc:creator>
  <cp:lastModifiedBy>邓婷</cp:lastModifiedBy>
  <cp:lastPrinted>2023-04-24T09:49:00Z</cp:lastPrinted>
  <dcterms:modified xsi:type="dcterms:W3CDTF">2025-10-11T01:22:37Z</dcterms:modified>
  <dc:title>附件1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6544562402CE4DAB8B079CF336650AC9_13</vt:lpwstr>
  </property>
  <property fmtid="{D5CDD505-2E9C-101B-9397-08002B2CF9AE}" pid="4" name="KSOTemplateDocerSaveRecord">
    <vt:lpwstr>eyJoZGlkIjoiYzcyNzVkZGRhMDA5NzdlMGNiNTEyYzA3ODI0MWFmMmIiLCJ1c2VySWQiOiIxMDY5MjgzMDcxIn0=</vt:lpwstr>
  </property>
</Properties>
</file>