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CA90">
      <w:pPr>
        <w:spacing w:afterLines="10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158ADFFA">
      <w:pPr>
        <w:spacing w:afterLines="100"/>
        <w:rPr>
          <w:rFonts w:hint="eastAsia" w:ascii="黑体" w:hAnsi="黑体" w:eastAsia="黑体" w:cs="黑体"/>
          <w:kern w:val="0"/>
          <w:sz w:val="32"/>
          <w:szCs w:val="32"/>
          <w:lang w:val="en-US" w:eastAsia="zh-CN"/>
        </w:rPr>
      </w:pPr>
    </w:p>
    <w:p w14:paraId="7F891073">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219F29C7">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5372DCF2">
      <w:pPr>
        <w:jc w:val="center"/>
        <w:rPr>
          <w:rFonts w:ascii="Times New Roman" w:hAnsi="Times New Roman" w:eastAsia="黑体"/>
          <w:sz w:val="32"/>
          <w:szCs w:val="32"/>
        </w:rPr>
      </w:pPr>
    </w:p>
    <w:p w14:paraId="5279C175">
      <w:pPr>
        <w:jc w:val="center"/>
        <w:rPr>
          <w:rFonts w:ascii="Times New Roman" w:hAnsi="Times New Roman" w:eastAsia="黑体"/>
          <w:sz w:val="32"/>
          <w:szCs w:val="32"/>
        </w:rPr>
      </w:pPr>
      <w:bookmarkStart w:id="0" w:name="_GoBack"/>
      <w:bookmarkEnd w:id="0"/>
    </w:p>
    <w:p w14:paraId="2E93A8CE">
      <w:pPr>
        <w:jc w:val="center"/>
        <w:rPr>
          <w:rFonts w:ascii="Times New Roman" w:hAnsi="Times New Roman" w:eastAsia="黑体"/>
          <w:sz w:val="32"/>
          <w:szCs w:val="32"/>
        </w:rPr>
      </w:pPr>
    </w:p>
    <w:p w14:paraId="2E616DD7">
      <w:pPr>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p>
    <w:p w14:paraId="27046E10">
      <w:pPr>
        <w:rPr>
          <w:rFonts w:ascii="Times New Roman" w:hAnsi="Times New Roman" w:eastAsia="黑体"/>
          <w:sz w:val="32"/>
          <w:szCs w:val="32"/>
        </w:rPr>
      </w:pPr>
    </w:p>
    <w:p w14:paraId="0450BE2A">
      <w:pPr>
        <w:jc w:val="center"/>
        <w:rPr>
          <w:rFonts w:ascii="Times New Roman" w:hAnsi="Times New Roman"/>
          <w:sz w:val="36"/>
          <w:szCs w:val="36"/>
        </w:rPr>
      </w:pPr>
    </w:p>
    <w:p w14:paraId="7290D350">
      <w:pPr>
        <w:jc w:val="center"/>
        <w:rPr>
          <w:rFonts w:ascii="Times New Roman" w:hAnsi="Times New Roman"/>
          <w:sz w:val="36"/>
          <w:szCs w:val="36"/>
        </w:rPr>
      </w:pPr>
    </w:p>
    <w:p w14:paraId="0E8E72D1">
      <w:pPr>
        <w:jc w:val="center"/>
        <w:rPr>
          <w:rFonts w:ascii="Times New Roman" w:hAnsi="Times New Roman"/>
          <w:sz w:val="36"/>
          <w:szCs w:val="36"/>
        </w:rPr>
      </w:pPr>
    </w:p>
    <w:p w14:paraId="09B6030C">
      <w:pPr>
        <w:jc w:val="center"/>
        <w:rPr>
          <w:rFonts w:ascii="Times New Roman" w:hAnsi="Times New Roman"/>
          <w:sz w:val="36"/>
          <w:szCs w:val="36"/>
        </w:rPr>
      </w:pPr>
    </w:p>
    <w:p w14:paraId="56FED743">
      <w:pPr>
        <w:jc w:val="center"/>
        <w:rPr>
          <w:rFonts w:hint="default" w:ascii="Times New Roman" w:hAnsi="Times New Roman" w:eastAsia="宋体"/>
          <w:sz w:val="36"/>
          <w:szCs w:val="36"/>
          <w:lang w:val="en-US" w:eastAsia="zh-CN"/>
        </w:rPr>
      </w:pPr>
      <w:r>
        <w:rPr>
          <w:rFonts w:ascii="Times New Roman" w:hAnsi="Times New Roman"/>
          <w:sz w:val="36"/>
          <w:szCs w:val="36"/>
        </w:rPr>
        <w:t>单位名称</w:t>
      </w:r>
      <w:r>
        <w:rPr>
          <w:rFonts w:hint="eastAsia" w:ascii="Times New Roman" w:hAnsi="Times New Roman"/>
          <w:sz w:val="36"/>
          <w:szCs w:val="36"/>
        </w:rPr>
        <w:t>：（盖章）</w:t>
      </w:r>
      <w:r>
        <w:rPr>
          <w:rFonts w:hint="eastAsia" w:ascii="Times New Roman" w:hAnsi="Times New Roman"/>
          <w:sz w:val="36"/>
          <w:szCs w:val="36"/>
          <w:lang w:val="en-US" w:eastAsia="zh-CN"/>
        </w:rPr>
        <w:t>衡阳市职业中等专业学校</w:t>
      </w:r>
    </w:p>
    <w:p w14:paraId="6CCADC70">
      <w:pPr>
        <w:ind w:firstLine="720" w:firstLineChars="200"/>
        <w:jc w:val="both"/>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15CA476F">
      <w:pPr>
        <w:jc w:val="center"/>
        <w:rPr>
          <w:rFonts w:ascii="Times New Roman" w:hAnsi="Times New Roman" w:eastAsia="黑体"/>
          <w:sz w:val="36"/>
          <w:szCs w:val="36"/>
        </w:rPr>
      </w:pPr>
    </w:p>
    <w:p w14:paraId="6C761943">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年</w:t>
      </w:r>
      <w:r>
        <w:rPr>
          <w:rFonts w:hint="eastAsia" w:ascii="Times New Roman" w:hAnsi="Times New Roman" w:eastAsia="黑体"/>
          <w:sz w:val="32"/>
          <w:szCs w:val="32"/>
          <w:lang w:val="en-US" w:eastAsia="zh-CN"/>
        </w:rPr>
        <w:t>2</w:t>
      </w:r>
      <w:r>
        <w:rPr>
          <w:rFonts w:ascii="Times New Roman" w:hAnsi="Times New Roman" w:eastAsia="黑体"/>
          <w:sz w:val="32"/>
          <w:szCs w:val="32"/>
        </w:rPr>
        <w:t>月</w:t>
      </w:r>
      <w:r>
        <w:rPr>
          <w:rFonts w:hint="eastAsia" w:ascii="Times New Roman" w:hAnsi="Times New Roman" w:eastAsia="黑体"/>
          <w:sz w:val="32"/>
          <w:szCs w:val="32"/>
          <w:lang w:val="en-US" w:eastAsia="zh-CN"/>
        </w:rPr>
        <w:t>26</w:t>
      </w:r>
      <w:r>
        <w:rPr>
          <w:rFonts w:ascii="Times New Roman" w:hAnsi="Times New Roman" w:eastAsia="黑体"/>
          <w:sz w:val="32"/>
          <w:szCs w:val="32"/>
        </w:rPr>
        <w:t>日</w:t>
      </w:r>
    </w:p>
    <w:p w14:paraId="389F0E1C">
      <w:pPr>
        <w:jc w:val="center"/>
        <w:rPr>
          <w:rFonts w:ascii="Times New Roman" w:hAnsi="Times New Roman" w:eastAsia="黑体"/>
          <w:sz w:val="32"/>
          <w:szCs w:val="32"/>
        </w:rPr>
      </w:pPr>
    </w:p>
    <w:p w14:paraId="239BD900">
      <w:pPr>
        <w:spacing w:line="600" w:lineRule="exact"/>
        <w:rPr>
          <w:rFonts w:ascii="Times New Roman" w:hAnsi="Times New Roman" w:eastAsia="方正小标宋简体"/>
          <w:sz w:val="44"/>
          <w:szCs w:val="44"/>
        </w:rPr>
      </w:pPr>
    </w:p>
    <w:p w14:paraId="7C4DABA4">
      <w:pPr>
        <w:spacing w:line="600" w:lineRule="exact"/>
        <w:jc w:val="center"/>
        <w:rPr>
          <w:rFonts w:ascii="Times New Roman" w:hAnsi="Times New Roman" w:eastAsia="方正小标宋简体"/>
          <w:sz w:val="44"/>
          <w:szCs w:val="44"/>
        </w:rPr>
      </w:pPr>
    </w:p>
    <w:p w14:paraId="378019C1">
      <w:pPr>
        <w:spacing w:line="600" w:lineRule="exact"/>
        <w:jc w:val="center"/>
        <w:rPr>
          <w:rFonts w:ascii="Times New Roman" w:hAnsi="Times New Roman" w:eastAsia="方正小标宋简体"/>
          <w:sz w:val="44"/>
          <w:szCs w:val="44"/>
        </w:rPr>
      </w:pPr>
    </w:p>
    <w:p w14:paraId="2EE59712">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1924B6A0">
      <w:pPr>
        <w:rPr>
          <w:rFonts w:ascii="Times New Roman" w:hAnsi="Times New Roman" w:eastAsia="方正小标宋_GBK"/>
          <w:sz w:val="32"/>
          <w:szCs w:val="32"/>
        </w:rPr>
      </w:pPr>
    </w:p>
    <w:p w14:paraId="5D008679">
      <w:pPr>
        <w:pStyle w:val="4"/>
        <w:widowControl/>
        <w:ind w:firstLine="640"/>
        <w:rPr>
          <w:rFonts w:eastAsia="黑体"/>
          <w:sz w:val="32"/>
          <w:szCs w:val="32"/>
        </w:rPr>
      </w:pPr>
      <w:r>
        <w:rPr>
          <w:rFonts w:eastAsia="黑体"/>
          <w:sz w:val="32"/>
          <w:szCs w:val="32"/>
        </w:rPr>
        <w:t>一、部门、单位基本情况</w:t>
      </w:r>
    </w:p>
    <w:p w14:paraId="3DC3F05E">
      <w:pPr>
        <w:widowControl/>
        <w:ind w:firstLine="640" w:firstLineChars="200"/>
        <w:rPr>
          <w:rFonts w:eastAsia="仿宋"/>
          <w:color w:val="000000"/>
          <w:sz w:val="32"/>
          <w:szCs w:val="32"/>
        </w:rPr>
      </w:pPr>
      <w:r>
        <w:rPr>
          <w:rFonts w:hint="eastAsia" w:eastAsia="仿宋"/>
          <w:color w:val="000000"/>
          <w:sz w:val="32"/>
          <w:szCs w:val="32"/>
        </w:rPr>
        <w:t>我校是国家中等职业教育改革发展示范学校，国家级首批重点中等职业学校，湖南省卓越中职学校建设单位，湖南省首批楚怡双优A类中职学校，湖南省首批教育信息化应用示范学校建设单位，是市直属公办综合类全日制中等职业学校，主管部门为衡阳市教育局。</w:t>
      </w:r>
    </w:p>
    <w:p w14:paraId="5ABCE393">
      <w:pPr>
        <w:widowControl/>
        <w:shd w:val="clear" w:color="auto" w:fill="FFFFFF"/>
        <w:spacing w:line="640" w:lineRule="exact"/>
        <w:ind w:firstLine="640" w:firstLineChars="200"/>
        <w:jc w:val="left"/>
        <w:rPr>
          <w:rFonts w:ascii="Times New Roman" w:hAnsi="Times New Roman" w:eastAsia="仿宋"/>
          <w:sz w:val="32"/>
          <w:szCs w:val="32"/>
        </w:rPr>
      </w:pPr>
      <w:r>
        <w:rPr>
          <w:rFonts w:hint="eastAsia" w:eastAsia="仿宋"/>
          <w:sz w:val="32"/>
          <w:szCs w:val="32"/>
        </w:rPr>
        <w:t>我校是独立核算的财政全额拨款事业单位，执行事业单位会计制度。</w:t>
      </w:r>
      <w:r>
        <w:rPr>
          <w:rFonts w:hint="eastAsia" w:ascii="Times New Roman" w:hAnsi="Times New Roman" w:eastAsia="仿宋"/>
          <w:sz w:val="32"/>
          <w:szCs w:val="32"/>
        </w:rPr>
        <w:t>应有编制数</w:t>
      </w:r>
      <w:r>
        <w:rPr>
          <w:rFonts w:hint="eastAsia" w:ascii="Times New Roman" w:hAnsi="Times New Roman" w:eastAsia="仿宋"/>
          <w:sz w:val="32"/>
          <w:szCs w:val="32"/>
          <w:lang w:val="en-US" w:eastAsia="zh-CN"/>
        </w:rPr>
        <w:t>256</w:t>
      </w:r>
      <w:r>
        <w:rPr>
          <w:rFonts w:hint="eastAsia" w:ascii="Times New Roman" w:hAnsi="Times New Roman" w:eastAsia="仿宋"/>
          <w:sz w:val="32"/>
          <w:szCs w:val="32"/>
        </w:rPr>
        <w:t>人，在职教职工16</w:t>
      </w:r>
      <w:r>
        <w:rPr>
          <w:rFonts w:hint="eastAsia" w:ascii="Times New Roman" w:hAnsi="Times New Roman" w:eastAsia="仿宋"/>
          <w:sz w:val="32"/>
          <w:szCs w:val="32"/>
          <w:lang w:val="en-US" w:eastAsia="zh-CN"/>
        </w:rPr>
        <w:t>8</w:t>
      </w:r>
      <w:r>
        <w:rPr>
          <w:rFonts w:hint="eastAsia" w:ascii="Times New Roman" w:hAnsi="Times New Roman" w:eastAsia="仿宋"/>
          <w:sz w:val="32"/>
          <w:szCs w:val="32"/>
        </w:rPr>
        <w:t>人，外聘兼职教师8人，离退休教职工1</w:t>
      </w:r>
      <w:r>
        <w:rPr>
          <w:rFonts w:hint="eastAsia" w:ascii="Times New Roman" w:hAnsi="Times New Roman" w:eastAsia="仿宋"/>
          <w:sz w:val="32"/>
          <w:szCs w:val="32"/>
          <w:lang w:val="en-US" w:eastAsia="zh-CN"/>
        </w:rPr>
        <w:t>44</w:t>
      </w:r>
      <w:r>
        <w:rPr>
          <w:rFonts w:hint="eastAsia" w:ascii="Times New Roman" w:hAnsi="Times New Roman" w:eastAsia="仿宋"/>
          <w:sz w:val="32"/>
          <w:szCs w:val="32"/>
        </w:rPr>
        <w:t>人。学校现开设有计算机应用、计算机网络技术、电子技术应用、电算会计化、电子商务、服装设计与工艺、幼儿保育、旅游服务与管理等15个专业，现有在校学生3</w:t>
      </w:r>
      <w:r>
        <w:rPr>
          <w:rFonts w:hint="eastAsia" w:ascii="Times New Roman" w:hAnsi="Times New Roman" w:eastAsia="仿宋"/>
          <w:sz w:val="32"/>
          <w:szCs w:val="32"/>
          <w:lang w:val="en-US" w:eastAsia="zh-CN"/>
        </w:rPr>
        <w:t>269</w:t>
      </w:r>
      <w:r>
        <w:rPr>
          <w:rFonts w:hint="eastAsia" w:ascii="Times New Roman" w:hAnsi="Times New Roman" w:eastAsia="仿宋"/>
          <w:sz w:val="32"/>
          <w:szCs w:val="32"/>
        </w:rPr>
        <w:t>余人，</w:t>
      </w:r>
      <w:r>
        <w:rPr>
          <w:rFonts w:hint="eastAsia" w:ascii="Times New Roman" w:hAnsi="Times New Roman" w:eastAsia="仿宋"/>
          <w:sz w:val="32"/>
          <w:szCs w:val="32"/>
          <w:lang w:val="en-US" w:eastAsia="zh-CN"/>
        </w:rPr>
        <w:t>55</w:t>
      </w:r>
      <w:r>
        <w:rPr>
          <w:rFonts w:hint="eastAsia" w:ascii="Times New Roman" w:hAnsi="Times New Roman" w:eastAsia="仿宋"/>
          <w:sz w:val="32"/>
          <w:szCs w:val="32"/>
        </w:rPr>
        <w:t>个教学班。</w:t>
      </w:r>
    </w:p>
    <w:p w14:paraId="1B735373">
      <w:pPr>
        <w:widowControl/>
        <w:shd w:val="clear" w:color="auto" w:fill="FFFFFF"/>
        <w:spacing w:line="64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学校的主要职责是贯彻落实党的教育方针及有关教育工作的政策、法律、法规、规章，实施中等职业技术教育。学校始终坚持“以人为本，德育首位，一专多能”的办学理念，以服务地方经济社会发展为宗旨，增强学生专业技能，为社会及企事业单位培养一大批生产、服务第一线的高素质劳动者和实用技能型人才，促进地方经济和社会可持续发展。</w:t>
      </w:r>
    </w:p>
    <w:p w14:paraId="154D677B">
      <w:pPr>
        <w:widowControl/>
        <w:ind w:firstLine="640" w:firstLineChars="200"/>
        <w:rPr>
          <w:rFonts w:ascii="Times New Roman" w:hAnsi="Times New Roman" w:eastAsia="仿宋"/>
          <w:sz w:val="32"/>
          <w:szCs w:val="32"/>
        </w:rPr>
      </w:pPr>
      <w:r>
        <w:rPr>
          <w:rFonts w:ascii="Times New Roman" w:hAnsi="Times New Roman" w:eastAsia="仿宋"/>
          <w:sz w:val="32"/>
          <w:szCs w:val="32"/>
        </w:rPr>
        <w:t>（二）机构设置</w:t>
      </w:r>
    </w:p>
    <w:p w14:paraId="55879793">
      <w:pPr>
        <w:widowControl/>
        <w:shd w:val="clear" w:color="auto" w:fill="FFFFFF"/>
        <w:spacing w:line="64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衡阳市职业中等专业学校是衡阳市教育局主管的市直属公办综合类全日制中等职业学校，独立核算的财政全额拨款事业单位，二级预算单位。内设</w:t>
      </w:r>
      <w:r>
        <w:rPr>
          <w:rFonts w:ascii="Times New Roman" w:hAnsi="Times New Roman" w:eastAsia="仿宋"/>
          <w:sz w:val="32"/>
          <w:szCs w:val="32"/>
        </w:rPr>
        <w:t>办公室、教务</w:t>
      </w:r>
      <w:r>
        <w:rPr>
          <w:rFonts w:hint="eastAsia" w:ascii="Times New Roman" w:hAnsi="Times New Roman" w:eastAsia="仿宋"/>
          <w:sz w:val="32"/>
          <w:szCs w:val="32"/>
        </w:rPr>
        <w:t>科</w:t>
      </w:r>
      <w:r>
        <w:rPr>
          <w:rFonts w:ascii="Times New Roman" w:hAnsi="Times New Roman" w:eastAsia="仿宋"/>
          <w:sz w:val="32"/>
          <w:szCs w:val="32"/>
        </w:rPr>
        <w:t>、学生</w:t>
      </w:r>
      <w:r>
        <w:rPr>
          <w:rFonts w:hint="eastAsia" w:ascii="Times New Roman" w:hAnsi="Times New Roman" w:eastAsia="仿宋"/>
          <w:sz w:val="32"/>
          <w:szCs w:val="32"/>
        </w:rPr>
        <w:t>科、财务科</w:t>
      </w:r>
      <w:r>
        <w:rPr>
          <w:rFonts w:ascii="Times New Roman" w:hAnsi="Times New Roman" w:eastAsia="仿宋"/>
          <w:sz w:val="32"/>
          <w:szCs w:val="32"/>
        </w:rPr>
        <w:t>、</w:t>
      </w:r>
      <w:r>
        <w:rPr>
          <w:rFonts w:hint="eastAsia" w:ascii="Times New Roman" w:hAnsi="Times New Roman" w:eastAsia="仿宋"/>
          <w:sz w:val="32"/>
          <w:szCs w:val="32"/>
        </w:rPr>
        <w:t>后勤科、招生科、保卫科、实训中心、</w:t>
      </w:r>
      <w:r>
        <w:rPr>
          <w:rFonts w:ascii="Times New Roman" w:hAnsi="Times New Roman" w:eastAsia="仿宋"/>
          <w:sz w:val="32"/>
          <w:szCs w:val="32"/>
        </w:rPr>
        <w:t>培训</w:t>
      </w:r>
      <w:r>
        <w:rPr>
          <w:rFonts w:hint="eastAsia" w:ascii="Times New Roman" w:hAnsi="Times New Roman" w:eastAsia="仿宋"/>
          <w:sz w:val="32"/>
          <w:szCs w:val="32"/>
        </w:rPr>
        <w:t>中心、信息中心、</w:t>
      </w:r>
      <w:r>
        <w:rPr>
          <w:rFonts w:ascii="Times New Roman" w:hAnsi="Times New Roman" w:eastAsia="仿宋"/>
          <w:sz w:val="32"/>
          <w:szCs w:val="32"/>
        </w:rPr>
        <w:t>就业</w:t>
      </w:r>
      <w:r>
        <w:rPr>
          <w:rFonts w:hint="eastAsia" w:ascii="Times New Roman" w:hAnsi="Times New Roman" w:eastAsia="仿宋"/>
          <w:sz w:val="32"/>
          <w:szCs w:val="32"/>
        </w:rPr>
        <w:t>指导中心、机关党委 、纪检监察室等13个科室。</w:t>
      </w:r>
    </w:p>
    <w:p w14:paraId="4DCEBD97">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（三）部门整体支出</w:t>
      </w:r>
    </w:p>
    <w:p w14:paraId="0F4C25DF">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学校部门整体支出包括基本支出和项目支出。</w:t>
      </w:r>
    </w:p>
    <w:p w14:paraId="77559195">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基本支出：保障教育教学工作的有效开展以及学校日常工作的正常运行。</w:t>
      </w:r>
    </w:p>
    <w:p w14:paraId="7F58812A">
      <w:pPr>
        <w:widowControl/>
        <w:ind w:firstLine="640" w:firstLineChars="200"/>
        <w:rPr>
          <w:rFonts w:eastAsia="黑体"/>
          <w:sz w:val="32"/>
          <w:szCs w:val="32"/>
        </w:rPr>
      </w:pPr>
      <w:r>
        <w:rPr>
          <w:rFonts w:hint="eastAsia" w:ascii="Times New Roman" w:hAnsi="Times New Roman" w:eastAsia="仿宋"/>
          <w:sz w:val="32"/>
          <w:szCs w:val="32"/>
        </w:rPr>
        <w:t>项目支出：完成特定工作任务或事业发展目标。如：新建女生公寓、专用设备购置、办公设备购置等。</w:t>
      </w:r>
    </w:p>
    <w:p w14:paraId="25C245B2">
      <w:pPr>
        <w:pStyle w:val="4"/>
        <w:widowControl/>
        <w:ind w:firstLine="640"/>
        <w:rPr>
          <w:rFonts w:eastAsia="黑体"/>
          <w:sz w:val="32"/>
          <w:szCs w:val="32"/>
        </w:rPr>
      </w:pPr>
      <w:r>
        <w:rPr>
          <w:rFonts w:eastAsia="黑体"/>
          <w:sz w:val="32"/>
          <w:szCs w:val="32"/>
        </w:rPr>
        <w:t>二、一般公共预算支出情况</w:t>
      </w:r>
    </w:p>
    <w:p w14:paraId="563F0ADB">
      <w:pPr>
        <w:pStyle w:val="4"/>
        <w:widowControl/>
        <w:ind w:firstLine="643"/>
        <w:rPr>
          <w:rFonts w:eastAsia="楷体"/>
          <w:b/>
          <w:sz w:val="32"/>
          <w:szCs w:val="32"/>
        </w:rPr>
      </w:pPr>
      <w:r>
        <w:rPr>
          <w:rFonts w:eastAsia="楷体"/>
          <w:b/>
          <w:sz w:val="32"/>
          <w:szCs w:val="32"/>
        </w:rPr>
        <w:t>（一）基本支出情况</w:t>
      </w:r>
    </w:p>
    <w:p w14:paraId="46ECC1AF">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本部门基本支出主要用于维持学校正常运转发生的基本支出和完成各项教育教学任务而发生的各项支出。</w:t>
      </w:r>
    </w:p>
    <w:p w14:paraId="03CF3763">
      <w:pPr>
        <w:widowControl/>
        <w:ind w:firstLine="640" w:firstLineChars="200"/>
        <w:rPr>
          <w:rFonts w:ascii="Times New Roman" w:hAnsi="Times New Roman" w:eastAsia="仿宋"/>
          <w:sz w:val="32"/>
          <w:szCs w:val="32"/>
        </w:rPr>
      </w:pPr>
      <w:r>
        <w:rPr>
          <w:rFonts w:ascii="Times New Roman" w:hAnsi="Times New Roman" w:eastAsia="仿宋"/>
          <w:sz w:val="32"/>
          <w:szCs w:val="32"/>
        </w:rPr>
        <w:t>202</w:t>
      </w:r>
      <w:r>
        <w:rPr>
          <w:rFonts w:hint="eastAsia" w:ascii="Times New Roman" w:hAnsi="Times New Roman" w:eastAsia="仿宋"/>
          <w:sz w:val="32"/>
          <w:szCs w:val="32"/>
          <w:lang w:val="en-US" w:eastAsia="zh-CN"/>
        </w:rPr>
        <w:t>4</w:t>
      </w:r>
      <w:r>
        <w:rPr>
          <w:rFonts w:ascii="Times New Roman" w:hAnsi="Times New Roman" w:eastAsia="仿宋"/>
          <w:sz w:val="32"/>
          <w:szCs w:val="32"/>
        </w:rPr>
        <w:t>年度财政拨款基本支出</w:t>
      </w:r>
      <w:r>
        <w:rPr>
          <w:rFonts w:hint="eastAsia" w:ascii="Times New Roman" w:hAnsi="Times New Roman" w:eastAsia="仿宋"/>
          <w:sz w:val="32"/>
          <w:szCs w:val="32"/>
        </w:rPr>
        <w:t>4</w:t>
      </w:r>
      <w:r>
        <w:rPr>
          <w:rFonts w:hint="eastAsia" w:ascii="Times New Roman" w:hAnsi="Times New Roman" w:eastAsia="仿宋"/>
          <w:sz w:val="32"/>
          <w:szCs w:val="32"/>
          <w:lang w:val="en-US" w:eastAsia="zh-CN"/>
        </w:rPr>
        <w:t>705</w:t>
      </w:r>
      <w:r>
        <w:rPr>
          <w:rFonts w:ascii="Times New Roman" w:hAnsi="Times New Roman" w:eastAsia="仿宋"/>
          <w:sz w:val="32"/>
          <w:szCs w:val="32"/>
        </w:rPr>
        <w:t>万元，其中：</w:t>
      </w:r>
    </w:p>
    <w:p w14:paraId="3F8C7827">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工资福利支出</w:t>
      </w:r>
      <w:r>
        <w:rPr>
          <w:rFonts w:hint="eastAsia" w:ascii="仿宋" w:hAnsi="仿宋" w:eastAsia="仿宋" w:cs="仿宋"/>
          <w:color w:val="auto"/>
          <w:sz w:val="32"/>
          <w:szCs w:val="32"/>
          <w:lang w:val="en-US" w:eastAsia="zh-CN"/>
        </w:rPr>
        <w:t>3195.96</w:t>
      </w:r>
      <w:r>
        <w:rPr>
          <w:rFonts w:hint="eastAsia" w:ascii="Times New Roman" w:hAnsi="Times New Roman" w:eastAsia="仿宋"/>
          <w:sz w:val="32"/>
          <w:szCs w:val="32"/>
        </w:rPr>
        <w:t>万元，占总支出的</w:t>
      </w:r>
      <w:r>
        <w:rPr>
          <w:rFonts w:hint="eastAsia" w:ascii="Times New Roman" w:hAnsi="Times New Roman" w:eastAsia="仿宋"/>
          <w:sz w:val="32"/>
          <w:szCs w:val="32"/>
          <w:lang w:val="en-US" w:eastAsia="zh-CN"/>
        </w:rPr>
        <w:t>67.92</w:t>
      </w:r>
      <w:r>
        <w:rPr>
          <w:rFonts w:hint="eastAsia" w:ascii="Times New Roman" w:hAnsi="Times New Roman" w:eastAsia="仿宋"/>
          <w:sz w:val="32"/>
          <w:szCs w:val="32"/>
        </w:rPr>
        <w:t>%。主要包括202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年度在职人员基本工资、津贴补贴、</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年度年终</w:t>
      </w:r>
      <w:r>
        <w:rPr>
          <w:rFonts w:hint="eastAsia" w:ascii="仿宋" w:hAnsi="仿宋" w:eastAsia="仿宋" w:cs="仿宋"/>
          <w:color w:val="000000"/>
          <w:sz w:val="32"/>
          <w:szCs w:val="32"/>
          <w:lang w:val="en-US" w:eastAsia="zh-CN"/>
        </w:rPr>
        <w:t>奖励性</w:t>
      </w:r>
      <w:r>
        <w:rPr>
          <w:rFonts w:hint="eastAsia" w:ascii="仿宋" w:hAnsi="仿宋" w:eastAsia="仿宋" w:cs="仿宋"/>
          <w:color w:val="000000"/>
          <w:sz w:val="32"/>
          <w:szCs w:val="32"/>
        </w:rPr>
        <w:t>绩效</w:t>
      </w:r>
      <w:r>
        <w:rPr>
          <w:rFonts w:hint="eastAsia" w:ascii="仿宋" w:hAnsi="仿宋" w:eastAsia="仿宋" w:cs="仿宋"/>
          <w:color w:val="000000"/>
          <w:sz w:val="32"/>
          <w:szCs w:val="32"/>
          <w:lang w:eastAsia="zh-CN"/>
        </w:rPr>
        <w:t>、</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年在职人员年终奖、202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年度在职人员</w:t>
      </w:r>
      <w:r>
        <w:rPr>
          <w:rFonts w:hint="eastAsia" w:ascii="Times New Roman" w:hAnsi="Times New Roman" w:eastAsia="仿宋"/>
          <w:sz w:val="32"/>
          <w:szCs w:val="32"/>
          <w:lang w:val="en-US" w:eastAsia="zh-CN"/>
        </w:rPr>
        <w:t>基础性</w:t>
      </w:r>
      <w:r>
        <w:rPr>
          <w:rFonts w:hint="eastAsia" w:ascii="Times New Roman" w:hAnsi="Times New Roman" w:eastAsia="仿宋"/>
          <w:sz w:val="32"/>
          <w:szCs w:val="32"/>
        </w:rPr>
        <w:t>绩效、绩效工资、机关事业单位基本养老保险费、职工基本医疗保险费、住房公积金、医疗费（医保铺底）、职业年金</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工伤保险</w:t>
      </w:r>
      <w:r>
        <w:rPr>
          <w:rFonts w:hint="eastAsia" w:ascii="Times New Roman" w:hAnsi="Times New Roman" w:eastAsia="仿宋"/>
          <w:sz w:val="32"/>
          <w:szCs w:val="32"/>
        </w:rPr>
        <w:t>等。</w:t>
      </w:r>
    </w:p>
    <w:p w14:paraId="0AEA49F0">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商品和服务支出</w:t>
      </w:r>
      <w:r>
        <w:rPr>
          <w:rFonts w:hint="eastAsia" w:ascii="仿宋" w:hAnsi="仿宋" w:eastAsia="仿宋" w:cs="仿宋"/>
          <w:color w:val="000000"/>
          <w:sz w:val="32"/>
          <w:szCs w:val="32"/>
          <w:lang w:val="en-US" w:eastAsia="zh-CN"/>
        </w:rPr>
        <w:t>916.46</w:t>
      </w:r>
      <w:r>
        <w:rPr>
          <w:rFonts w:hint="eastAsia" w:ascii="Times New Roman" w:hAnsi="Times New Roman" w:eastAsia="仿宋"/>
          <w:sz w:val="32"/>
          <w:szCs w:val="32"/>
        </w:rPr>
        <w:t>万元，占总支出的</w:t>
      </w:r>
      <w:r>
        <w:rPr>
          <w:rFonts w:hint="eastAsia" w:ascii="Times New Roman" w:hAnsi="Times New Roman" w:eastAsia="仿宋"/>
          <w:sz w:val="32"/>
          <w:szCs w:val="32"/>
          <w:lang w:val="en-US" w:eastAsia="zh-CN"/>
        </w:rPr>
        <w:t>19.48</w:t>
      </w:r>
      <w:r>
        <w:rPr>
          <w:rFonts w:hint="eastAsia" w:ascii="Times New Roman" w:hAnsi="Times New Roman" w:eastAsia="仿宋"/>
          <w:sz w:val="32"/>
          <w:szCs w:val="32"/>
        </w:rPr>
        <w:t>%。主要包括印刷费、水电费、校园网络费、物业管理费、差旅费、维护费、培训费、技能竞赛和实训耗材等专用材料费、工会经费、劳务费、办公费、福利费、其他交通费用及其他商品和服务支出等。</w:t>
      </w:r>
    </w:p>
    <w:p w14:paraId="2C4DCC9C">
      <w:pPr>
        <w:pStyle w:val="4"/>
        <w:rPr>
          <w:rFonts w:eastAsia="楷体"/>
          <w:b/>
          <w:sz w:val="32"/>
          <w:szCs w:val="32"/>
        </w:rPr>
      </w:pPr>
      <w:r>
        <w:rPr>
          <w:rFonts w:hint="eastAsia" w:eastAsia="仿宋"/>
          <w:sz w:val="32"/>
          <w:szCs w:val="32"/>
          <w:lang w:val="en-US" w:eastAsia="zh-CN"/>
        </w:rPr>
        <w:t>3.</w:t>
      </w:r>
      <w:r>
        <w:rPr>
          <w:rFonts w:hint="eastAsia" w:eastAsia="仿宋"/>
          <w:sz w:val="32"/>
          <w:szCs w:val="32"/>
        </w:rPr>
        <w:t>对个人和家庭补助支出5</w:t>
      </w:r>
      <w:r>
        <w:rPr>
          <w:rFonts w:hint="eastAsia" w:eastAsia="仿宋"/>
          <w:sz w:val="32"/>
          <w:szCs w:val="32"/>
          <w:lang w:val="en-US" w:eastAsia="zh-CN"/>
        </w:rPr>
        <w:t>92.58</w:t>
      </w:r>
      <w:r>
        <w:rPr>
          <w:rFonts w:hint="eastAsia" w:eastAsia="仿宋"/>
          <w:sz w:val="32"/>
          <w:szCs w:val="32"/>
        </w:rPr>
        <w:t>万元，占总支出的1</w:t>
      </w:r>
      <w:r>
        <w:rPr>
          <w:rFonts w:hint="eastAsia" w:eastAsia="仿宋"/>
          <w:sz w:val="32"/>
          <w:szCs w:val="32"/>
          <w:lang w:val="en-US" w:eastAsia="zh-CN"/>
        </w:rPr>
        <w:t>2.6</w:t>
      </w:r>
      <w:r>
        <w:rPr>
          <w:rFonts w:hint="eastAsia" w:eastAsia="仿宋"/>
          <w:sz w:val="32"/>
          <w:szCs w:val="32"/>
        </w:rPr>
        <w:t>%。主要包括医疗费补助、抚恤金、生活补助、助学金、202</w:t>
      </w:r>
      <w:r>
        <w:rPr>
          <w:rFonts w:hint="eastAsia" w:eastAsia="仿宋"/>
          <w:sz w:val="32"/>
          <w:szCs w:val="32"/>
          <w:lang w:val="en-US" w:eastAsia="zh-CN"/>
        </w:rPr>
        <w:t>3</w:t>
      </w:r>
      <w:r>
        <w:rPr>
          <w:rFonts w:hint="eastAsia" w:eastAsia="仿宋"/>
          <w:sz w:val="32"/>
          <w:szCs w:val="32"/>
        </w:rPr>
        <w:t>年度教育教学成果奖励及其他对个人和家庭的补助等。</w:t>
      </w:r>
    </w:p>
    <w:p w14:paraId="20C2E184">
      <w:pPr>
        <w:pStyle w:val="4"/>
        <w:widowControl/>
        <w:ind w:firstLine="643"/>
        <w:rPr>
          <w:rFonts w:eastAsia="楷体"/>
          <w:b/>
          <w:sz w:val="32"/>
          <w:szCs w:val="32"/>
        </w:rPr>
      </w:pPr>
      <w:r>
        <w:rPr>
          <w:rFonts w:eastAsia="楷体"/>
          <w:b/>
          <w:sz w:val="32"/>
          <w:szCs w:val="32"/>
        </w:rPr>
        <w:t>（二）项目支出情况</w:t>
      </w:r>
    </w:p>
    <w:p w14:paraId="7BF60B59">
      <w:pPr>
        <w:widowControl/>
        <w:ind w:firstLine="640" w:firstLineChars="200"/>
        <w:rPr>
          <w:rFonts w:ascii="Times New Roman" w:hAnsi="Times New Roman" w:eastAsia="仿宋"/>
          <w:sz w:val="32"/>
          <w:szCs w:val="32"/>
        </w:rPr>
      </w:pPr>
      <w:r>
        <w:rPr>
          <w:rFonts w:hint="eastAsia" w:eastAsia="仿宋"/>
          <w:sz w:val="32"/>
          <w:szCs w:val="32"/>
        </w:rPr>
        <w:t>202</w:t>
      </w:r>
      <w:r>
        <w:rPr>
          <w:rFonts w:hint="eastAsia" w:eastAsia="仿宋"/>
          <w:sz w:val="32"/>
          <w:szCs w:val="32"/>
          <w:lang w:val="en-US" w:eastAsia="zh-CN"/>
        </w:rPr>
        <w:t>4</w:t>
      </w:r>
      <w:r>
        <w:rPr>
          <w:rFonts w:hint="eastAsia" w:eastAsia="仿宋"/>
          <w:sz w:val="32"/>
          <w:szCs w:val="32"/>
        </w:rPr>
        <w:t>年度项目资金支出</w:t>
      </w:r>
      <w:r>
        <w:rPr>
          <w:rFonts w:hint="eastAsia" w:eastAsia="仿宋"/>
          <w:sz w:val="32"/>
          <w:szCs w:val="32"/>
          <w:lang w:val="en-US" w:eastAsia="zh-CN"/>
        </w:rPr>
        <w:t>1250.35</w:t>
      </w:r>
      <w:r>
        <w:rPr>
          <w:rFonts w:hint="eastAsia" w:eastAsia="仿宋"/>
          <w:sz w:val="32"/>
          <w:szCs w:val="32"/>
        </w:rPr>
        <w:t>万元，</w:t>
      </w:r>
      <w:r>
        <w:rPr>
          <w:rFonts w:eastAsia="仿宋"/>
          <w:sz w:val="32"/>
          <w:szCs w:val="32"/>
        </w:rPr>
        <w:t>其中：</w:t>
      </w:r>
      <w:r>
        <w:rPr>
          <w:rFonts w:hint="eastAsia" w:eastAsia="仿宋"/>
          <w:sz w:val="32"/>
          <w:szCs w:val="32"/>
        </w:rPr>
        <w:t>商品及服务支出</w:t>
      </w:r>
      <w:r>
        <w:rPr>
          <w:rFonts w:hint="eastAsia" w:eastAsia="仿宋"/>
          <w:sz w:val="32"/>
          <w:szCs w:val="32"/>
          <w:lang w:val="en-US" w:eastAsia="zh-CN"/>
        </w:rPr>
        <w:t>584.65</w:t>
      </w:r>
      <w:r>
        <w:rPr>
          <w:rFonts w:hint="eastAsia" w:eastAsia="仿宋"/>
          <w:sz w:val="32"/>
          <w:szCs w:val="32"/>
        </w:rPr>
        <w:t>万元，资本性支出</w:t>
      </w:r>
      <w:r>
        <w:rPr>
          <w:rFonts w:hint="eastAsia" w:eastAsia="仿宋"/>
          <w:sz w:val="32"/>
          <w:szCs w:val="32"/>
          <w:lang w:val="en-US" w:eastAsia="zh-CN"/>
        </w:rPr>
        <w:t>665.7</w:t>
      </w:r>
      <w:r>
        <w:rPr>
          <w:rFonts w:hint="eastAsia" w:eastAsia="仿宋"/>
          <w:sz w:val="32"/>
          <w:szCs w:val="32"/>
        </w:rPr>
        <w:t>万元</w:t>
      </w:r>
      <w:r>
        <w:rPr>
          <w:rFonts w:hint="eastAsia" w:eastAsia="仿宋"/>
          <w:sz w:val="32"/>
          <w:szCs w:val="32"/>
          <w:lang w:eastAsia="zh-CN"/>
        </w:rPr>
        <w:t>（</w:t>
      </w:r>
      <w:r>
        <w:rPr>
          <w:rFonts w:hint="eastAsia" w:eastAsia="仿宋"/>
          <w:sz w:val="32"/>
          <w:szCs w:val="32"/>
        </w:rPr>
        <w:t>包括</w:t>
      </w:r>
      <w:r>
        <w:rPr>
          <w:rFonts w:hint="eastAsia" w:eastAsia="仿宋"/>
          <w:sz w:val="32"/>
          <w:szCs w:val="32"/>
          <w:lang w:eastAsia="zh-CN"/>
        </w:rPr>
        <w:t>：</w:t>
      </w:r>
      <w:r>
        <w:rPr>
          <w:rFonts w:hint="eastAsia" w:eastAsia="仿宋"/>
          <w:sz w:val="32"/>
          <w:szCs w:val="32"/>
        </w:rPr>
        <w:t>新建女生公寓</w:t>
      </w:r>
      <w:r>
        <w:rPr>
          <w:rFonts w:hint="eastAsia" w:eastAsia="仿宋"/>
          <w:sz w:val="32"/>
          <w:szCs w:val="32"/>
          <w:lang w:val="en-US" w:eastAsia="zh-CN"/>
        </w:rPr>
        <w:t>239</w:t>
      </w:r>
      <w:r>
        <w:rPr>
          <w:rFonts w:hint="eastAsia" w:eastAsia="仿宋"/>
          <w:sz w:val="32"/>
          <w:szCs w:val="32"/>
        </w:rPr>
        <w:t>万元，</w:t>
      </w:r>
      <w:r>
        <w:rPr>
          <w:rFonts w:hint="eastAsia" w:eastAsia="仿宋"/>
          <w:sz w:val="32"/>
          <w:szCs w:val="32"/>
          <w:lang w:val="en-US" w:eastAsia="zh-CN"/>
        </w:rPr>
        <w:t>教师公租房95.7</w:t>
      </w:r>
      <w:r>
        <w:rPr>
          <w:rFonts w:hint="eastAsia" w:eastAsia="仿宋"/>
          <w:sz w:val="32"/>
          <w:szCs w:val="32"/>
        </w:rPr>
        <w:t>万元，</w:t>
      </w:r>
      <w:r>
        <w:rPr>
          <w:rFonts w:hint="eastAsia" w:eastAsia="仿宋"/>
          <w:sz w:val="32"/>
          <w:szCs w:val="32"/>
          <w:lang w:val="en-US" w:eastAsia="zh-CN"/>
        </w:rPr>
        <w:t>第一、二、三教学楼改造331</w:t>
      </w:r>
      <w:r>
        <w:rPr>
          <w:rFonts w:hint="eastAsia" w:eastAsia="仿宋"/>
          <w:sz w:val="32"/>
          <w:szCs w:val="32"/>
        </w:rPr>
        <w:t>万元</w:t>
      </w:r>
      <w:r>
        <w:rPr>
          <w:rFonts w:hint="eastAsia" w:eastAsia="仿宋"/>
          <w:sz w:val="32"/>
          <w:szCs w:val="32"/>
          <w:lang w:eastAsia="zh-CN"/>
        </w:rPr>
        <w:t>）</w:t>
      </w:r>
      <w:r>
        <w:rPr>
          <w:rFonts w:hint="eastAsia" w:eastAsia="仿宋"/>
          <w:sz w:val="32"/>
          <w:szCs w:val="32"/>
        </w:rPr>
        <w:t>。</w:t>
      </w:r>
    </w:p>
    <w:p w14:paraId="6ECA42B0">
      <w:pPr>
        <w:widowControl/>
        <w:ind w:firstLine="640" w:firstLineChars="200"/>
        <w:rPr>
          <w:rFonts w:ascii="Times New Roman" w:hAnsi="Times New Roman" w:eastAsia="仿宋"/>
          <w:sz w:val="32"/>
          <w:szCs w:val="32"/>
        </w:rPr>
      </w:pPr>
      <w:r>
        <w:rPr>
          <w:rFonts w:ascii="Times New Roman" w:hAnsi="Times New Roman" w:eastAsia="仿宋"/>
          <w:sz w:val="32"/>
          <w:szCs w:val="32"/>
        </w:rPr>
        <w:t>两方面：一是202</w:t>
      </w:r>
      <w:r>
        <w:rPr>
          <w:rFonts w:hint="eastAsia" w:ascii="Times New Roman" w:hAnsi="Times New Roman" w:eastAsia="仿宋"/>
          <w:sz w:val="32"/>
          <w:szCs w:val="32"/>
          <w:lang w:val="en-US" w:eastAsia="zh-CN"/>
        </w:rPr>
        <w:t>4</w:t>
      </w:r>
      <w:r>
        <w:rPr>
          <w:rFonts w:ascii="Times New Roman" w:hAnsi="Times New Roman" w:eastAsia="仿宋"/>
          <w:sz w:val="32"/>
          <w:szCs w:val="32"/>
        </w:rPr>
        <w:t>年度专项资金安排和使用管理情况，有2个及以上专项资金的要分别总结基本情况。二是除专项资金以外的其他项目支出情况。</w:t>
      </w:r>
    </w:p>
    <w:p w14:paraId="1D25A1EB">
      <w:pPr>
        <w:pStyle w:val="4"/>
        <w:widowControl/>
        <w:ind w:firstLine="640"/>
        <w:rPr>
          <w:rFonts w:eastAsia="黑体"/>
          <w:sz w:val="32"/>
          <w:szCs w:val="32"/>
        </w:rPr>
      </w:pPr>
      <w:r>
        <w:rPr>
          <w:rFonts w:eastAsia="黑体"/>
          <w:sz w:val="32"/>
          <w:szCs w:val="32"/>
        </w:rPr>
        <w:t>三、政府性基金预算支出情况</w:t>
      </w:r>
    </w:p>
    <w:p w14:paraId="3DFD21E2">
      <w:pPr>
        <w:pStyle w:val="4"/>
        <w:rPr>
          <w:rFonts w:eastAsia="黑体"/>
          <w:sz w:val="32"/>
          <w:szCs w:val="32"/>
        </w:rPr>
      </w:pPr>
      <w:r>
        <w:rPr>
          <w:rFonts w:hint="eastAsia" w:ascii="仿宋" w:hAnsi="仿宋" w:eastAsia="仿宋"/>
          <w:sz w:val="32"/>
          <w:szCs w:val="32"/>
          <w:shd w:val="clear" w:color="auto" w:fill="FFFFFF"/>
        </w:rPr>
        <w:t>202</w:t>
      </w:r>
      <w:r>
        <w:rPr>
          <w:rFonts w:hint="eastAsia" w:ascii="仿宋" w:hAnsi="仿宋" w:eastAsia="仿宋"/>
          <w:sz w:val="32"/>
          <w:szCs w:val="32"/>
          <w:shd w:val="clear" w:color="auto" w:fill="FFFFFF"/>
          <w:lang w:val="en-US" w:eastAsia="zh-CN"/>
        </w:rPr>
        <w:t>4</w:t>
      </w:r>
      <w:r>
        <w:rPr>
          <w:rFonts w:hint="eastAsia" w:ascii="仿宋" w:hAnsi="仿宋" w:eastAsia="仿宋"/>
          <w:sz w:val="32"/>
          <w:szCs w:val="32"/>
          <w:shd w:val="clear" w:color="auto" w:fill="FFFFFF"/>
        </w:rPr>
        <w:t>年度政府性基金预算财政拨款收入0万元；年初结转和结余0万元；支出0万元，其中基本支出0万元，项目支出0万元；年末结转和结余0万元。</w:t>
      </w:r>
    </w:p>
    <w:p w14:paraId="38A3F234">
      <w:pPr>
        <w:pStyle w:val="4"/>
        <w:widowControl/>
        <w:ind w:firstLine="640"/>
        <w:rPr>
          <w:rFonts w:eastAsia="黑体"/>
          <w:sz w:val="32"/>
          <w:szCs w:val="32"/>
        </w:rPr>
      </w:pPr>
      <w:r>
        <w:rPr>
          <w:rFonts w:eastAsia="黑体"/>
          <w:sz w:val="32"/>
          <w:szCs w:val="32"/>
        </w:rPr>
        <w:t>四、国有资本经营预算支出情况</w:t>
      </w:r>
    </w:p>
    <w:p w14:paraId="02C51BAA">
      <w:pPr>
        <w:pStyle w:val="4"/>
        <w:widowControl/>
        <w:ind w:firstLine="640"/>
        <w:rPr>
          <w:rFonts w:eastAsia="黑体"/>
          <w:sz w:val="32"/>
          <w:szCs w:val="32"/>
        </w:rPr>
      </w:pPr>
      <w:r>
        <w:rPr>
          <w:rFonts w:hint="eastAsia" w:ascii="仿宋" w:hAnsi="仿宋" w:eastAsia="仿宋"/>
          <w:sz w:val="32"/>
          <w:szCs w:val="32"/>
          <w:shd w:val="clear" w:color="auto" w:fill="FFFFFF"/>
        </w:rPr>
        <w:t>202</w:t>
      </w:r>
      <w:r>
        <w:rPr>
          <w:rFonts w:hint="eastAsia" w:ascii="仿宋" w:hAnsi="仿宋" w:eastAsia="仿宋"/>
          <w:sz w:val="32"/>
          <w:szCs w:val="32"/>
          <w:shd w:val="clear" w:color="auto" w:fill="FFFFFF"/>
          <w:lang w:val="en-US" w:eastAsia="zh-CN"/>
        </w:rPr>
        <w:t>4</w:t>
      </w:r>
      <w:r>
        <w:rPr>
          <w:rFonts w:hint="eastAsia" w:ascii="仿宋" w:hAnsi="仿宋" w:eastAsia="仿宋"/>
          <w:sz w:val="32"/>
          <w:szCs w:val="32"/>
          <w:shd w:val="clear" w:color="auto" w:fill="FFFFFF"/>
        </w:rPr>
        <w:t>年度国有资本经营预算财政拨款收入0万元；年初结转和结余0万元；支出0万元，其中基本支出0万元，项目支出0万元；年末结转和结余0万元。</w:t>
      </w:r>
    </w:p>
    <w:p w14:paraId="4050B12A">
      <w:pPr>
        <w:pStyle w:val="4"/>
        <w:widowControl/>
        <w:ind w:firstLine="640"/>
        <w:rPr>
          <w:rFonts w:eastAsia="黑体"/>
          <w:sz w:val="32"/>
          <w:szCs w:val="32"/>
        </w:rPr>
      </w:pPr>
      <w:r>
        <w:rPr>
          <w:rFonts w:eastAsia="黑体"/>
          <w:sz w:val="32"/>
          <w:szCs w:val="32"/>
        </w:rPr>
        <w:t>五、社会保险基金预算支出情况</w:t>
      </w:r>
    </w:p>
    <w:p w14:paraId="023624B5">
      <w:pPr>
        <w:widowControl/>
        <w:ind w:firstLine="640" w:firstLineChars="200"/>
        <w:rPr>
          <w:rFonts w:ascii="Times New Roman" w:hAnsi="Times New Roman" w:eastAsia="黑体"/>
          <w:sz w:val="32"/>
          <w:szCs w:val="32"/>
        </w:rPr>
      </w:pPr>
      <w:r>
        <w:rPr>
          <w:rFonts w:hint="eastAsia" w:ascii="仿宋" w:hAnsi="仿宋" w:eastAsia="仿宋"/>
          <w:sz w:val="32"/>
          <w:szCs w:val="32"/>
          <w:shd w:val="clear" w:color="auto" w:fill="FFFFFF"/>
        </w:rPr>
        <w:t>202</w:t>
      </w:r>
      <w:r>
        <w:rPr>
          <w:rFonts w:hint="eastAsia" w:ascii="仿宋" w:hAnsi="仿宋" w:eastAsia="仿宋"/>
          <w:sz w:val="32"/>
          <w:szCs w:val="32"/>
          <w:shd w:val="clear" w:color="auto" w:fill="FFFFFF"/>
          <w:lang w:val="en-US" w:eastAsia="zh-CN"/>
        </w:rPr>
        <w:t>4</w:t>
      </w:r>
      <w:r>
        <w:rPr>
          <w:rFonts w:hint="eastAsia" w:ascii="仿宋" w:hAnsi="仿宋" w:eastAsia="仿宋"/>
          <w:sz w:val="32"/>
          <w:szCs w:val="32"/>
          <w:shd w:val="clear" w:color="auto" w:fill="FFFFFF"/>
        </w:rPr>
        <w:t>年度社会保险基金预算财政拨款收入0万元；年初结转和结余0万元；支出0万元，其中基本支出0万元，项目支出0万元；年末结转和结余0万元。</w:t>
      </w:r>
    </w:p>
    <w:p w14:paraId="207793C3">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063A6418">
      <w:pPr>
        <w:widowControl/>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1BD03C65">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1.202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年度在衡阳市委、市政府、市教育局的正确领导下，学校以提高教育教学质量为中心，充分发挥财政资金使用效率，确保各项计划和任务的顺利完成，使得学校的各项工作再上新台阶。</w:t>
      </w:r>
    </w:p>
    <w:p w14:paraId="1EA9A877">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根据市政府202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部门预算编制要求，结合学校事业发展规划，实行积极的财政政策，努力争收，不断优化支出结构，按照人员经费按政策打足、内涵建设重点保障、公用经费不编列人员经费、压缩专项工作经费、合理安排不可预见费等原则，科学合理编制学校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年财务预算。</w:t>
      </w:r>
    </w:p>
    <w:p w14:paraId="6DB0926D">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2024年度</w:t>
      </w:r>
      <w:r>
        <w:rPr>
          <w:rFonts w:hint="eastAsia" w:ascii="Times New Roman" w:hAnsi="Times New Roman" w:eastAsia="仿宋"/>
          <w:sz w:val="32"/>
          <w:szCs w:val="32"/>
        </w:rPr>
        <w:t>学校各项日常工作进展顺利，取得很好的成效。按要求将绩效自评报告进行公开，同时按时向市财政局及上级相关部门报送自评报告。</w:t>
      </w:r>
    </w:p>
    <w:p w14:paraId="29EE5E74">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2.按照省、市财政专项资金管理办法，《中华人民共和国招标投标法》，及时修订了《衡阳市职业中等专业学校建设项目管理内部控制制度》和《衡阳市职业中等专业学校政府采购内部控制制度》，严格按照审批程序支付专项资金，严格管控建设成本和质量管控，加强支出审核控制，全面审核各类单据。财务人员认真审核财政预算报告书、工程项目合同、公开招标书、政府采购合同、财政结算报告书、验收报告等，再经教育局、财政局等有关部门审批签章后，方可到支付局办理支付手续。各项专项资金，做到了及时到位，专款专用，无截留、卡扣、占用和挪用等情况，财务制度健全，会计核算规范，支付依据合规。</w:t>
      </w:r>
    </w:p>
    <w:p w14:paraId="38AA4F8C">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3.资产管理情况。为加强我校财产管理，明确经济责任，保证资产的安全完整。根据上级要求，及时修订了《衡阳市职业中等专业学校国有资产管理内部控制制度》。学校严格按照财政部门制定的资产配置合理编制资产配置预算，对没有规定资产配置标准的，坚持厉行节约、从严控制的原则，对于预算配置内的资产，按照规定进行资产登记。对于报损资产严格执行国有资产处置制度，履行审批手续，规范处置行为。为防止国有资产流失，学校制定了详细的资产管理办法，对各类不同资产，均配有资产专管员，资产购置、管理和处置均由资产专管员按照规定进行申报，定期盘点，集中处置，确保资产，账账相符、账实相符。</w:t>
      </w:r>
    </w:p>
    <w:p w14:paraId="78BA8BAB">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4.项目绩效情况</w:t>
      </w:r>
    </w:p>
    <w:p w14:paraId="278D08D9">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（1）项目的实施进度</w:t>
      </w:r>
    </w:p>
    <w:p w14:paraId="68992BB2">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本年度，为推进湖南省楚怡双优中职学校建设，不断改善学校的办学条件，完成了新建女生公寓工程的建设、</w:t>
      </w:r>
      <w:r>
        <w:rPr>
          <w:rFonts w:hint="eastAsia" w:ascii="Times New Roman" w:hAnsi="Times New Roman" w:eastAsia="仿宋"/>
          <w:sz w:val="32"/>
          <w:szCs w:val="32"/>
          <w:lang w:val="en-US" w:eastAsia="zh-CN"/>
        </w:rPr>
        <w:t>教师公租房项目及第一、二、三教学楼改造</w:t>
      </w:r>
      <w:r>
        <w:rPr>
          <w:rFonts w:hint="eastAsia" w:ascii="Times New Roman" w:hAnsi="Times New Roman" w:eastAsia="仿宋"/>
          <w:sz w:val="32"/>
          <w:szCs w:val="32"/>
        </w:rPr>
        <w:t>等工作。严格按照项目建设实施方案执行，建设进度安排合理、可行，工作重点突出，配套设备能按申报计划到位，特别是关键设备购置能按建设计划和要求及时执行落实。</w:t>
      </w:r>
    </w:p>
    <w:p w14:paraId="572E34B6">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（2）项目完成质量</w:t>
      </w:r>
    </w:p>
    <w:p w14:paraId="22A91D49">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一是仪器设备的固定资产账、物、卡相符率达到100%。二是基础设施建设与先期招投标规划设计相符率达100%。</w:t>
      </w:r>
    </w:p>
    <w:p w14:paraId="4CD533F7">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（3）项目的效益性分析</w:t>
      </w:r>
    </w:p>
    <w:p w14:paraId="2A375848">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一是有力的改善我校的办学条件设施，经过学校科学统筹、精心规划、规范采购，使学校办学条件得到极大改善，为湖南省双优中职学校建设及重点专业建设、课程建设、师资队伍建设提供了坚实保障，为莘莘学子搭建良好的学习平台、为国家培养更多的行业技能人才。</w:t>
      </w:r>
    </w:p>
    <w:p w14:paraId="28429BEC">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二是为了满足教学和实训及技能竞赛的要求，添置了相关的教学实训专用设备。专业设施的建设使学生掌握新知识、新工艺和新方法，为学生技能的提高及适应时代发展的要求打下坚实基础；学校教学质量的稳步提升，特别是学生参加国家、省、市级技能竞赛成绩突出，明显增强了学校的吸引力和知名度，对学校进一步扩大办学规模，提高服务区域经济建设能力的作用是显著的。</w:t>
      </w:r>
    </w:p>
    <w:p w14:paraId="1E647771">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三是通过组织教师参加国家级和省级各类培训学习，使他们在专业教学、专业实践、顶岗实习指导以及信息技术应用等方面的业务素质有明显提升，通过引进专业教师开展校本培训，大力开展专业教学改革，编写专业校本教材，选派教师下企业培训和业务培训，教师教学水平将得到有效提升，教育教学质量将大幅提高。</w:t>
      </w:r>
    </w:p>
    <w:p w14:paraId="20C426AA">
      <w:pPr>
        <w:widowControl/>
        <w:ind w:firstLine="640" w:firstLineChars="200"/>
        <w:rPr>
          <w:rFonts w:eastAsia="黑体"/>
          <w:sz w:val="32"/>
          <w:szCs w:val="32"/>
        </w:rPr>
      </w:pPr>
      <w:r>
        <w:rPr>
          <w:rFonts w:hint="eastAsia" w:ascii="Times New Roman" w:hAnsi="Times New Roman" w:eastAsia="仿宋"/>
          <w:sz w:val="32"/>
          <w:szCs w:val="32"/>
        </w:rPr>
        <w:t>四是实现和发挥了学校示范引领作用。学校已成为衡阳技能型人才培养的主阵地、输送技能人才的主渠道、招工培训的主市场。</w:t>
      </w:r>
    </w:p>
    <w:p w14:paraId="61DC15F5">
      <w:pPr>
        <w:pStyle w:val="4"/>
        <w:widowControl/>
        <w:ind w:firstLine="640"/>
        <w:rPr>
          <w:rFonts w:eastAsia="黑体"/>
          <w:sz w:val="32"/>
          <w:szCs w:val="32"/>
        </w:rPr>
      </w:pPr>
      <w:r>
        <w:rPr>
          <w:rFonts w:eastAsia="黑体"/>
          <w:sz w:val="32"/>
          <w:szCs w:val="32"/>
        </w:rPr>
        <w:t>七、存在的问题及原因分析</w:t>
      </w:r>
    </w:p>
    <w:p w14:paraId="157F5D66">
      <w:pPr>
        <w:pStyle w:val="4"/>
        <w:widowControl/>
        <w:ind w:firstLine="640"/>
        <w:rPr>
          <w:rFonts w:eastAsia="仿宋"/>
          <w:sz w:val="32"/>
          <w:szCs w:val="32"/>
        </w:rPr>
      </w:pPr>
      <w:r>
        <w:rPr>
          <w:rFonts w:eastAsia="仿宋"/>
          <w:sz w:val="32"/>
          <w:szCs w:val="32"/>
        </w:rPr>
        <w:t>主要反映各种</w:t>
      </w:r>
      <w:r>
        <w:rPr>
          <w:rFonts w:eastAsia="仿宋"/>
          <w:color w:val="000000"/>
          <w:sz w:val="32"/>
          <w:szCs w:val="32"/>
        </w:rPr>
        <w:t>预算支出执行偏离绩效目标的情况，</w:t>
      </w:r>
      <w:r>
        <w:rPr>
          <w:rFonts w:eastAsia="仿宋"/>
          <w:sz w:val="32"/>
          <w:szCs w:val="32"/>
        </w:rPr>
        <w:t>并分</w:t>
      </w:r>
    </w:p>
    <w:p w14:paraId="0873730B">
      <w:pPr>
        <w:pStyle w:val="4"/>
        <w:widowControl/>
        <w:ind w:firstLine="419" w:firstLineChars="131"/>
        <w:rPr>
          <w:rFonts w:eastAsia="黑体"/>
          <w:sz w:val="32"/>
          <w:szCs w:val="32"/>
        </w:rPr>
      </w:pPr>
      <w:r>
        <w:rPr>
          <w:rFonts w:eastAsia="仿宋"/>
          <w:sz w:val="32"/>
          <w:szCs w:val="32"/>
        </w:rPr>
        <w:t>析其原因。</w:t>
      </w:r>
    </w:p>
    <w:p w14:paraId="5BA5E6AA">
      <w:pPr>
        <w:pStyle w:val="4"/>
        <w:rPr>
          <w:rFonts w:ascii="Times New Roman" w:hAnsi="Times New Roman" w:eastAsia="黑体"/>
          <w:sz w:val="32"/>
          <w:szCs w:val="32"/>
        </w:rPr>
      </w:pPr>
      <w:r>
        <w:rPr>
          <w:rFonts w:hint="eastAsia" w:eastAsia="仿宋"/>
          <w:sz w:val="32"/>
          <w:szCs w:val="32"/>
        </w:rPr>
        <w:t>我校虽然取得了一些成绩，实现了健康快速发展。但与现代职业教育要求相比，仍存在很大差距。学校基础能力建设比较薄弱，内涵建设相对滞后。基本支出占学校总支出的比例较高。项目建设需要的资金投入太大，从而导致专项资金在安排过程中难以突出重点，仅能对部分项目建设做出适当补助，难以发挥出专项资金的最大效益。</w:t>
      </w:r>
    </w:p>
    <w:p w14:paraId="232B67DE">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05D8A352">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1.加强预算编制学习，科学合理的编制预算，</w:t>
      </w:r>
      <w:r>
        <w:rPr>
          <w:rFonts w:ascii="仿宋_GB2312" w:hAnsi="黑体" w:eastAsia="仿宋_GB2312"/>
          <w:sz w:val="32"/>
          <w:szCs w:val="32"/>
        </w:rPr>
        <w:t>严格执行预算</w:t>
      </w:r>
      <w:r>
        <w:rPr>
          <w:rFonts w:hint="eastAsia" w:ascii="仿宋_GB2312" w:hAnsi="黑体" w:eastAsia="仿宋_GB2312"/>
          <w:sz w:val="32"/>
          <w:szCs w:val="32"/>
        </w:rPr>
        <w:t>。</w:t>
      </w:r>
      <w:r>
        <w:rPr>
          <w:rFonts w:ascii="仿宋_GB2312" w:hAnsi="黑体" w:eastAsia="仿宋_GB2312"/>
          <w:sz w:val="32"/>
          <w:szCs w:val="32"/>
        </w:rPr>
        <w:t>加强预算编制的前瞻性，按照新</w:t>
      </w:r>
      <w:r>
        <w:rPr>
          <w:rFonts w:hint="eastAsia" w:ascii="仿宋_GB2312" w:hAnsi="黑体" w:eastAsia="仿宋_GB2312"/>
          <w:sz w:val="32"/>
          <w:szCs w:val="32"/>
          <w:lang w:eastAsia="zh-CN"/>
        </w:rPr>
        <w:t>《中华人民共和国预算法》</w:t>
      </w:r>
      <w:r>
        <w:rPr>
          <w:rFonts w:ascii="仿宋_GB2312" w:hAnsi="黑体" w:eastAsia="仿宋_GB2312"/>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整预算的，按规定程序报经批准。进一步明确项目目标，根据目标要求，加大项目前期工作力度，做实项目实施方案。</w:t>
      </w:r>
      <w:r>
        <w:rPr>
          <w:rFonts w:hint="eastAsia" w:ascii="仿宋_GB2312" w:hAnsi="黑体" w:eastAsia="仿宋_GB2312"/>
          <w:sz w:val="32"/>
          <w:szCs w:val="32"/>
        </w:rPr>
        <w:t>根据预算合理支出，从而控制预算完成率；努力学习预算制度，更加合理地编制预算，使预算、决算差异更小，</w:t>
      </w:r>
      <w:r>
        <w:rPr>
          <w:rFonts w:ascii="仿宋_GB2312" w:hAnsi="黑体" w:eastAsia="仿宋_GB2312"/>
          <w:sz w:val="32"/>
          <w:szCs w:val="32"/>
        </w:rPr>
        <w:t>努力提高预算执行效果</w:t>
      </w:r>
      <w:r>
        <w:rPr>
          <w:rFonts w:hint="eastAsia" w:ascii="仿宋_GB2312" w:hAnsi="黑体" w:eastAsia="仿宋_GB2312"/>
          <w:sz w:val="32"/>
          <w:szCs w:val="32"/>
        </w:rPr>
        <w:t>，</w:t>
      </w:r>
      <w:r>
        <w:rPr>
          <w:rFonts w:ascii="仿宋_GB2312" w:hAnsi="黑体" w:eastAsia="仿宋_GB2312"/>
          <w:sz w:val="32"/>
          <w:szCs w:val="32"/>
        </w:rPr>
        <w:t>切实提高部门预算收支管理水平。</w:t>
      </w:r>
    </w:p>
    <w:p w14:paraId="62FE2D25">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2.进一步完善各项管理制度，以制度保障规范有序运转，</w:t>
      </w:r>
      <w:r>
        <w:rPr>
          <w:rFonts w:ascii="仿宋_GB2312" w:hAnsi="黑体" w:eastAsia="仿宋_GB2312"/>
          <w:sz w:val="32"/>
          <w:szCs w:val="32"/>
        </w:rPr>
        <w:t>进一步加强资产管理。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4C16D2A9">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3.对该项目绩效自评情况进行及时整理、归纳、分析，将其作为下年度资金分配的依据，绩效报告按规定公开。</w:t>
      </w:r>
    </w:p>
    <w:p w14:paraId="229C7EA7">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w:t>
      </w:r>
      <w:r>
        <w:rPr>
          <w:rFonts w:hint="eastAsia" w:ascii="仿宋" w:hAnsi="仿宋" w:eastAsia="仿宋"/>
          <w:sz w:val="32"/>
          <w:szCs w:val="32"/>
          <w:shd w:val="clear" w:color="auto" w:fill="FFFFFF"/>
        </w:rPr>
        <w:t>进一步加大招生宣传力度，加强专业建设，改善办学条件，配套完备的设备设施。进一步加大教师的培训力度，提高教师的专业知识和教育教学水平，更好地为教育教学服务。</w:t>
      </w:r>
    </w:p>
    <w:p w14:paraId="34FCEAE5">
      <w:pPr>
        <w:widowControl/>
        <w:spacing w:line="600" w:lineRule="exact"/>
        <w:ind w:firstLine="640" w:firstLineChars="200"/>
        <w:jc w:val="left"/>
        <w:rPr>
          <w:rFonts w:ascii="Times New Roman" w:hAnsi="Times New Roman" w:eastAsia="黑体"/>
          <w:sz w:val="32"/>
          <w:szCs w:val="32"/>
        </w:rPr>
      </w:pPr>
      <w:r>
        <w:rPr>
          <w:rFonts w:hint="eastAsia" w:ascii="仿宋_GB2312" w:hAnsi="黑体" w:eastAsia="仿宋_GB2312"/>
          <w:sz w:val="32"/>
          <w:szCs w:val="32"/>
        </w:rPr>
        <w:t>5.建议根据我校职业教育发展的现状与实际，积极争取专项资金，把技能型人才培养需要与实训室建设有机结合。另外，建议政府在财力不断增长的情况下，逐年追加职业教育发展专项资金。</w:t>
      </w:r>
    </w:p>
    <w:p w14:paraId="1533AAD5">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14:paraId="7234420A">
      <w:pPr>
        <w:rPr>
          <w:rFonts w:hint="eastAsia"/>
          <w:sz w:val="32"/>
          <w:szCs w:val="32"/>
          <w:lang w:val="en-US" w:eastAsia="zh-CN"/>
        </w:rPr>
      </w:pPr>
      <w:r>
        <w:rPr>
          <w:rFonts w:hint="eastAsia"/>
          <w:sz w:val="32"/>
          <w:szCs w:val="32"/>
          <w:lang w:val="en-US" w:eastAsia="zh-CN"/>
        </w:rPr>
        <w:t>无。</w:t>
      </w:r>
    </w:p>
    <w:p w14:paraId="133AE299">
      <w:pPr>
        <w:rPr>
          <w:rFonts w:hint="eastAsia"/>
          <w:sz w:val="32"/>
          <w:szCs w:val="32"/>
          <w:lang w:val="en-US" w:eastAsia="zh-CN"/>
        </w:rPr>
      </w:pPr>
    </w:p>
    <w:p w14:paraId="3FAD51BA">
      <w:pPr>
        <w:widowControl/>
        <w:spacing w:line="600" w:lineRule="exact"/>
        <w:ind w:firstLine="4480" w:firstLineChars="1400"/>
        <w:jc w:val="left"/>
        <w:rPr>
          <w:rFonts w:ascii="仿宋_GB2312" w:hAnsi="黑体" w:eastAsia="仿宋_GB2312"/>
          <w:sz w:val="32"/>
          <w:szCs w:val="32"/>
        </w:rPr>
      </w:pPr>
      <w:r>
        <w:rPr>
          <w:rFonts w:hint="eastAsia" w:ascii="仿宋_GB2312" w:hAnsi="黑体" w:eastAsia="仿宋_GB2312"/>
          <w:sz w:val="32"/>
          <w:szCs w:val="32"/>
        </w:rPr>
        <w:t>衡阳市职业中等专业学校</w:t>
      </w:r>
    </w:p>
    <w:p w14:paraId="53ABAAD9">
      <w:pPr>
        <w:ind w:right="640"/>
        <w:rPr>
          <w:rFonts w:ascii="黑体" w:hAnsi="黑体" w:eastAsia="黑体" w:cs="黑体"/>
          <w:kern w:val="0"/>
          <w:sz w:val="32"/>
          <w:szCs w:val="32"/>
        </w:rPr>
      </w:pPr>
      <w:r>
        <w:rPr>
          <w:rFonts w:hint="eastAsia" w:ascii="仿宋_GB2312" w:hAnsi="黑体" w:eastAsia="仿宋_GB2312"/>
          <w:sz w:val="32"/>
          <w:szCs w:val="32"/>
        </w:rPr>
        <w:t xml:space="preserve">                               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val="en-US" w:eastAsia="zh-CN"/>
        </w:rPr>
        <w:t>2</w:t>
      </w:r>
      <w:r>
        <w:rPr>
          <w:rFonts w:hint="eastAsia" w:ascii="仿宋_GB2312" w:hAnsi="黑体" w:eastAsia="仿宋_GB2312"/>
          <w:sz w:val="32"/>
          <w:szCs w:val="32"/>
        </w:rPr>
        <w:t>月2</w:t>
      </w:r>
      <w:r>
        <w:rPr>
          <w:rFonts w:hint="eastAsia" w:ascii="仿宋_GB2312" w:hAnsi="黑体" w:eastAsia="仿宋_GB2312"/>
          <w:sz w:val="32"/>
          <w:szCs w:val="32"/>
          <w:lang w:val="en-US" w:eastAsia="zh-CN"/>
        </w:rPr>
        <w:t>6</w:t>
      </w:r>
      <w:r>
        <w:rPr>
          <w:rFonts w:hint="eastAsia" w:ascii="仿宋_GB2312" w:hAnsi="黑体" w:eastAsia="仿宋_GB2312"/>
          <w:sz w:val="32"/>
          <w:szCs w:val="32"/>
        </w:rPr>
        <w:t>日</w:t>
      </w:r>
    </w:p>
    <w:p w14:paraId="3180E1EC">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9122A"/>
    <w:rsid w:val="08326ACF"/>
    <w:rsid w:val="1AC75B46"/>
    <w:rsid w:val="21082321"/>
    <w:rsid w:val="30E808F4"/>
    <w:rsid w:val="3979122A"/>
    <w:rsid w:val="44400885"/>
    <w:rsid w:val="515720D8"/>
    <w:rsid w:val="5220026A"/>
    <w:rsid w:val="59176EB9"/>
    <w:rsid w:val="5BB661F5"/>
    <w:rsid w:val="731F72A1"/>
    <w:rsid w:val="74A3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4065</Words>
  <Characters>4207</Characters>
  <Lines>0</Lines>
  <Paragraphs>0</Paragraphs>
  <TotalTime>1051</TotalTime>
  <ScaleCrop>false</ScaleCrop>
  <LinksUpToDate>false</LinksUpToDate>
  <CharactersWithSpaces>4240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2025-02-26T05:14:00Z</dcterms:created>
  <dc:creator>leon</dc:creator>
  <cp:lastModifiedBy>邓婷</cp:lastModifiedBy>
  <cp:lastPrinted>2025-02-28T00:51:00Z</cp:lastPrinted>
  <dcterms:modified xsi:type="dcterms:W3CDTF">2025-10-17T01:07:29Z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E4AEF20AF11147A08078FA4CCDA3D043_11</vt:lpwstr>
  </property>
  <property fmtid="{D5CDD505-2E9C-101B-9397-08002B2CF9AE}" pid="4" name="KSOTemplateDocerSaveRecord">
    <vt:lpwstr>eyJoZGlkIjoiN2Y2YTkzM2Q3ZjFmZDA3MzYxZmZlNThiZjdiNmYxNGYiLCJ1c2VySWQiOiIxMDY5MjgzMDcxIn0=</vt:lpwstr>
  </property>
</Properties>
</file>