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7545C">
      <w:pPr>
        <w:spacing w:after="312" w:afterLines="100"/>
        <w:rPr>
          <w:rFonts w:ascii="Times New Roman" w:hAnsi="Times New Roman" w:eastAsia="仿宋_GB2312"/>
          <w:kern w:val="0"/>
          <w:sz w:val="32"/>
          <w:szCs w:val="32"/>
        </w:rPr>
      </w:pPr>
      <w:bookmarkStart w:id="0" w:name="_GoBack"/>
      <w:bookmarkEnd w:id="0"/>
    </w:p>
    <w:p w14:paraId="5EF9225B">
      <w:pPr>
        <w:rPr>
          <w:rFonts w:ascii="Times New Roman" w:hAnsi="Times New Roman" w:eastAsia="方正小标宋简体"/>
          <w:sz w:val="48"/>
          <w:szCs w:val="48"/>
        </w:rPr>
      </w:pPr>
    </w:p>
    <w:p w14:paraId="4B284B34">
      <w:pPr>
        <w:rPr>
          <w:rFonts w:ascii="Times New Roman" w:hAnsi="Times New Roman" w:eastAsia="方正小标宋简体"/>
          <w:sz w:val="48"/>
          <w:szCs w:val="48"/>
        </w:rPr>
      </w:pPr>
    </w:p>
    <w:p w14:paraId="40A2654E">
      <w:pPr>
        <w:rPr>
          <w:rFonts w:ascii="Times New Roman" w:hAnsi="Times New Roman" w:eastAsia="方正小标宋简体"/>
          <w:sz w:val="48"/>
          <w:szCs w:val="48"/>
        </w:rPr>
      </w:pPr>
    </w:p>
    <w:p w14:paraId="17A9F051">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45154BF8">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3E52A210">
      <w:pPr>
        <w:jc w:val="center"/>
        <w:rPr>
          <w:rFonts w:ascii="Times New Roman" w:hAnsi="Times New Roman" w:eastAsia="黑体"/>
          <w:sz w:val="32"/>
          <w:szCs w:val="32"/>
        </w:rPr>
      </w:pPr>
    </w:p>
    <w:p w14:paraId="39957B21">
      <w:pPr>
        <w:jc w:val="center"/>
        <w:rPr>
          <w:rFonts w:ascii="Times New Roman" w:hAnsi="Times New Roman" w:eastAsia="黑体"/>
          <w:sz w:val="32"/>
          <w:szCs w:val="32"/>
        </w:rPr>
      </w:pPr>
    </w:p>
    <w:p w14:paraId="2F53CE62">
      <w:pPr>
        <w:jc w:val="center"/>
        <w:rPr>
          <w:rFonts w:ascii="Times New Roman" w:hAnsi="Times New Roman" w:eastAsia="黑体"/>
          <w:sz w:val="32"/>
          <w:szCs w:val="32"/>
        </w:rPr>
      </w:pPr>
    </w:p>
    <w:p w14:paraId="1D3557FF">
      <w:pPr>
        <w:jc w:val="center"/>
        <w:rPr>
          <w:rFonts w:ascii="Times New Roman" w:hAnsi="Times New Roman" w:eastAsia="黑体"/>
          <w:sz w:val="32"/>
          <w:szCs w:val="32"/>
        </w:rPr>
      </w:pPr>
    </w:p>
    <w:p w14:paraId="67C7C2F5">
      <w:pPr>
        <w:rPr>
          <w:rFonts w:ascii="Times New Roman" w:hAnsi="Times New Roman" w:eastAsia="黑体"/>
          <w:sz w:val="32"/>
          <w:szCs w:val="32"/>
        </w:rPr>
      </w:pPr>
    </w:p>
    <w:p w14:paraId="3A964EBE">
      <w:pPr>
        <w:jc w:val="center"/>
        <w:rPr>
          <w:rFonts w:ascii="Times New Roman" w:hAnsi="Times New Roman"/>
          <w:sz w:val="36"/>
          <w:szCs w:val="36"/>
        </w:rPr>
      </w:pPr>
    </w:p>
    <w:p w14:paraId="7A8DEA72">
      <w:pPr>
        <w:jc w:val="center"/>
        <w:rPr>
          <w:rFonts w:ascii="Times New Roman" w:hAnsi="Times New Roman"/>
          <w:sz w:val="36"/>
          <w:szCs w:val="36"/>
        </w:rPr>
      </w:pPr>
    </w:p>
    <w:p w14:paraId="590184A4">
      <w:pPr>
        <w:jc w:val="center"/>
        <w:rPr>
          <w:rFonts w:ascii="Times New Roman" w:hAnsi="Times New Roman"/>
          <w:sz w:val="36"/>
          <w:szCs w:val="36"/>
        </w:rPr>
      </w:pPr>
    </w:p>
    <w:p w14:paraId="3E6F13DE">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：（盖章）衡阳市第</w:t>
      </w:r>
      <w:r>
        <w:rPr>
          <w:rFonts w:hint="eastAsia" w:ascii="Times New Roman" w:hAnsi="Times New Roman"/>
          <w:sz w:val="36"/>
          <w:szCs w:val="36"/>
          <w:lang w:eastAsia="zh-CN"/>
        </w:rPr>
        <w:t>三</w:t>
      </w:r>
      <w:r>
        <w:rPr>
          <w:rFonts w:hint="eastAsia" w:ascii="Times New Roman" w:hAnsi="Times New Roman"/>
          <w:sz w:val="36"/>
          <w:szCs w:val="36"/>
        </w:rPr>
        <w:t>中学</w:t>
      </w:r>
    </w:p>
    <w:p w14:paraId="51EFB44A">
      <w:pPr>
        <w:jc w:val="center"/>
        <w:rPr>
          <w:rFonts w:hint="eastAsia" w:ascii="Times New Roman" w:hAnsi="Times New Roman" w:eastAsia="宋体"/>
          <w:sz w:val="36"/>
          <w:szCs w:val="36"/>
          <w:lang w:val="en-US" w:eastAsia="zh-CN"/>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lang w:val="en-US" w:eastAsia="zh-CN"/>
        </w:rPr>
        <w:t>胡春辉</w:t>
      </w:r>
    </w:p>
    <w:p w14:paraId="6A289726">
      <w:pPr>
        <w:jc w:val="center"/>
        <w:rPr>
          <w:rFonts w:ascii="Times New Roman" w:hAnsi="Times New Roman" w:eastAsia="黑体"/>
          <w:sz w:val="36"/>
          <w:szCs w:val="36"/>
        </w:rPr>
      </w:pPr>
    </w:p>
    <w:p w14:paraId="27C92EB0">
      <w:pPr>
        <w:jc w:val="center"/>
        <w:rPr>
          <w:rFonts w:ascii="Times New Roman" w:hAnsi="Times New Roman" w:eastAsia="黑体"/>
          <w:sz w:val="32"/>
          <w:szCs w:val="32"/>
        </w:rPr>
      </w:pPr>
      <w:r>
        <w:rPr>
          <w:rFonts w:hint="eastAsia" w:ascii="Times New Roman" w:hAnsi="Times New Roman" w:eastAsia="黑体"/>
          <w:sz w:val="32"/>
          <w:szCs w:val="32"/>
        </w:rPr>
        <w:t>202</w:t>
      </w:r>
      <w:r>
        <w:rPr>
          <w:rFonts w:hint="eastAsia" w:ascii="Times New Roman" w:hAnsi="Times New Roman" w:eastAsia="黑体"/>
          <w:sz w:val="32"/>
          <w:szCs w:val="32"/>
          <w:lang w:val="en-US" w:eastAsia="zh-CN"/>
        </w:rPr>
        <w:t>5</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2</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28</w:t>
      </w:r>
      <w:r>
        <w:rPr>
          <w:rFonts w:ascii="Times New Roman" w:hAnsi="Times New Roman" w:eastAsia="黑体"/>
          <w:sz w:val="32"/>
          <w:szCs w:val="32"/>
        </w:rPr>
        <w:t>日</w:t>
      </w:r>
    </w:p>
    <w:p w14:paraId="40C61461">
      <w:pPr>
        <w:jc w:val="center"/>
        <w:rPr>
          <w:rFonts w:ascii="Times New Roman" w:hAnsi="Times New Roman" w:eastAsia="黑体"/>
          <w:sz w:val="32"/>
          <w:szCs w:val="32"/>
        </w:rPr>
      </w:pPr>
    </w:p>
    <w:p w14:paraId="035CBDFD">
      <w:pPr>
        <w:spacing w:line="600" w:lineRule="exact"/>
        <w:rPr>
          <w:rFonts w:ascii="Times New Roman" w:hAnsi="Times New Roman" w:eastAsia="方正小标宋简体"/>
          <w:sz w:val="44"/>
          <w:szCs w:val="44"/>
        </w:rPr>
      </w:pPr>
    </w:p>
    <w:p w14:paraId="4272299E">
      <w:pPr>
        <w:spacing w:line="600" w:lineRule="exact"/>
        <w:rPr>
          <w:rFonts w:hint="eastAsia" w:ascii="Times New Roman" w:hAnsi="Times New Roman" w:eastAsia="方正小标宋简体"/>
          <w:sz w:val="44"/>
          <w:szCs w:val="44"/>
          <w:lang w:eastAsia="zh-CN"/>
        </w:rPr>
      </w:pPr>
    </w:p>
    <w:p w14:paraId="69FCD448">
      <w:pPr>
        <w:pStyle w:val="16"/>
        <w:widowControl/>
        <w:ind w:firstLine="640"/>
        <w:rPr>
          <w:rFonts w:eastAsia="黑体"/>
          <w:sz w:val="32"/>
          <w:szCs w:val="32"/>
        </w:rPr>
      </w:pPr>
    </w:p>
    <w:p w14:paraId="7E0E3628">
      <w:pPr>
        <w:pStyle w:val="16"/>
        <w:widowControl/>
        <w:ind w:firstLine="640"/>
        <w:rPr>
          <w:rFonts w:eastAsia="黑体"/>
          <w:sz w:val="32"/>
          <w:szCs w:val="32"/>
        </w:rPr>
      </w:pPr>
      <w:r>
        <w:rPr>
          <w:rFonts w:eastAsia="黑体"/>
          <w:sz w:val="32"/>
          <w:szCs w:val="32"/>
        </w:rPr>
        <w:t>一、部门、单位基本情况</w:t>
      </w:r>
    </w:p>
    <w:p w14:paraId="15B0E1D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（一）基本情况</w:t>
      </w:r>
    </w:p>
    <w:p w14:paraId="1BA3994A">
      <w:pPr>
        <w:pStyle w:val="16"/>
        <w:widowControl/>
        <w:spacing w:line="600" w:lineRule="exact"/>
        <w:ind w:firstLine="640"/>
        <w:rPr>
          <w:rFonts w:hint="eastAsia" w:ascii="仿宋" w:hAnsi="仿宋" w:eastAsia="仿宋" w:cs="仿宋"/>
          <w:sz w:val="32"/>
          <w:szCs w:val="32"/>
        </w:rPr>
      </w:pPr>
      <w:r>
        <w:rPr>
          <w:rFonts w:hint="eastAsia" w:ascii="仿宋" w:hAnsi="仿宋" w:eastAsia="仿宋" w:cs="仿宋"/>
          <w:sz w:val="32"/>
          <w:szCs w:val="32"/>
        </w:rPr>
        <w:t>衡阳市第</w:t>
      </w:r>
      <w:r>
        <w:rPr>
          <w:rFonts w:hint="eastAsia" w:ascii="仿宋" w:hAnsi="仿宋" w:eastAsia="仿宋" w:cs="仿宋"/>
          <w:sz w:val="32"/>
          <w:szCs w:val="32"/>
          <w:lang w:eastAsia="zh-CN"/>
        </w:rPr>
        <w:t>三</w:t>
      </w:r>
      <w:r>
        <w:rPr>
          <w:rFonts w:hint="eastAsia" w:ascii="仿宋" w:hAnsi="仿宋" w:eastAsia="仿宋" w:cs="仿宋"/>
          <w:sz w:val="32"/>
          <w:szCs w:val="32"/>
        </w:rPr>
        <w:t>中学是衡阳市教育局直属初中义务教育学校，</w:t>
      </w:r>
    </w:p>
    <w:p w14:paraId="4626A0A9">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1.人员编制</w:t>
      </w:r>
    </w:p>
    <w:p w14:paraId="6939836E">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衡阳市第</w:t>
      </w:r>
      <w:r>
        <w:rPr>
          <w:rFonts w:hint="eastAsia" w:ascii="仿宋" w:hAnsi="仿宋" w:eastAsia="仿宋" w:cs="仿宋"/>
          <w:sz w:val="32"/>
          <w:szCs w:val="32"/>
          <w:lang w:eastAsia="zh-CN"/>
        </w:rPr>
        <w:t>三</w:t>
      </w:r>
      <w:r>
        <w:rPr>
          <w:rFonts w:hint="eastAsia" w:ascii="仿宋" w:hAnsi="仿宋" w:eastAsia="仿宋" w:cs="仿宋"/>
          <w:sz w:val="32"/>
          <w:szCs w:val="32"/>
        </w:rPr>
        <w:t>中学为独立核算的财政全额拨款事业单位，执行政府会计准则制度。学校编制名额为</w:t>
      </w:r>
      <w:r>
        <w:rPr>
          <w:rFonts w:hint="eastAsia" w:ascii="仿宋" w:hAnsi="仿宋" w:eastAsia="仿宋" w:cs="仿宋"/>
          <w:sz w:val="32"/>
          <w:szCs w:val="32"/>
          <w:lang w:val="en-US" w:eastAsia="zh-CN"/>
        </w:rPr>
        <w:t>72</w:t>
      </w:r>
      <w:r>
        <w:rPr>
          <w:rFonts w:hint="eastAsia" w:ascii="仿宋" w:hAnsi="仿宋" w:eastAsia="仿宋" w:cs="仿宋"/>
          <w:sz w:val="32"/>
          <w:szCs w:val="32"/>
        </w:rPr>
        <w:t>人，</w:t>
      </w:r>
      <w:r>
        <w:rPr>
          <w:rFonts w:hint="eastAsia" w:ascii="仿宋" w:hAnsi="仿宋" w:eastAsia="仿宋" w:cs="仿宋"/>
          <w:sz w:val="32"/>
          <w:szCs w:val="32"/>
          <w:lang w:eastAsia="zh-CN"/>
        </w:rPr>
        <w:t>2024</w:t>
      </w:r>
      <w:r>
        <w:rPr>
          <w:rFonts w:hint="eastAsia" w:ascii="仿宋" w:hAnsi="仿宋" w:eastAsia="仿宋" w:cs="仿宋"/>
          <w:sz w:val="32"/>
          <w:szCs w:val="32"/>
        </w:rPr>
        <w:t>年12月底在编在职人员</w:t>
      </w:r>
      <w:r>
        <w:rPr>
          <w:rFonts w:hint="eastAsia" w:ascii="仿宋" w:hAnsi="仿宋" w:eastAsia="仿宋" w:cs="仿宋"/>
          <w:sz w:val="32"/>
          <w:szCs w:val="32"/>
          <w:lang w:val="en-US" w:eastAsia="zh-CN"/>
        </w:rPr>
        <w:t>68</w:t>
      </w:r>
      <w:r>
        <w:rPr>
          <w:rFonts w:hint="eastAsia" w:ascii="仿宋" w:hAnsi="仿宋" w:eastAsia="仿宋" w:cs="仿宋"/>
          <w:sz w:val="32"/>
          <w:szCs w:val="32"/>
        </w:rPr>
        <w:t>人，退休人</w:t>
      </w:r>
      <w:r>
        <w:rPr>
          <w:rFonts w:hint="eastAsia" w:ascii="仿宋" w:hAnsi="仿宋" w:eastAsia="仿宋" w:cs="仿宋"/>
          <w:sz w:val="32"/>
          <w:szCs w:val="32"/>
          <w:lang w:val="en-US" w:eastAsia="zh-CN"/>
        </w:rPr>
        <w:t>员137</w:t>
      </w:r>
      <w:r>
        <w:rPr>
          <w:rFonts w:hint="eastAsia" w:ascii="仿宋" w:hAnsi="仿宋" w:eastAsia="仿宋" w:cs="仿宋"/>
          <w:sz w:val="32"/>
          <w:szCs w:val="32"/>
        </w:rPr>
        <w:t>人。</w:t>
      </w:r>
    </w:p>
    <w:p w14:paraId="768FBA44">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2.主要职能</w:t>
      </w:r>
    </w:p>
    <w:p w14:paraId="1D7E655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（1）贯彻执行《教育法》、《教师法》和有关法规政策</w:t>
      </w:r>
    </w:p>
    <w:p w14:paraId="4CB8B79C">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（2）承担在校学生的文化科学知识、思想品德、体育、美育及劳动技能教育</w:t>
      </w:r>
    </w:p>
    <w:p w14:paraId="4E5B7A69">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（3）负责学校教师的政治思想教育和业务培训</w:t>
      </w:r>
    </w:p>
    <w:p w14:paraId="3BA318B7">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（4）负责在校师生的安全保卫及后勤服务</w:t>
      </w:r>
    </w:p>
    <w:p w14:paraId="52B799F8">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（5）完成市教育局交办的其他工作</w:t>
      </w:r>
    </w:p>
    <w:p w14:paraId="6055A8B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3.内设机构</w:t>
      </w:r>
    </w:p>
    <w:p w14:paraId="4EEE8C27">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内设办公室、</w:t>
      </w:r>
      <w:r>
        <w:rPr>
          <w:rFonts w:hint="eastAsia" w:ascii="仿宋" w:hAnsi="仿宋" w:eastAsia="仿宋" w:cs="仿宋"/>
          <w:sz w:val="32"/>
          <w:szCs w:val="32"/>
          <w:lang w:val="en-US" w:eastAsia="zh-CN"/>
        </w:rPr>
        <w:t>教务</w:t>
      </w:r>
      <w:r>
        <w:rPr>
          <w:rFonts w:hint="eastAsia" w:ascii="仿宋" w:hAnsi="仿宋" w:eastAsia="仿宋" w:cs="仿宋"/>
          <w:sz w:val="32"/>
          <w:szCs w:val="32"/>
        </w:rPr>
        <w:t>处、总务处、德育处、纪检室</w:t>
      </w:r>
      <w:r>
        <w:rPr>
          <w:rFonts w:hint="eastAsia" w:ascii="仿宋" w:hAnsi="仿宋" w:eastAsia="仿宋" w:cs="仿宋"/>
          <w:sz w:val="32"/>
          <w:szCs w:val="32"/>
          <w:lang w:val="en-US" w:eastAsia="zh-CN"/>
        </w:rPr>
        <w:t>5</w:t>
      </w:r>
      <w:r>
        <w:rPr>
          <w:rFonts w:hint="eastAsia" w:ascii="仿宋" w:hAnsi="仿宋" w:eastAsia="仿宋" w:cs="仿宋"/>
          <w:sz w:val="32"/>
          <w:szCs w:val="32"/>
        </w:rPr>
        <w:t>个机构</w:t>
      </w:r>
    </w:p>
    <w:p w14:paraId="479EE426">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（二）部门整体支出规模、使用方向和主要内容、涉及范围</w:t>
      </w:r>
    </w:p>
    <w:p w14:paraId="0FB27573">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年度我校总收入</w:t>
      </w:r>
      <w:r>
        <w:rPr>
          <w:rFonts w:hint="eastAsia" w:ascii="仿宋" w:hAnsi="仿宋" w:eastAsia="仿宋" w:cs="仿宋"/>
          <w:sz w:val="32"/>
          <w:szCs w:val="32"/>
          <w:lang w:val="en-US" w:eastAsia="zh-CN"/>
        </w:rPr>
        <w:t>2546.98</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2293.36</w:t>
      </w:r>
      <w:r>
        <w:rPr>
          <w:rFonts w:hint="eastAsia" w:ascii="仿宋" w:hAnsi="仿宋" w:eastAsia="仿宋" w:cs="仿宋"/>
          <w:sz w:val="32"/>
          <w:szCs w:val="32"/>
        </w:rPr>
        <w:t>万元，事业收入</w:t>
      </w:r>
      <w:r>
        <w:rPr>
          <w:rFonts w:hint="eastAsia" w:ascii="仿宋" w:hAnsi="仿宋" w:eastAsia="仿宋" w:cs="仿宋"/>
          <w:sz w:val="32"/>
          <w:szCs w:val="32"/>
          <w:lang w:val="en-US" w:eastAsia="zh-CN"/>
        </w:rPr>
        <w:t>21.44</w:t>
      </w:r>
      <w:r>
        <w:rPr>
          <w:rFonts w:hint="eastAsia" w:ascii="仿宋" w:hAnsi="仿宋" w:eastAsia="仿宋" w:cs="仿宋"/>
          <w:sz w:val="32"/>
          <w:szCs w:val="32"/>
        </w:rPr>
        <w:t>万元，其他收入</w:t>
      </w:r>
      <w:r>
        <w:rPr>
          <w:rFonts w:hint="eastAsia" w:ascii="仿宋" w:hAnsi="仿宋" w:eastAsia="仿宋" w:cs="仿宋"/>
          <w:sz w:val="32"/>
          <w:szCs w:val="32"/>
          <w:lang w:val="en-US" w:eastAsia="zh-CN"/>
        </w:rPr>
        <w:t>232.18</w:t>
      </w:r>
      <w:r>
        <w:rPr>
          <w:rFonts w:hint="eastAsia" w:ascii="仿宋" w:hAnsi="仿宋" w:eastAsia="仿宋" w:cs="仿宋"/>
          <w:sz w:val="32"/>
          <w:szCs w:val="32"/>
        </w:rPr>
        <w:t>万元。</w:t>
      </w:r>
    </w:p>
    <w:p w14:paraId="0CF2B0FC">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年度我校总支出</w:t>
      </w:r>
      <w:r>
        <w:rPr>
          <w:rFonts w:hint="eastAsia" w:ascii="仿宋" w:hAnsi="仿宋" w:eastAsia="仿宋" w:cs="仿宋"/>
          <w:sz w:val="32"/>
          <w:szCs w:val="32"/>
          <w:lang w:val="en-US" w:eastAsia="zh-CN"/>
        </w:rPr>
        <w:t>2376.98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2376.98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170</w:t>
      </w:r>
      <w:r>
        <w:rPr>
          <w:rFonts w:hint="eastAsia" w:ascii="仿宋" w:hAnsi="仿宋" w:eastAsia="仿宋" w:cs="仿宋"/>
          <w:sz w:val="32"/>
          <w:szCs w:val="32"/>
        </w:rPr>
        <w:t>万元。</w:t>
      </w:r>
    </w:p>
    <w:p w14:paraId="6244840F">
      <w:pPr>
        <w:pStyle w:val="16"/>
        <w:widowControl/>
        <w:ind w:firstLine="640"/>
        <w:rPr>
          <w:rFonts w:eastAsia="黑体"/>
          <w:sz w:val="32"/>
          <w:szCs w:val="32"/>
        </w:rPr>
      </w:pPr>
      <w:r>
        <w:rPr>
          <w:rFonts w:eastAsia="黑体"/>
          <w:sz w:val="32"/>
          <w:szCs w:val="32"/>
        </w:rPr>
        <w:t>二、一般公共预算支出情况</w:t>
      </w:r>
    </w:p>
    <w:p w14:paraId="5A05423F">
      <w:pPr>
        <w:pStyle w:val="16"/>
        <w:widowControl/>
        <w:ind w:firstLine="643"/>
        <w:rPr>
          <w:rFonts w:eastAsia="楷体"/>
          <w:b/>
          <w:sz w:val="32"/>
          <w:szCs w:val="32"/>
        </w:rPr>
      </w:pPr>
      <w:r>
        <w:rPr>
          <w:rFonts w:eastAsia="楷体"/>
          <w:b/>
          <w:sz w:val="32"/>
          <w:szCs w:val="32"/>
        </w:rPr>
        <w:t>（一）基本支出情况</w:t>
      </w:r>
    </w:p>
    <w:p w14:paraId="6F99548B">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本部门基本支出主要用于维持学校正常运转发生的基本支出和完成各项教育教学任务而发生的各项支出。</w:t>
      </w:r>
    </w:p>
    <w:p w14:paraId="26A40652">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本年一般公共预算基本支出</w:t>
      </w:r>
      <w:r>
        <w:rPr>
          <w:rFonts w:hint="eastAsia" w:ascii="仿宋" w:hAnsi="仿宋" w:eastAsia="仿宋" w:cs="仿宋"/>
          <w:sz w:val="32"/>
          <w:szCs w:val="32"/>
          <w:lang w:val="en-US" w:eastAsia="zh-CN"/>
        </w:rPr>
        <w:t>2376.98</w:t>
      </w:r>
      <w:r>
        <w:rPr>
          <w:rFonts w:hint="eastAsia" w:ascii="仿宋" w:hAnsi="仿宋" w:eastAsia="仿宋" w:cs="仿宋"/>
          <w:sz w:val="32"/>
          <w:szCs w:val="32"/>
        </w:rPr>
        <w:t>万元，其中：</w:t>
      </w:r>
    </w:p>
    <w:p w14:paraId="08943E04">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1.人员经费支出：</w:t>
      </w:r>
      <w:r>
        <w:rPr>
          <w:rFonts w:hint="eastAsia" w:ascii="仿宋" w:hAnsi="仿宋" w:eastAsia="仿宋" w:cs="仿宋"/>
          <w:sz w:val="32"/>
          <w:szCs w:val="32"/>
          <w:lang w:val="en-US" w:eastAsia="zh-CN"/>
        </w:rPr>
        <w:t>1731.74</w:t>
      </w:r>
      <w:r>
        <w:rPr>
          <w:rFonts w:hint="eastAsia" w:ascii="仿宋" w:hAnsi="仿宋" w:eastAsia="仿宋" w:cs="仿宋"/>
          <w:sz w:val="32"/>
          <w:szCs w:val="32"/>
        </w:rPr>
        <w:t>万元，占一般公共预算支出的</w:t>
      </w:r>
      <w:r>
        <w:rPr>
          <w:rFonts w:hint="eastAsia" w:ascii="仿宋" w:hAnsi="仿宋" w:eastAsia="仿宋" w:cs="仿宋"/>
          <w:sz w:val="32"/>
          <w:szCs w:val="32"/>
          <w:lang w:val="en-US" w:eastAsia="zh-CN"/>
        </w:rPr>
        <w:t>72.85</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1315.97</w:t>
      </w:r>
      <w:r>
        <w:rPr>
          <w:rFonts w:hint="eastAsia" w:ascii="仿宋" w:hAnsi="仿宋" w:eastAsia="仿宋" w:cs="仿宋"/>
          <w:sz w:val="32"/>
          <w:szCs w:val="32"/>
        </w:rPr>
        <w:t>万元，对个人和家庭补助支出</w:t>
      </w:r>
      <w:r>
        <w:rPr>
          <w:rFonts w:hint="eastAsia" w:ascii="仿宋" w:hAnsi="仿宋" w:eastAsia="仿宋" w:cs="仿宋"/>
          <w:sz w:val="32"/>
          <w:szCs w:val="32"/>
          <w:lang w:val="en-US" w:eastAsia="zh-CN"/>
        </w:rPr>
        <w:t>413.68</w:t>
      </w:r>
      <w:r>
        <w:rPr>
          <w:rFonts w:hint="eastAsia" w:ascii="仿宋" w:hAnsi="仿宋" w:eastAsia="仿宋" w:cs="仿宋"/>
          <w:sz w:val="32"/>
          <w:szCs w:val="32"/>
        </w:rPr>
        <w:t>万元。</w:t>
      </w:r>
    </w:p>
    <w:p w14:paraId="219E2651">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2.日常公用支出:</w:t>
      </w:r>
      <w:r>
        <w:rPr>
          <w:rFonts w:hint="eastAsia" w:ascii="仿宋" w:hAnsi="仿宋" w:eastAsia="仿宋" w:cs="仿宋"/>
          <w:sz w:val="32"/>
          <w:szCs w:val="32"/>
          <w:lang w:val="en-US" w:eastAsia="zh-CN"/>
        </w:rPr>
        <w:t>645.24</w:t>
      </w:r>
      <w:r>
        <w:rPr>
          <w:rFonts w:hint="eastAsia" w:ascii="仿宋" w:hAnsi="仿宋" w:eastAsia="仿宋" w:cs="仿宋"/>
          <w:sz w:val="32"/>
          <w:szCs w:val="32"/>
        </w:rPr>
        <w:t>万元,占一般公共预算支出的</w:t>
      </w:r>
      <w:r>
        <w:rPr>
          <w:rFonts w:hint="eastAsia" w:ascii="仿宋" w:hAnsi="仿宋" w:eastAsia="仿宋" w:cs="仿宋"/>
          <w:sz w:val="32"/>
          <w:szCs w:val="32"/>
          <w:lang w:val="en-US" w:eastAsia="zh-CN"/>
        </w:rPr>
        <w:t>27.15</w:t>
      </w:r>
      <w:r>
        <w:rPr>
          <w:rFonts w:hint="eastAsia" w:ascii="仿宋" w:hAnsi="仿宋" w:eastAsia="仿宋" w:cs="仿宋"/>
          <w:sz w:val="32"/>
          <w:szCs w:val="32"/>
        </w:rPr>
        <w:t>%，用于我校正常基本运行而发生的费用，包括办公费、印刷费、水费、电费、物业管理费、差旅费、维修（护）费、培训费、租赁费、专用材料、福利费、其他商品和服务支出（用于学生活动的经费）、其他资本性支出。</w:t>
      </w:r>
    </w:p>
    <w:p w14:paraId="73251685">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3.三公经费的使用和管理情况</w:t>
      </w:r>
    </w:p>
    <w:p w14:paraId="3CB20774">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年部门预算三公经费总支出0万元。</w:t>
      </w:r>
    </w:p>
    <w:p w14:paraId="40A4E097">
      <w:pPr>
        <w:pStyle w:val="16"/>
        <w:widowControl/>
        <w:spacing w:line="60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年部门决算三公经费总支出0万元。</w:t>
      </w:r>
    </w:p>
    <w:p w14:paraId="30C0E355">
      <w:pPr>
        <w:pStyle w:val="16"/>
        <w:widowControl/>
        <w:ind w:firstLine="643"/>
        <w:rPr>
          <w:rFonts w:eastAsia="楷体"/>
          <w:b/>
          <w:sz w:val="32"/>
          <w:szCs w:val="32"/>
        </w:rPr>
      </w:pPr>
      <w:r>
        <w:rPr>
          <w:rFonts w:eastAsia="楷体"/>
          <w:b/>
          <w:sz w:val="32"/>
          <w:szCs w:val="32"/>
        </w:rPr>
        <w:t>（二）项目支出情况</w:t>
      </w:r>
    </w:p>
    <w:p w14:paraId="7A3A9666">
      <w:pPr>
        <w:widowControl/>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1.学校</w:t>
      </w:r>
      <w:r>
        <w:rPr>
          <w:rFonts w:hint="eastAsia" w:ascii="仿宋" w:hAnsi="仿宋" w:eastAsia="仿宋"/>
          <w:sz w:val="32"/>
          <w:szCs w:val="32"/>
          <w:lang w:val="en-US" w:eastAsia="zh-CN"/>
        </w:rPr>
        <w:t>学生宿舍楼改扩建</w:t>
      </w:r>
      <w:r>
        <w:rPr>
          <w:rFonts w:hint="eastAsia" w:ascii="仿宋" w:hAnsi="仿宋" w:eastAsia="仿宋"/>
          <w:sz w:val="32"/>
          <w:szCs w:val="32"/>
        </w:rPr>
        <w:t>，资金</w:t>
      </w:r>
      <w:r>
        <w:rPr>
          <w:rFonts w:hint="eastAsia" w:ascii="仿宋" w:hAnsi="仿宋" w:eastAsia="仿宋"/>
          <w:sz w:val="32"/>
          <w:szCs w:val="32"/>
          <w:lang w:val="en-US" w:eastAsia="zh-CN"/>
        </w:rPr>
        <w:t>170</w:t>
      </w:r>
      <w:r>
        <w:rPr>
          <w:rFonts w:hint="eastAsia" w:ascii="仿宋" w:hAnsi="仿宋" w:eastAsia="仿宋"/>
          <w:sz w:val="32"/>
          <w:szCs w:val="32"/>
        </w:rPr>
        <w:t>万元。</w:t>
      </w:r>
    </w:p>
    <w:p w14:paraId="2E600857">
      <w:pPr>
        <w:widowControl/>
        <w:spacing w:line="600" w:lineRule="exact"/>
        <w:ind w:firstLine="640" w:firstLineChars="200"/>
        <w:jc w:val="left"/>
        <w:rPr>
          <w:rFonts w:hint="eastAsia" w:ascii="仿宋" w:hAnsi="仿宋" w:eastAsia="仿宋"/>
          <w:sz w:val="32"/>
          <w:szCs w:val="32"/>
        </w:rPr>
      </w:pPr>
    </w:p>
    <w:p w14:paraId="260FFA90">
      <w:pPr>
        <w:widowControl/>
        <w:spacing w:line="600" w:lineRule="exact"/>
        <w:ind w:firstLine="640" w:firstLineChars="200"/>
        <w:jc w:val="left"/>
        <w:rPr>
          <w:rFonts w:hint="eastAsia" w:ascii="仿宋" w:hAnsi="仿宋" w:eastAsia="仿宋"/>
          <w:sz w:val="32"/>
          <w:szCs w:val="32"/>
        </w:rPr>
      </w:pPr>
    </w:p>
    <w:p w14:paraId="74551EE4">
      <w:pPr>
        <w:widowControl/>
        <w:spacing w:line="600" w:lineRule="exact"/>
        <w:ind w:firstLine="640" w:firstLineChars="200"/>
        <w:jc w:val="left"/>
        <w:rPr>
          <w:rFonts w:hint="eastAsia" w:ascii="仿宋" w:hAnsi="仿宋" w:eastAsia="仿宋"/>
          <w:sz w:val="32"/>
          <w:szCs w:val="32"/>
        </w:rPr>
      </w:pPr>
    </w:p>
    <w:p w14:paraId="5EC4CD72">
      <w:pPr>
        <w:pStyle w:val="16"/>
        <w:widowControl/>
        <w:ind w:firstLine="640"/>
        <w:rPr>
          <w:rFonts w:eastAsia="黑体"/>
          <w:sz w:val="32"/>
          <w:szCs w:val="32"/>
        </w:rPr>
      </w:pPr>
      <w:r>
        <w:rPr>
          <w:rFonts w:eastAsia="黑体"/>
          <w:sz w:val="32"/>
          <w:szCs w:val="32"/>
        </w:rPr>
        <w:t>三、部门整体支出绩效情况</w:t>
      </w:r>
    </w:p>
    <w:p w14:paraId="27B99FC0">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（一）学校取得的成绩</w:t>
      </w:r>
    </w:p>
    <w:p w14:paraId="09CF29AB">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1、领导班子牢固树立和践行正确政绩观，勇于攻坚克难，在各项工作上取得了较为显著的实绩。</w:t>
      </w:r>
    </w:p>
    <w:p w14:paraId="7A756EA5">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2、生源数量质量稳定上升。</w:t>
      </w:r>
    </w:p>
    <w:p w14:paraId="358DFFDA">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3、教育教学质量稳步提升。</w:t>
      </w:r>
    </w:p>
    <w:p w14:paraId="6EBFEF21">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4、校园文化建设成果丰硕。</w:t>
      </w:r>
    </w:p>
    <w:p w14:paraId="76889A39">
      <w:pPr>
        <w:widowControl/>
        <w:spacing w:line="600" w:lineRule="exact"/>
        <w:ind w:firstLine="645"/>
        <w:jc w:val="lef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5、</w:t>
      </w:r>
      <w:r>
        <w:rPr>
          <w:rFonts w:hint="default" w:ascii="仿宋" w:hAnsi="仿宋" w:eastAsia="仿宋"/>
          <w:color w:val="000000"/>
          <w:sz w:val="32"/>
          <w:szCs w:val="32"/>
          <w:lang w:val="en-US" w:eastAsia="zh-CN"/>
        </w:rPr>
        <w:t>校园硬件设施日益完善。</w:t>
      </w:r>
    </w:p>
    <w:p w14:paraId="19193DC5">
      <w:pPr>
        <w:widowControl/>
        <w:spacing w:line="600" w:lineRule="exact"/>
        <w:ind w:firstLine="645"/>
        <w:jc w:val="left"/>
        <w:rPr>
          <w:rFonts w:hint="eastAsia" w:ascii="仿宋" w:hAnsi="仿宋" w:eastAsia="仿宋"/>
          <w:color w:val="000000"/>
          <w:sz w:val="32"/>
          <w:szCs w:val="32"/>
          <w:lang w:val="en-US" w:eastAsia="zh-CN"/>
        </w:rPr>
      </w:pPr>
    </w:p>
    <w:p w14:paraId="0DF1CB10">
      <w:pPr>
        <w:widowControl/>
        <w:spacing w:line="600" w:lineRule="exact"/>
        <w:ind w:firstLine="645"/>
        <w:jc w:val="left"/>
        <w:rPr>
          <w:rFonts w:hint="eastAsia" w:ascii="仿宋" w:hAnsi="仿宋" w:eastAsia="仿宋"/>
          <w:color w:val="000000"/>
          <w:sz w:val="32"/>
          <w:szCs w:val="32"/>
          <w:lang w:val="en-US" w:eastAsia="zh-CN"/>
        </w:rPr>
      </w:pPr>
      <w:r>
        <w:rPr>
          <w:rFonts w:hint="eastAsia" w:ascii="仿宋" w:hAnsi="仿宋" w:eastAsia="仿宋"/>
          <w:color w:val="000000"/>
          <w:sz w:val="32"/>
          <w:szCs w:val="32"/>
        </w:rPr>
        <w:t>（二）产出指标</w:t>
      </w:r>
      <w:r>
        <w:rPr>
          <w:rFonts w:hint="eastAsia" w:ascii="仿宋" w:hAnsi="仿宋" w:eastAsia="仿宋"/>
          <w:color w:val="000000"/>
          <w:sz w:val="32"/>
          <w:szCs w:val="32"/>
          <w:lang w:val="en-US" w:eastAsia="zh-CN"/>
        </w:rPr>
        <w:t xml:space="preserve"> </w:t>
      </w:r>
    </w:p>
    <w:p w14:paraId="7FEB21FB">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1.市级及以上奖项数：</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年度获奖</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项，超出年度指标5项，年度完成率达到150%。</w:t>
      </w:r>
    </w:p>
    <w:p w14:paraId="1263D9EC">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2.年度毕业生人数：</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年度应毕业</w:t>
      </w:r>
      <w:r>
        <w:rPr>
          <w:rFonts w:hint="eastAsia" w:ascii="仿宋" w:hAnsi="仿宋" w:eastAsia="仿宋"/>
          <w:color w:val="000000"/>
          <w:sz w:val="32"/>
          <w:szCs w:val="32"/>
          <w:lang w:val="en-US" w:eastAsia="zh-CN"/>
        </w:rPr>
        <w:t>254</w:t>
      </w:r>
      <w:r>
        <w:rPr>
          <w:rFonts w:hint="eastAsia" w:ascii="仿宋" w:hAnsi="仿宋" w:eastAsia="仿宋"/>
          <w:color w:val="000000"/>
          <w:sz w:val="32"/>
          <w:szCs w:val="32"/>
        </w:rPr>
        <w:t>人，实际毕业</w:t>
      </w:r>
      <w:r>
        <w:rPr>
          <w:rFonts w:hint="eastAsia" w:ascii="仿宋" w:hAnsi="仿宋" w:eastAsia="仿宋"/>
          <w:color w:val="000000"/>
          <w:sz w:val="32"/>
          <w:szCs w:val="32"/>
          <w:lang w:val="en-US" w:eastAsia="zh-CN"/>
        </w:rPr>
        <w:t>254</w:t>
      </w:r>
      <w:r>
        <w:rPr>
          <w:rFonts w:hint="eastAsia" w:ascii="仿宋" w:hAnsi="仿宋" w:eastAsia="仿宋"/>
          <w:color w:val="000000"/>
          <w:sz w:val="32"/>
          <w:szCs w:val="32"/>
        </w:rPr>
        <w:t>人，年度完成率100%。</w:t>
      </w:r>
    </w:p>
    <w:p w14:paraId="548FD65C">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3.招生人数：</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年度教育局指标数</w:t>
      </w:r>
      <w:r>
        <w:rPr>
          <w:rFonts w:hint="eastAsia" w:ascii="仿宋" w:hAnsi="仿宋" w:eastAsia="仿宋"/>
          <w:color w:val="000000"/>
          <w:sz w:val="32"/>
          <w:szCs w:val="32"/>
          <w:lang w:val="en-US" w:eastAsia="zh-CN"/>
        </w:rPr>
        <w:t>440</w:t>
      </w:r>
      <w:r>
        <w:rPr>
          <w:rFonts w:hint="eastAsia" w:ascii="仿宋" w:hAnsi="仿宋" w:eastAsia="仿宋"/>
          <w:color w:val="000000"/>
          <w:sz w:val="32"/>
          <w:szCs w:val="32"/>
        </w:rPr>
        <w:t>人，实际完成</w:t>
      </w:r>
      <w:r>
        <w:rPr>
          <w:rFonts w:hint="eastAsia" w:ascii="仿宋" w:hAnsi="仿宋" w:eastAsia="仿宋"/>
          <w:color w:val="000000"/>
          <w:sz w:val="32"/>
          <w:szCs w:val="32"/>
          <w:lang w:val="en-US" w:eastAsia="zh-CN"/>
        </w:rPr>
        <w:t>460</w:t>
      </w:r>
      <w:r>
        <w:rPr>
          <w:rFonts w:hint="eastAsia" w:ascii="仿宋" w:hAnsi="仿宋" w:eastAsia="仿宋"/>
          <w:color w:val="000000"/>
          <w:sz w:val="32"/>
          <w:szCs w:val="32"/>
        </w:rPr>
        <w:t>人，预算完成率达到</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08%。</w:t>
      </w:r>
    </w:p>
    <w:p w14:paraId="3F686871">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4.教师培训人数：本年预算培训人数</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人次，实际培训</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人次，预算完成率达到1</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w:t>
      </w:r>
    </w:p>
    <w:p w14:paraId="74DC71F5">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5.教师队伍建设完成率：本年计划教师队伍建设达到90%，实际建设完成率为92%。</w:t>
      </w:r>
    </w:p>
    <w:p w14:paraId="12F49905">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6.学考合格率：本年学考合格率计划完成95%，实际完成100%。</w:t>
      </w:r>
    </w:p>
    <w:p w14:paraId="2B6D0646">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7.政府采购计划完成率：202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年政府采购计划完成率90%，实际完成率达100%。</w:t>
      </w:r>
    </w:p>
    <w:p w14:paraId="5AB9C761">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8.招生计划完成率：计划完成招生任务的90%，实际完成率100%.</w:t>
      </w:r>
    </w:p>
    <w:p w14:paraId="30AE3441">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9.教学获奖率：计划完成80%，实际完成100%。</w:t>
      </w:r>
    </w:p>
    <w:p w14:paraId="7EE205BE">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10.各项工作完成时限：所有工作均在</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年12月31日前全部完成。</w:t>
      </w:r>
    </w:p>
    <w:p w14:paraId="031AD4AF">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（三）效益指标</w:t>
      </w:r>
    </w:p>
    <w:p w14:paraId="45D2A7D1">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1.存非税收入：计划存入</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万元，实际存入</w:t>
      </w:r>
      <w:r>
        <w:rPr>
          <w:rFonts w:hint="eastAsia" w:ascii="仿宋" w:hAnsi="仿宋" w:eastAsia="仿宋"/>
          <w:color w:val="000000"/>
          <w:sz w:val="32"/>
          <w:szCs w:val="32"/>
          <w:lang w:val="en-US" w:eastAsia="zh-CN"/>
        </w:rPr>
        <w:t>47</w:t>
      </w:r>
      <w:r>
        <w:rPr>
          <w:rFonts w:hint="eastAsia" w:ascii="仿宋" w:hAnsi="仿宋" w:eastAsia="仿宋"/>
          <w:color w:val="000000"/>
          <w:sz w:val="32"/>
          <w:szCs w:val="32"/>
        </w:rPr>
        <w:t>万元，完成率达到</w:t>
      </w:r>
      <w:r>
        <w:rPr>
          <w:rFonts w:hint="eastAsia" w:ascii="仿宋" w:hAnsi="仿宋" w:eastAsia="仿宋"/>
          <w:color w:val="000000"/>
          <w:sz w:val="32"/>
          <w:szCs w:val="32"/>
          <w:lang w:val="en-US" w:eastAsia="zh-CN"/>
        </w:rPr>
        <w:t>117.5</w:t>
      </w:r>
      <w:r>
        <w:rPr>
          <w:rFonts w:hint="eastAsia" w:ascii="仿宋" w:hAnsi="仿宋" w:eastAsia="仿宋"/>
          <w:color w:val="000000"/>
          <w:sz w:val="32"/>
          <w:szCs w:val="32"/>
        </w:rPr>
        <w:t>%。</w:t>
      </w:r>
    </w:p>
    <w:p w14:paraId="60945E46">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2.教育教学质量：计划达到95%，实际达到95%，完成率达到100%。</w:t>
      </w:r>
    </w:p>
    <w:p w14:paraId="4141B25A">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3.职工工资福利：计划保资维稳，实际全部按时发放。</w:t>
      </w:r>
    </w:p>
    <w:p w14:paraId="5DB61542">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4.学校绿化覆盖率：计划达到90%，实际达到90%。</w:t>
      </w:r>
    </w:p>
    <w:p w14:paraId="7F2034FE">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（四）满意度指标</w:t>
      </w:r>
    </w:p>
    <w:p w14:paraId="5F595C2F">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1.服务对象满意度指标：学校从师德师风教育、学校环境与基础设施建设、学生管理工作模式、教育教学模式四个方面形成问卷调查，力争社会公众或服务对象满意度达到95%以上，实际达到95%，完成率为100%。</w:t>
      </w:r>
    </w:p>
    <w:p w14:paraId="0E6A9C72">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rPr>
        <w:t>（五）成本指标</w:t>
      </w:r>
    </w:p>
    <w:p w14:paraId="3D1C2D15">
      <w:pPr>
        <w:widowControl/>
        <w:spacing w:line="600" w:lineRule="exact"/>
        <w:ind w:firstLine="645"/>
        <w:jc w:val="left"/>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教育资金使用合理，办学条件得到改善和优化</w:t>
      </w:r>
    </w:p>
    <w:p w14:paraId="04F9C806">
      <w:pPr>
        <w:pStyle w:val="16"/>
        <w:widowControl/>
        <w:ind w:firstLine="640"/>
        <w:rPr>
          <w:rFonts w:eastAsia="黑体"/>
          <w:sz w:val="32"/>
          <w:szCs w:val="32"/>
        </w:rPr>
      </w:pPr>
      <w:r>
        <w:rPr>
          <w:rFonts w:hint="eastAsia" w:eastAsia="黑体"/>
          <w:sz w:val="32"/>
          <w:szCs w:val="32"/>
          <w:lang w:val="en-US" w:eastAsia="zh-CN"/>
        </w:rPr>
        <w:t>四</w:t>
      </w:r>
      <w:r>
        <w:rPr>
          <w:rFonts w:eastAsia="黑体"/>
          <w:sz w:val="32"/>
          <w:szCs w:val="32"/>
        </w:rPr>
        <w:t>、存在的问题及原因分析</w:t>
      </w:r>
    </w:p>
    <w:p w14:paraId="488E7E63">
      <w:pPr>
        <w:widowControl/>
        <w:spacing w:line="600" w:lineRule="exact"/>
        <w:ind w:firstLine="645"/>
        <w:jc w:val="left"/>
        <w:rPr>
          <w:rFonts w:ascii="仿宋" w:hAnsi="仿宋" w:eastAsia="仿宋"/>
          <w:color w:val="000000"/>
          <w:sz w:val="32"/>
          <w:szCs w:val="32"/>
        </w:rPr>
      </w:pPr>
      <w:r>
        <w:rPr>
          <w:rFonts w:ascii="仿宋" w:hAnsi="仿宋" w:eastAsia="仿宋"/>
          <w:color w:val="000000"/>
          <w:sz w:val="32"/>
          <w:szCs w:val="32"/>
        </w:rPr>
        <w:t>（一）</w:t>
      </w:r>
      <w:r>
        <w:rPr>
          <w:rFonts w:hint="eastAsia" w:ascii="仿宋" w:hAnsi="仿宋" w:eastAsia="仿宋"/>
          <w:color w:val="000000"/>
          <w:sz w:val="32"/>
          <w:szCs w:val="32"/>
        </w:rPr>
        <w:t>预决算资金相差较大</w:t>
      </w:r>
      <w:r>
        <w:rPr>
          <w:rFonts w:ascii="仿宋" w:hAnsi="仿宋" w:eastAsia="仿宋"/>
          <w:color w:val="000000"/>
          <w:sz w:val="32"/>
          <w:szCs w:val="32"/>
        </w:rPr>
        <w:t>。本年度</w:t>
      </w:r>
      <w:r>
        <w:rPr>
          <w:rFonts w:hint="eastAsia" w:ascii="仿宋" w:hAnsi="仿宋" w:eastAsia="仿宋"/>
          <w:color w:val="000000"/>
          <w:sz w:val="32"/>
          <w:szCs w:val="32"/>
        </w:rPr>
        <w:t>决算超预算</w:t>
      </w:r>
      <w:r>
        <w:rPr>
          <w:rFonts w:hint="eastAsia" w:ascii="仿宋" w:hAnsi="仿宋" w:eastAsia="仿宋"/>
          <w:color w:val="000000"/>
          <w:sz w:val="32"/>
          <w:szCs w:val="32"/>
          <w:lang w:val="en-US" w:eastAsia="zh-CN"/>
        </w:rPr>
        <w:t>556.1</w:t>
      </w:r>
      <w:r>
        <w:rPr>
          <w:rFonts w:hint="eastAsia" w:ascii="仿宋" w:hAnsi="仿宋" w:eastAsia="仿宋"/>
          <w:color w:val="000000"/>
          <w:sz w:val="32"/>
          <w:szCs w:val="32"/>
        </w:rPr>
        <w:t>万元，存在大差额的原因</w:t>
      </w:r>
      <w:r>
        <w:rPr>
          <w:rFonts w:hint="eastAsia" w:ascii="仿宋" w:hAnsi="仿宋" w:eastAsia="仿宋"/>
          <w:color w:val="000000"/>
          <w:sz w:val="32"/>
          <w:szCs w:val="32"/>
          <w:lang w:eastAsia="zh-CN"/>
        </w:rPr>
        <w:t>，</w:t>
      </w:r>
      <w:r>
        <w:rPr>
          <w:rFonts w:hint="eastAsia" w:ascii="仿宋" w:hAnsi="仿宋" w:eastAsia="仿宋"/>
          <w:color w:val="000000"/>
          <w:sz w:val="32"/>
          <w:szCs w:val="32"/>
        </w:rPr>
        <w:t>初一新生人数增加，其他收入增加。事业收入减少是未全额下拨。</w:t>
      </w:r>
    </w:p>
    <w:p w14:paraId="31AFA5CC">
      <w:pPr>
        <w:widowControl/>
        <w:spacing w:line="600" w:lineRule="exact"/>
        <w:ind w:firstLine="645"/>
        <w:jc w:val="left"/>
        <w:rPr>
          <w:rFonts w:ascii="仿宋" w:hAnsi="仿宋" w:eastAsia="仿宋"/>
          <w:color w:val="000000"/>
          <w:sz w:val="32"/>
          <w:szCs w:val="32"/>
        </w:rPr>
      </w:pPr>
      <w:r>
        <w:rPr>
          <w:rFonts w:ascii="仿宋" w:hAnsi="仿宋" w:eastAsia="仿宋"/>
          <w:color w:val="000000"/>
          <w:sz w:val="32"/>
          <w:szCs w:val="32"/>
        </w:rPr>
        <w:t>（二）部门整体支出相比专项支出而言，社会效益较好，经济效益不明显。业务工作分项</w:t>
      </w:r>
      <w:r>
        <w:rPr>
          <w:rFonts w:hint="eastAsia" w:ascii="仿宋" w:hAnsi="仿宋" w:eastAsia="仿宋"/>
          <w:color w:val="000000"/>
          <w:sz w:val="32"/>
          <w:szCs w:val="32"/>
        </w:rPr>
        <w:t>不</w:t>
      </w:r>
      <w:r>
        <w:rPr>
          <w:rFonts w:ascii="仿宋" w:hAnsi="仿宋" w:eastAsia="仿宋"/>
          <w:color w:val="000000"/>
          <w:sz w:val="32"/>
          <w:szCs w:val="32"/>
        </w:rPr>
        <w:t>清晰，不能很好的对比支出与成果，投入与产出效果，进而很难有针对性的发现问题，分析问题，提出解决方案。</w:t>
      </w:r>
    </w:p>
    <w:p w14:paraId="7F607A58">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（三）</w:t>
      </w:r>
      <w:r>
        <w:rPr>
          <w:rFonts w:ascii="仿宋" w:hAnsi="仿宋" w:eastAsia="仿宋"/>
          <w:color w:val="000000"/>
          <w:sz w:val="32"/>
          <w:szCs w:val="32"/>
        </w:rPr>
        <w:t>财务管理方面，会计核算还不够细致，对于有些能够细分的工作，未能详细分类核算，绩效评价基础数据不够精准。</w:t>
      </w:r>
    </w:p>
    <w:p w14:paraId="60DAB01D">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、下一步改进措施</w:t>
      </w:r>
    </w:p>
    <w:p w14:paraId="7E2C78EC">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（一）科学合理编制预算，严格执行预算</w:t>
      </w:r>
    </w:p>
    <w:p w14:paraId="6B4EE52E">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加强预算编制的前瞻性，按照</w:t>
      </w:r>
      <w:r>
        <w:rPr>
          <w:rFonts w:hint="eastAsia" w:ascii="仿宋" w:hAnsi="仿宋" w:eastAsia="仿宋"/>
          <w:color w:val="000000"/>
          <w:sz w:val="32"/>
          <w:szCs w:val="32"/>
          <w:lang w:eastAsia="zh-CN"/>
        </w:rPr>
        <w:t>《中华人民共和国预算法》</w:t>
      </w:r>
      <w:r>
        <w:rPr>
          <w:rFonts w:hint="eastAsia" w:ascii="仿宋" w:hAnsi="仿宋" w:eastAsia="仿宋"/>
          <w:color w:val="000000"/>
          <w:sz w:val="32"/>
          <w:szCs w:val="32"/>
        </w:rPr>
        <w:t>及其实施条例的相关规定，按政策规定及本校的发展规划，结合上一年度预算执行情况和本年度预算收支变化因素，科学、合理地编制本年预算草案，避免项目支出与基本支出划分不准或预算支出与实际执行出现较大偏差的情况。</w:t>
      </w:r>
    </w:p>
    <w:p w14:paraId="04E8B0E4">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（二）完善管理制度，进一步加强资产管理</w:t>
      </w:r>
    </w:p>
    <w:p w14:paraId="5508D937">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进一步贯彻落实中央</w:t>
      </w:r>
      <w:r>
        <w:rPr>
          <w:rFonts w:hint="eastAsia" w:ascii="仿宋" w:hAnsi="仿宋" w:eastAsia="仿宋"/>
          <w:color w:val="000000"/>
          <w:sz w:val="32"/>
          <w:szCs w:val="32"/>
          <w:lang w:eastAsia="zh-CN"/>
        </w:rPr>
        <w:t>八项规定</w:t>
      </w:r>
      <w:r>
        <w:rPr>
          <w:rFonts w:hint="eastAsia" w:ascii="仿宋" w:hAnsi="仿宋" w:eastAsia="仿宋"/>
          <w:color w:val="000000"/>
          <w:sz w:val="32"/>
          <w:szCs w:val="32"/>
        </w:rPr>
        <w:t>和湖南省委“九条规定”，建立本校“三公经费”等公务支出管理制度及厉行节约制度，加强经费审批和控制，规范支出标准与范围，并执行。严格按照《固定资产管理办法》的规定加强固定资产管理，及时登记、更新台账，加强资产卡片管理，年终前对各类实物资产进行全面盘点，确保账账、账实相符。</w:t>
      </w:r>
    </w:p>
    <w:p w14:paraId="2BEB5AC7">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（三）加强新行政单位会计制度和新预算法学习培训</w:t>
      </w:r>
    </w:p>
    <w:p w14:paraId="1FE742EE">
      <w:pPr>
        <w:widowControl/>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加强新</w:t>
      </w:r>
      <w:r>
        <w:rPr>
          <w:rFonts w:hint="eastAsia" w:ascii="仿宋" w:hAnsi="仿宋" w:eastAsia="仿宋"/>
          <w:color w:val="000000"/>
          <w:sz w:val="32"/>
          <w:szCs w:val="32"/>
          <w:lang w:eastAsia="zh-CN"/>
        </w:rPr>
        <w:t>《中华人民共和国预算法》</w:t>
      </w:r>
      <w:r>
        <w:rPr>
          <w:rFonts w:hint="eastAsia" w:ascii="仿宋" w:hAnsi="仿宋" w:eastAsia="仿宋"/>
          <w:color w:val="000000"/>
          <w:sz w:val="32"/>
          <w:szCs w:val="32"/>
        </w:rPr>
        <w:t>、《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364B01F2">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ascii="Times New Roman" w:hAnsi="Times New Roman" w:eastAsia="黑体"/>
          <w:sz w:val="32"/>
          <w:szCs w:val="32"/>
        </w:rPr>
        <w:t>、其他需要说明的情况</w:t>
      </w:r>
    </w:p>
    <w:p w14:paraId="40877418">
      <w:pPr>
        <w:widowControl/>
        <w:ind w:firstLine="640" w:firstLineChars="200"/>
        <w:rPr>
          <w:rFonts w:ascii="Times New Roman" w:hAnsi="Times New Roman" w:eastAsia="Times New Roman"/>
          <w:sz w:val="32"/>
          <w:szCs w:val="32"/>
        </w:rPr>
      </w:pPr>
      <w:r>
        <w:rPr>
          <w:rFonts w:ascii="Times New Roman" w:hAnsi="Times New Roman" w:eastAsia="Times New Roman"/>
          <w:sz w:val="32"/>
          <w:szCs w:val="32"/>
        </w:rPr>
        <w:t>无</w:t>
      </w:r>
    </w:p>
    <w:p w14:paraId="26BBC5B9">
      <w:pPr>
        <w:widowControl/>
        <w:spacing w:line="600" w:lineRule="exact"/>
        <w:jc w:val="left"/>
        <w:rPr>
          <w:rFonts w:hint="eastAsia" w:ascii="Times New Roman" w:hAnsi="Times New Roman" w:eastAsia="黑体"/>
          <w:sz w:val="32"/>
          <w:szCs w:val="32"/>
        </w:rPr>
      </w:pPr>
    </w:p>
    <w:p w14:paraId="6246CC79">
      <w:pPr>
        <w:widowControl/>
        <w:spacing w:line="600" w:lineRule="exact"/>
        <w:jc w:val="left"/>
        <w:rPr>
          <w:rFonts w:hint="eastAsia" w:ascii="Times New Roman" w:hAnsi="Times New Roman" w:eastAsia="黑体"/>
          <w:sz w:val="32"/>
          <w:szCs w:val="32"/>
        </w:rPr>
      </w:pPr>
    </w:p>
    <w:p w14:paraId="472653B9">
      <w:pPr>
        <w:widowControl/>
        <w:spacing w:line="600" w:lineRule="exact"/>
        <w:jc w:val="left"/>
        <w:rPr>
          <w:rFonts w:hint="eastAsia" w:ascii="Times New Roman" w:hAnsi="Times New Roman" w:eastAsia="黑体"/>
          <w:sz w:val="32"/>
          <w:szCs w:val="32"/>
        </w:rPr>
      </w:pPr>
    </w:p>
    <w:p w14:paraId="671201BD">
      <w:pPr>
        <w:widowControl/>
        <w:spacing w:line="600" w:lineRule="exact"/>
        <w:jc w:val="left"/>
        <w:rPr>
          <w:rFonts w:hint="eastAsia" w:ascii="Times New Roman" w:hAnsi="Times New Roman" w:eastAsia="黑体"/>
          <w:sz w:val="32"/>
          <w:szCs w:val="32"/>
        </w:rPr>
      </w:pPr>
    </w:p>
    <w:p w14:paraId="659A011C">
      <w:pPr>
        <w:widowControl/>
        <w:spacing w:line="600" w:lineRule="exact"/>
        <w:jc w:val="left"/>
        <w:rPr>
          <w:rFonts w:hint="eastAsia" w:ascii="Times New Roman" w:hAnsi="Times New Roman" w:eastAsia="黑体"/>
          <w:sz w:val="32"/>
          <w:szCs w:val="32"/>
        </w:rPr>
      </w:pPr>
    </w:p>
    <w:p w14:paraId="7199BE23">
      <w:pPr>
        <w:widowControl/>
        <w:spacing w:line="600" w:lineRule="exact"/>
        <w:jc w:val="left"/>
        <w:rPr>
          <w:rFonts w:hint="eastAsia" w:ascii="Times New Roman" w:hAnsi="Times New Roman" w:eastAsia="黑体"/>
          <w:sz w:val="32"/>
          <w:szCs w:val="32"/>
        </w:rPr>
      </w:pPr>
    </w:p>
    <w:p w14:paraId="6533426C">
      <w:pPr>
        <w:widowControl/>
        <w:spacing w:line="600" w:lineRule="exact"/>
        <w:jc w:val="left"/>
        <w:rPr>
          <w:rFonts w:hint="eastAsia" w:ascii="Times New Roman" w:hAnsi="Times New Roman" w:eastAsia="黑体"/>
          <w:sz w:val="32"/>
          <w:szCs w:val="32"/>
        </w:rPr>
      </w:pPr>
    </w:p>
    <w:p w14:paraId="306648C0">
      <w:pPr>
        <w:widowControl/>
        <w:spacing w:line="600" w:lineRule="exact"/>
        <w:jc w:val="left"/>
        <w:rPr>
          <w:rFonts w:hint="eastAsia" w:ascii="Times New Roman" w:hAnsi="Times New Roman" w:eastAsia="黑体"/>
          <w:sz w:val="32"/>
          <w:szCs w:val="32"/>
        </w:rPr>
      </w:pPr>
    </w:p>
    <w:p w14:paraId="4910E5AC">
      <w:pPr>
        <w:widowControl/>
        <w:spacing w:line="600" w:lineRule="exact"/>
        <w:jc w:val="left"/>
        <w:rPr>
          <w:rFonts w:hint="eastAsia" w:ascii="Times New Roman" w:hAnsi="Times New Roman" w:eastAsia="黑体"/>
          <w:sz w:val="32"/>
          <w:szCs w:val="32"/>
        </w:rPr>
      </w:pPr>
    </w:p>
    <w:p w14:paraId="4B23648A">
      <w:pPr>
        <w:widowControl/>
        <w:spacing w:line="600" w:lineRule="exact"/>
        <w:jc w:val="left"/>
        <w:rPr>
          <w:rFonts w:hint="eastAsia" w:ascii="Times New Roman" w:hAnsi="Times New Roman" w:eastAsia="黑体"/>
          <w:sz w:val="32"/>
          <w:szCs w:val="32"/>
        </w:rPr>
      </w:pPr>
    </w:p>
    <w:p w14:paraId="724616DE">
      <w:pPr>
        <w:widowControl/>
        <w:spacing w:line="600" w:lineRule="exact"/>
        <w:jc w:val="left"/>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34CD">
    <w:pPr>
      <w:pStyle w:val="4"/>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- 8 -</w:t>
    </w:r>
    <w:r>
      <w:rPr>
        <w:rStyle w:val="9"/>
        <w:rFonts w:ascii="Times New Roman" w:hAnsi="Times New Roman"/>
        <w:sz w:val="28"/>
        <w:szCs w:val="28"/>
      </w:rPr>
      <w:fldChar w:fldCharType="end"/>
    </w:r>
  </w:p>
  <w:p w14:paraId="17331EC1">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DAAA">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77D9DBDE">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2U1MWQwNDI3ZjQzN2IzMGM0MDg2MWUyYWJjZDgifQ=="/>
  </w:docVars>
  <w:rsids>
    <w:rsidRoot w:val="008F76F2"/>
    <w:rsid w:val="00193E13"/>
    <w:rsid w:val="005C4EC7"/>
    <w:rsid w:val="006346AA"/>
    <w:rsid w:val="00662C84"/>
    <w:rsid w:val="00673321"/>
    <w:rsid w:val="006C69F2"/>
    <w:rsid w:val="007143F8"/>
    <w:rsid w:val="007D746C"/>
    <w:rsid w:val="008F76F2"/>
    <w:rsid w:val="00B42F3D"/>
    <w:rsid w:val="00EF44B1"/>
    <w:rsid w:val="02520869"/>
    <w:rsid w:val="04B37AF9"/>
    <w:rsid w:val="150C7CA1"/>
    <w:rsid w:val="1CE42A1A"/>
    <w:rsid w:val="26AE2D48"/>
    <w:rsid w:val="2F0310C7"/>
    <w:rsid w:val="3648411F"/>
    <w:rsid w:val="3F96585F"/>
    <w:rsid w:val="711613C8"/>
    <w:rsid w:val="7A80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Times New Roman" w:hAnsi="Times New Roman"/>
      <w:szCs w:val="24"/>
    </w:rPr>
  </w:style>
  <w:style w:type="paragraph" w:styleId="3">
    <w:name w:val="Balloon Text"/>
    <w:basedOn w:val="1"/>
    <w:link w:val="12"/>
    <w:qFormat/>
    <w:uiPriority w:val="99"/>
    <w:rPr>
      <w:rFonts w:ascii="Times New Roman" w:hAnsi="Times New Roman"/>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styleId="10">
    <w:name w:val="annotation reference"/>
    <w:basedOn w:val="8"/>
    <w:qFormat/>
    <w:uiPriority w:val="99"/>
    <w:rPr>
      <w:rFonts w:cs="Times New Roman"/>
      <w:sz w:val="21"/>
      <w:szCs w:val="21"/>
    </w:rPr>
  </w:style>
  <w:style w:type="character" w:customStyle="1" w:styleId="11">
    <w:name w:val="批注文字 Char"/>
    <w:basedOn w:val="8"/>
    <w:link w:val="2"/>
    <w:qFormat/>
    <w:uiPriority w:val="99"/>
    <w:rPr>
      <w:rFonts w:ascii="Times New Roman" w:hAnsi="Times New Roman" w:eastAsia="宋体" w:cs="Times New Roman"/>
      <w:szCs w:val="24"/>
    </w:rPr>
  </w:style>
  <w:style w:type="character" w:customStyle="1" w:styleId="12">
    <w:name w:val="批注框文本 Char"/>
    <w:basedOn w:val="8"/>
    <w:link w:val="3"/>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Calibri" w:hAnsi="Calibri" w:eastAsia="宋体" w:cs="Times New Roman"/>
      <w:sz w:val="18"/>
      <w:szCs w:val="18"/>
    </w:rPr>
  </w:style>
  <w:style w:type="character" w:customStyle="1" w:styleId="14">
    <w:name w:val="页眉 Char"/>
    <w:basedOn w:val="8"/>
    <w:link w:val="5"/>
    <w:qFormat/>
    <w:uiPriority w:val="99"/>
    <w:rPr>
      <w:rFonts w:ascii="Calibri" w:hAnsi="Calibri" w:eastAsia="宋体" w:cs="Times New Roman"/>
      <w:sz w:val="18"/>
      <w:szCs w:val="18"/>
    </w:rPr>
  </w:style>
  <w:style w:type="paragraph" w:customStyle="1" w:styleId="15">
    <w:name w:val="列出段落1"/>
    <w:basedOn w:val="1"/>
    <w:qFormat/>
    <w:uiPriority w:val="99"/>
    <w:pPr>
      <w:ind w:firstLine="420" w:firstLineChars="200"/>
    </w:pPr>
    <w:rPr>
      <w:rFonts w:ascii="Times New Roman" w:hAnsi="Times New Roman"/>
      <w:szCs w:val="24"/>
    </w:rPr>
  </w:style>
  <w:style w:type="paragraph" w:styleId="16">
    <w:name w:val="List Paragraph"/>
    <w:basedOn w:val="1"/>
    <w:qFormat/>
    <w:uiPriority w:val="99"/>
    <w:pPr>
      <w:ind w:firstLine="420" w:firstLineChars="200"/>
    </w:pPr>
    <w:rPr>
      <w:rFonts w:ascii="Times New Roman" w:hAnsi="Times New Roman"/>
      <w:szCs w:val="24"/>
    </w:rPr>
  </w:style>
  <w:style w:type="paragraph" w:customStyle="1" w:styleId="17">
    <w:name w:val="修订1"/>
    <w:hidden/>
    <w:qFormat/>
    <w:uiPriority w:val="99"/>
    <w:rPr>
      <w:rFonts w:ascii="Times New Roman" w:hAnsi="Times New Roman" w:eastAsia="宋体" w:cs="Times New Roman"/>
      <w:kern w:val="2"/>
      <w:sz w:val="21"/>
      <w:szCs w:val="24"/>
      <w:lang w:val="en-US" w:eastAsia="zh-CN" w:bidi="ar-SA"/>
    </w:rPr>
  </w:style>
  <w:style w:type="character" w:customStyle="1" w:styleId="18">
    <w:name w:val="font2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2126</Words>
  <Characters>2346</Characters>
  <Lines>21</Lines>
  <Paragraphs>6</Paragraphs>
  <TotalTime>50</TotalTime>
  <ScaleCrop>false</ScaleCrop>
  <LinksUpToDate>false</LinksUpToDate>
  <CharactersWithSpaces>2350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2024-04-01T01:07:00Z</dcterms:created>
  <dc:creator>admin</dc:creator>
  <cp:lastModifiedBy>邓婷</cp:lastModifiedBy>
  <cp:lastPrinted>2025-02-28T08:12:00Z</cp:lastPrinted>
  <dcterms:modified xsi:type="dcterms:W3CDTF">2025-10-17T01:06:25Z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0DFF29D1AA5C4446A3D9E5726F79F412</vt:lpwstr>
  </property>
  <property fmtid="{D5CDD505-2E9C-101B-9397-08002B2CF9AE}" pid="4" name="KSOTemplateDocerSaveRecord">
    <vt:lpwstr>eyJoZGlkIjoiN2Y2YTkzM2Q3ZjFmZDA3MzYxZmZlNThiZjdiNmYxNGYiLCJ1c2VySWQiOiIxMDY5MjgzMDcxIn0=</vt:lpwstr>
  </property>
</Properties>
</file>