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AA8E8">
      <w:pPr>
        <w:spacing w:afterLines="1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ascii="Times New Roman" w:hAnsi="Times New Roman" w:eastAsia="仿宋_GB2312"/>
          <w:kern w:val="0"/>
          <w:sz w:val="32"/>
          <w:szCs w:val="32"/>
        </w:rPr>
        <w:t>1</w:t>
      </w:r>
    </w:p>
    <w:p w14:paraId="62AC0D32">
      <w:pPr>
        <w:rPr>
          <w:rFonts w:ascii="Times New Roman" w:hAnsi="Times New Roman" w:eastAsia="方正小标宋简体"/>
          <w:sz w:val="48"/>
          <w:szCs w:val="48"/>
        </w:rPr>
      </w:pPr>
    </w:p>
    <w:p w14:paraId="580E3496">
      <w:pPr>
        <w:rPr>
          <w:rFonts w:ascii="Times New Roman" w:hAnsi="Times New Roman" w:eastAsia="方正小标宋简体"/>
          <w:sz w:val="48"/>
          <w:szCs w:val="48"/>
        </w:rPr>
      </w:pPr>
    </w:p>
    <w:p w14:paraId="1178AB69">
      <w:pPr>
        <w:rPr>
          <w:rFonts w:ascii="Times New Roman" w:hAnsi="Times New Roman" w:eastAsia="方正小标宋简体"/>
          <w:sz w:val="48"/>
          <w:szCs w:val="48"/>
        </w:rPr>
      </w:pPr>
    </w:p>
    <w:p w14:paraId="29E142A8"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部门整体支出绩效自评报告</w:t>
      </w:r>
    </w:p>
    <w:p w14:paraId="794EBA79"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（</w:t>
      </w:r>
      <w:r>
        <w:rPr>
          <w:rFonts w:ascii="Times New Roman" w:hAnsi="Times New Roman" w:eastAsia="方正小标宋简体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3</w:t>
      </w:r>
      <w:r>
        <w:rPr>
          <w:rFonts w:ascii="Times New Roman" w:hAnsi="Times New Roman" w:eastAsia="方正小标宋简体"/>
          <w:sz w:val="36"/>
          <w:szCs w:val="36"/>
        </w:rPr>
        <w:t>年度</w:t>
      </w:r>
      <w:r>
        <w:rPr>
          <w:rFonts w:hint="eastAsia" w:ascii="Times New Roman" w:hAnsi="Times New Roman" w:eastAsia="方正小标宋简体"/>
          <w:sz w:val="36"/>
          <w:szCs w:val="36"/>
        </w:rPr>
        <w:t>）</w:t>
      </w:r>
    </w:p>
    <w:p w14:paraId="644B518B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1BD298EA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7024F951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26ACCCE8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2BC90058">
      <w:pPr>
        <w:rPr>
          <w:rFonts w:ascii="Times New Roman" w:hAnsi="Times New Roman" w:eastAsia="黑体"/>
          <w:sz w:val="32"/>
          <w:szCs w:val="32"/>
        </w:rPr>
      </w:pPr>
    </w:p>
    <w:p w14:paraId="23D56936">
      <w:pPr>
        <w:jc w:val="center"/>
        <w:rPr>
          <w:rFonts w:ascii="Times New Roman" w:hAnsi="Times New Roman"/>
          <w:sz w:val="36"/>
          <w:szCs w:val="36"/>
        </w:rPr>
      </w:pPr>
    </w:p>
    <w:p w14:paraId="16DCE17F">
      <w:pPr>
        <w:jc w:val="center"/>
        <w:rPr>
          <w:rFonts w:ascii="Times New Roman" w:hAnsi="Times New Roman"/>
          <w:sz w:val="36"/>
          <w:szCs w:val="36"/>
        </w:rPr>
      </w:pPr>
    </w:p>
    <w:p w14:paraId="25D9F40B">
      <w:pPr>
        <w:jc w:val="center"/>
        <w:rPr>
          <w:rFonts w:ascii="Times New Roman" w:hAnsi="Times New Roman"/>
          <w:sz w:val="36"/>
          <w:szCs w:val="36"/>
        </w:rPr>
      </w:pPr>
    </w:p>
    <w:p w14:paraId="52DA4715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32CC5133">
      <w:pPr>
        <w:pStyle w:val="2"/>
        <w:rPr>
          <w:rFonts w:ascii="Times New Roman" w:hAnsi="Times New Roman" w:eastAsia="黑体"/>
          <w:sz w:val="32"/>
          <w:szCs w:val="32"/>
        </w:rPr>
      </w:pPr>
    </w:p>
    <w:p w14:paraId="0AFF4326">
      <w:pPr>
        <w:rPr>
          <w:rFonts w:ascii="Times New Roman" w:hAnsi="Times New Roman" w:eastAsia="黑体"/>
          <w:sz w:val="32"/>
          <w:szCs w:val="32"/>
        </w:rPr>
      </w:pPr>
    </w:p>
    <w:p w14:paraId="39A6950A">
      <w:pPr>
        <w:pStyle w:val="2"/>
      </w:pPr>
    </w:p>
    <w:p w14:paraId="500387E4">
      <w:pPr>
        <w:spacing w:line="600" w:lineRule="exact"/>
        <w:jc w:val="both"/>
        <w:rPr>
          <w:rFonts w:ascii="Times New Roman" w:hAnsi="Times New Roman" w:eastAsia="方正小标宋简体"/>
          <w:sz w:val="44"/>
          <w:szCs w:val="44"/>
        </w:rPr>
      </w:pPr>
    </w:p>
    <w:p w14:paraId="027FAE70"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部门整体支出绩效自评报告</w:t>
      </w:r>
    </w:p>
    <w:p w14:paraId="1B121B81">
      <w:pPr>
        <w:rPr>
          <w:rFonts w:ascii="Times New Roman" w:hAnsi="Times New Roman" w:eastAsia="方正小标宋_GBK"/>
          <w:sz w:val="32"/>
          <w:szCs w:val="32"/>
        </w:rPr>
      </w:pPr>
    </w:p>
    <w:p w14:paraId="390827C5"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一、部门、单位基本情况</w:t>
      </w:r>
    </w:p>
    <w:p w14:paraId="50FD1A3E"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衡阳市公安局高新开发区分局设机构 6个：办公室、国内安全保卫大队、人口与出入境管理大队、刑侦大队、治安巡逻大队、网络安全保卫大队。</w:t>
      </w:r>
    </w:p>
    <w:p w14:paraId="3597AC5D"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群团及老干组织1个：工会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。</w:t>
      </w:r>
    </w:p>
    <w:p w14:paraId="0214C39C"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派出机构3个：华兴派出所、金龙坪派出所、长丰派出所。</w:t>
      </w:r>
    </w:p>
    <w:p w14:paraId="78B0A887"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二、一般公共预算支出情况</w:t>
      </w:r>
    </w:p>
    <w:p w14:paraId="3C1E5F7B">
      <w:pPr>
        <w:pStyle w:val="17"/>
        <w:widowControl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（一）基本支出情况</w:t>
      </w:r>
    </w:p>
    <w:p w14:paraId="607CEC1D"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eastAsia="楷体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基本支出：202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年年初预算数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为2947.48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万元，支出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5072.14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万元，是指为保障单位机构正常运转、完成日常工作任务而发生的各项支出，包括用于基本工资、津贴补贴等人员经费以及日常公用经费、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三公经费、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业务性商品和服务支出。</w:t>
      </w:r>
    </w:p>
    <w:p w14:paraId="75989350">
      <w:pPr>
        <w:pStyle w:val="17"/>
        <w:widowControl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（二）项目支出情况</w:t>
      </w:r>
    </w:p>
    <w:p w14:paraId="611DC5BF"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项目支出：202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年年初预算数为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249.74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万元，支出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2023.12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万元，是指公安机关为完成特定的工作任务和事业发展目标，在基本预算支出以外，财政预算专项安排的支出。</w:t>
      </w:r>
    </w:p>
    <w:p w14:paraId="7DC81889"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三、政府性基金预算支出情况</w:t>
      </w:r>
    </w:p>
    <w:p w14:paraId="07BAFE88"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hint="eastAsia" w:eastAsia="仿宋"/>
          <w:sz w:val="32"/>
          <w:szCs w:val="32"/>
        </w:rPr>
        <w:t>衡阳市公安局高新开发区分局无政府性基金预算支出。</w:t>
      </w:r>
    </w:p>
    <w:p w14:paraId="353CDBB2"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四、国有资本经营预算支出情况</w:t>
      </w:r>
    </w:p>
    <w:p w14:paraId="6DFF5FA3"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hint="eastAsia" w:eastAsia="仿宋"/>
          <w:sz w:val="32"/>
          <w:szCs w:val="32"/>
        </w:rPr>
        <w:t>衡阳市公安局高新开发区分局无国有资本经营预算支出。</w:t>
      </w:r>
    </w:p>
    <w:p w14:paraId="04370267"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五、社会保险基金预算支出情况</w:t>
      </w:r>
    </w:p>
    <w:p w14:paraId="68784282"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hint="eastAsia" w:eastAsia="仿宋"/>
          <w:sz w:val="32"/>
          <w:szCs w:val="32"/>
        </w:rPr>
        <w:t>衡阳市公安局高新开发区分局无社会保险基金预算支出。</w:t>
      </w:r>
    </w:p>
    <w:p w14:paraId="100AC7AB">
      <w:pPr>
        <w:widowControl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六、部门整体支出绩效情况</w:t>
      </w:r>
    </w:p>
    <w:p w14:paraId="1780E27E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，根据本单位年初工作规划和重点工作，围绕上级机关的工作部署，积极履行职责，强化管理，较好地完成了年度工作目标，同时加强预算收支的管理，建立健全内部管理制度，严格内部管理流程，单位整体支出管理得到了提升。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年度整体支出绩效情况如下：</w:t>
      </w:r>
    </w:p>
    <w:p w14:paraId="415BCBD8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（一）经济性分析</w:t>
      </w:r>
    </w:p>
    <w:p w14:paraId="153C276B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预算配置方面：预算配置安排合理，控制较好；财政供养人员控制在预算编制内，编制内在职人员控制率为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99.28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%；“三公”经费预算严格按照预算要求执行。</w:t>
      </w:r>
    </w:p>
    <w:p w14:paraId="082FBF96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预算执行方面，本单位预算资金均按规定管理使用。</w:t>
      </w:r>
    </w:p>
    <w:p w14:paraId="3FB722A3">
      <w:pPr>
        <w:pStyle w:val="20"/>
        <w:spacing w:before="0" w:beforeAutospacing="0" w:after="0" w:afterAutospacing="0" w:line="480" w:lineRule="auto"/>
        <w:ind w:firstLine="480" w:firstLineChars="15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 xml:space="preserve"> 预算管理方面，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严格执行预算管理制度，遵守各项财政纪律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。</w:t>
      </w:r>
    </w:p>
    <w:p w14:paraId="49556676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（二）效率性分析</w:t>
      </w:r>
    </w:p>
    <w:p w14:paraId="48394344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1、建立健全了日常管理制度，保障了单位运转经费。</w:t>
      </w:r>
    </w:p>
    <w:p w14:paraId="1AF60726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2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、完成了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年各项工作及设立年初预算绩效目标，支出总额控制在预算总额及政策性追加指标内。</w:t>
      </w:r>
    </w:p>
    <w:p w14:paraId="05A83FAC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（三）有效性分析</w:t>
      </w:r>
    </w:p>
    <w:p w14:paraId="1FB777DD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决算支出主要用于保障本社机构正常运转、完成日常工作任务以及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公安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等相关工作。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本单位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无因公出国（境）经费支出。</w:t>
      </w:r>
    </w:p>
    <w:p w14:paraId="23C22E51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（四）可持续性分析</w:t>
      </w:r>
    </w:p>
    <w:p w14:paraId="676F1949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1、资金使用合规性：本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单位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在资金使用方面符合国家财经法规、财务管理制度的规定，资金拨付有完整的审批程序和手续，未发现存在截留、虚列支出等情况。</w:t>
      </w:r>
    </w:p>
    <w:p w14:paraId="178E217B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2、人员机构方面：本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单位202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年末实际在编人员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  <w:t>137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人，人员少，造成了部分人员超负荷工作。</w:t>
      </w:r>
    </w:p>
    <w:p w14:paraId="1CF96856">
      <w:pPr>
        <w:pStyle w:val="20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3、管理措施：财务管理制度健全，健全内部制约机制，并对资金进行定期对账，严格经费资产审批程序，切实堵塞管理漏洞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。</w:t>
      </w:r>
    </w:p>
    <w:p w14:paraId="031B1B63">
      <w:pPr>
        <w:pStyle w:val="17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七、存在的问题及原因分析</w:t>
      </w:r>
    </w:p>
    <w:p w14:paraId="18A653FD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一是预算编制有待更严格执行。预算编制与实际支出项目有的仍存在差异。</w:t>
      </w:r>
    </w:p>
    <w:p w14:paraId="458CF337">
      <w:pPr>
        <w:widowControl/>
        <w:ind w:firstLine="640" w:firstLineChars="200"/>
        <w:rPr>
          <w:rFonts w:hint="eastAsia" w:eastAsia="仿宋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</w:rPr>
        <w:t>二是内部控制制度不健全，执行制度不严格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，因我局为新成立的一级预算单位，且财务人员缺乏专业性。</w:t>
      </w:r>
    </w:p>
    <w:p w14:paraId="22F041AE">
      <w:pPr>
        <w:widowControl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八、下一步改进措施</w:t>
      </w:r>
    </w:p>
    <w:p w14:paraId="38BE7BD6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一是按照预算规定的项目和用途严格财务审核，经费支出严格按预算规定项目的财务支出内容进行财务核算，在预算金额内严格控制费用的支出。</w:t>
      </w:r>
    </w:p>
    <w:p w14:paraId="01D0428E">
      <w:pPr>
        <w:widowControl/>
        <w:ind w:firstLine="640" w:firstLineChars="200"/>
      </w:pPr>
      <w:r>
        <w:rPr>
          <w:rFonts w:hint="eastAsia" w:ascii="Times New Roman" w:hAnsi="Times New Roman" w:eastAsia="仿宋"/>
          <w:sz w:val="32"/>
          <w:szCs w:val="32"/>
        </w:rPr>
        <w:t>二是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加强财务人员专业性</w:t>
      </w:r>
      <w:r>
        <w:rPr>
          <w:rFonts w:hint="eastAsia" w:ascii="Times New Roman" w:hAnsi="Times New Roman" w:eastAsia="仿宋"/>
          <w:sz w:val="32"/>
          <w:szCs w:val="32"/>
        </w:rPr>
        <w:t>，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健全</w:t>
      </w:r>
      <w:r>
        <w:rPr>
          <w:rFonts w:hint="eastAsia" w:ascii="Times New Roman" w:hAnsi="Times New Roman" w:eastAsia="仿宋"/>
          <w:sz w:val="32"/>
          <w:szCs w:val="32"/>
        </w:rPr>
        <w:t>内部控制制度。</w:t>
      </w:r>
    </w:p>
    <w:p w14:paraId="47603827">
      <w:pPr>
        <w:widowControl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九、其他需要说明的情况</w:t>
      </w:r>
    </w:p>
    <w:p w14:paraId="306C803A">
      <w:pPr>
        <w:widowControl/>
        <w:ind w:firstLine="640" w:firstLineChars="200"/>
        <w:rPr>
          <w:rFonts w:hint="eastAsia" w:ascii="Times New Roman" w:hAnsi="Times New Roman" w:eastAsia="宋体"/>
          <w:sz w:val="32"/>
          <w:szCs w:val="32"/>
          <w:lang w:eastAsia="zh-CN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无。</w:t>
      </w:r>
    </w:p>
    <w:p w14:paraId="4DD980FC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0EB6D4D8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602D5586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7991A1DB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32E63EA8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1CAF2C19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7B0F610C">
      <w:pPr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3FF045EB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27083DA2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5670C7F5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660A2909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1D099FF6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6829C19D">
      <w:pPr>
        <w:ind w:right="640"/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0E4AACB9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027219AB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6FBD7D8C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05FAAC58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4A227173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731C8AAA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33A1D22E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2E13B133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1627FFB9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7AA417E9"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hint="eastAsia" w:ascii="Times New Roman" w:hAnsi="Times New Roman" w:eastAsia="方正小标宋简体"/>
          <w:sz w:val="48"/>
          <w:szCs w:val="48"/>
        </w:rPr>
        <w:t>项目</w:t>
      </w:r>
      <w:r>
        <w:rPr>
          <w:rFonts w:ascii="Times New Roman" w:hAnsi="Times New Roman" w:eastAsia="方正小标宋简体"/>
          <w:sz w:val="48"/>
          <w:szCs w:val="48"/>
        </w:rPr>
        <w:t>支出绩效自评报告</w:t>
      </w:r>
    </w:p>
    <w:p w14:paraId="7EEE4C00"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（</w:t>
      </w:r>
      <w:r>
        <w:rPr>
          <w:rFonts w:ascii="Times New Roman" w:hAnsi="Times New Roman" w:eastAsia="方正小标宋简体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3</w:t>
      </w:r>
      <w:r>
        <w:rPr>
          <w:rFonts w:ascii="Times New Roman" w:hAnsi="Times New Roman" w:eastAsia="方正小标宋简体"/>
          <w:sz w:val="36"/>
          <w:szCs w:val="36"/>
        </w:rPr>
        <w:t>年度</w:t>
      </w:r>
      <w:r>
        <w:rPr>
          <w:rFonts w:hint="eastAsia" w:ascii="Times New Roman" w:hAnsi="Times New Roman" w:eastAsia="方正小标宋简体"/>
          <w:sz w:val="36"/>
          <w:szCs w:val="36"/>
        </w:rPr>
        <w:t>）</w:t>
      </w:r>
    </w:p>
    <w:p w14:paraId="650675D6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58569A2A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7C0CDE45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288F1DA4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1A2B000B">
      <w:pPr>
        <w:rPr>
          <w:rFonts w:ascii="Times New Roman" w:hAnsi="Times New Roman" w:eastAsia="黑体"/>
          <w:sz w:val="32"/>
          <w:szCs w:val="32"/>
        </w:rPr>
      </w:pPr>
    </w:p>
    <w:p w14:paraId="36B10839">
      <w:pPr>
        <w:jc w:val="center"/>
        <w:rPr>
          <w:rFonts w:ascii="Times New Roman" w:hAnsi="Times New Roman"/>
          <w:sz w:val="36"/>
          <w:szCs w:val="36"/>
        </w:rPr>
      </w:pPr>
    </w:p>
    <w:p w14:paraId="3DBCE2B2">
      <w:pPr>
        <w:jc w:val="center"/>
        <w:rPr>
          <w:rFonts w:ascii="Times New Roman" w:hAnsi="Times New Roman"/>
          <w:sz w:val="36"/>
          <w:szCs w:val="36"/>
        </w:rPr>
      </w:pPr>
    </w:p>
    <w:p w14:paraId="1E6439A7">
      <w:pPr>
        <w:jc w:val="center"/>
        <w:rPr>
          <w:rFonts w:ascii="Times New Roman" w:hAnsi="Times New Roman"/>
          <w:sz w:val="36"/>
          <w:szCs w:val="36"/>
        </w:rPr>
      </w:pPr>
    </w:p>
    <w:p w14:paraId="645B62B0">
      <w:pPr>
        <w:jc w:val="center"/>
        <w:rPr>
          <w:rFonts w:ascii="Times New Roman" w:hAnsi="Times New Roman"/>
          <w:sz w:val="36"/>
          <w:szCs w:val="36"/>
        </w:rPr>
      </w:pPr>
    </w:p>
    <w:p w14:paraId="2B52F0FA">
      <w:pPr>
        <w:jc w:val="center"/>
        <w:rPr>
          <w:rFonts w:ascii="Times New Roman" w:hAnsi="Times New Roman"/>
          <w:sz w:val="36"/>
          <w:szCs w:val="36"/>
        </w:rPr>
      </w:pPr>
    </w:p>
    <w:p w14:paraId="7B79E629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00FE135F">
      <w:pPr>
        <w:pStyle w:val="2"/>
        <w:rPr>
          <w:rFonts w:ascii="Times New Roman" w:hAnsi="Times New Roman" w:eastAsia="黑体"/>
          <w:sz w:val="32"/>
          <w:szCs w:val="32"/>
        </w:rPr>
      </w:pPr>
    </w:p>
    <w:p w14:paraId="7E7BB7F9">
      <w:pPr>
        <w:spacing w:line="600" w:lineRule="exact"/>
        <w:rPr>
          <w:rFonts w:ascii="Times New Roman" w:hAnsi="Times New Roman" w:eastAsia="方正小标宋_GBK"/>
          <w:sz w:val="36"/>
          <w:szCs w:val="36"/>
        </w:rPr>
      </w:pPr>
      <w:bookmarkStart w:id="0" w:name="_GoBack"/>
      <w:bookmarkEnd w:id="0"/>
    </w:p>
    <w:p w14:paraId="7B28206D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项目支出绩效自评报告</w:t>
      </w:r>
    </w:p>
    <w:p w14:paraId="001A8A5E">
      <w:pPr>
        <w:adjustRightInd w:val="0"/>
        <w:spacing w:line="600" w:lineRule="exact"/>
        <w:ind w:right="641"/>
        <w:rPr>
          <w:rFonts w:ascii="Times New Roman" w:hAnsi="Times New Roman" w:eastAsia="仿宋_GB2312"/>
          <w:sz w:val="32"/>
          <w:szCs w:val="32"/>
        </w:rPr>
      </w:pPr>
    </w:p>
    <w:p w14:paraId="12806CD1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一、项目支出概况</w:t>
      </w:r>
    </w:p>
    <w:p w14:paraId="282E8F11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（一）项目实施单位基本情况</w:t>
      </w:r>
    </w:p>
    <w:p w14:paraId="3EA11CFB">
      <w:pPr>
        <w:pStyle w:val="7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hint="default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衡阳市公安局高新开发区分局设机构 6个：办公室、国内安全保卫大队、人口与出入境管理大队、刑侦大队、治安巡逻大队、网络安全保卫大队。群团及老干组织1个：工会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派出机构3个：华兴派出所、金龙坪派出所、长丰派出所。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我局编制人数为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138人，在职人数137人，退休人数5人，辅警及职工265人。</w:t>
      </w:r>
    </w:p>
    <w:p w14:paraId="3866B387">
      <w:pPr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项目基本性质、用途和主要内容、涉及范围</w:t>
      </w:r>
    </w:p>
    <w:p w14:paraId="25DE0F2D"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衡阳市公安局高新开发区分局主要职能是维护社会治安秩序，保护公民的人身安全和人身自由，预防、制止和惩治违法犯罪活动等。该项目用于我局扫黑除恶、办案费、发放执勤加班补贴等。</w:t>
      </w:r>
    </w:p>
    <w:p w14:paraId="0B76DD50"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预算资金绩效目标</w:t>
      </w:r>
    </w:p>
    <w:p w14:paraId="2757C33B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不发生危害国家政治安全的重大敏感事件，不发生暴恐袭击案事件，不发生规模性进京集访和重大群体性事件，不发生影响恶劣的个人极端暴力犯罪案件，不发生重大特大公共安全事故，坚决打赢防范化解重大风险攻坚战，坚决维护社会稳定。</w:t>
      </w:r>
    </w:p>
    <w:p w14:paraId="7E611BA3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二、项目资金使用及管理情况</w:t>
      </w:r>
    </w:p>
    <w:p w14:paraId="18350466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（一）项目资金及自筹资金的安排落实、总投入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及使用</w:t>
      </w:r>
      <w:r>
        <w:rPr>
          <w:rFonts w:ascii="Times New Roman" w:hAnsi="Times New Roman" w:eastAsia="仿宋_GB2312"/>
          <w:sz w:val="32"/>
          <w:szCs w:val="32"/>
        </w:rPr>
        <w:t>情况</w:t>
      </w:r>
    </w:p>
    <w:p w14:paraId="547202B4"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2023年我局项目资金共249.74万元落实到位，并用于相关的支出。除项目年初预算外，我局2023年自筹资金（主要来源为高新区财政局）用于项目支出1773.38万元，总投入2023.12万元，实际使用2023.12万元。</w:t>
      </w:r>
    </w:p>
    <w:p w14:paraId="1F40F9D2">
      <w:pPr>
        <w:numPr>
          <w:ilvl w:val="0"/>
          <w:numId w:val="2"/>
        </w:num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项目资金管理情况分析</w:t>
      </w:r>
    </w:p>
    <w:p w14:paraId="291D6C9E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我局项目资金</w:t>
      </w:r>
      <w:r>
        <w:rPr>
          <w:rFonts w:ascii="Times New Roman" w:hAnsi="Times New Roman" w:eastAsia="仿宋_GB2312"/>
          <w:sz w:val="32"/>
          <w:szCs w:val="32"/>
        </w:rPr>
        <w:t>在使用过程中，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在</w:t>
      </w:r>
      <w:r>
        <w:rPr>
          <w:rFonts w:ascii="Times New Roman" w:hAnsi="Times New Roman" w:eastAsia="仿宋_GB2312"/>
          <w:sz w:val="32"/>
          <w:szCs w:val="32"/>
        </w:rPr>
        <w:t>市财政及市公安局的财务管理制度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基础上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制订了符合我局实际情况的相关财务管理</w:t>
      </w:r>
      <w:r>
        <w:rPr>
          <w:rFonts w:ascii="Times New Roman" w:hAnsi="Times New Roman" w:eastAsia="仿宋_GB2312"/>
          <w:sz w:val="32"/>
          <w:szCs w:val="32"/>
        </w:rPr>
        <w:t>制度，资金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统一通过</w:t>
      </w:r>
      <w:r>
        <w:rPr>
          <w:rFonts w:ascii="Times New Roman" w:hAnsi="Times New Roman" w:eastAsia="仿宋_GB2312"/>
          <w:sz w:val="32"/>
          <w:szCs w:val="32"/>
        </w:rPr>
        <w:t>国库集中支付。</w:t>
      </w:r>
    </w:p>
    <w:p w14:paraId="2D3FC730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三、项目支出组织实施情况</w:t>
      </w:r>
    </w:p>
    <w:p w14:paraId="0BC8BE91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（一）项目资金使用管理情况</w:t>
      </w:r>
    </w:p>
    <w:p w14:paraId="4531823A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项目资金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/>
          <w:sz w:val="32"/>
          <w:szCs w:val="32"/>
        </w:rPr>
        <w:t>管理制度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参照我局财务管理制度执行，由我局考核办每月进行相关指标的考核。</w:t>
      </w:r>
    </w:p>
    <w:p w14:paraId="26F7CE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/>
          <w:sz w:val="32"/>
          <w:szCs w:val="32"/>
        </w:rPr>
        <w:t>项目组织实施情况</w:t>
      </w:r>
    </w:p>
    <w:p w14:paraId="67345490"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我局项目均为小额开支，未达到政府采购标准，不存在招标采购相关工作的开展。</w:t>
      </w:r>
    </w:p>
    <w:p w14:paraId="33002897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四、项目支出绩效情况</w:t>
      </w:r>
    </w:p>
    <w:p w14:paraId="7C034DA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从项目经济效益方面来说，为辖区经济社会高质量快速发展营造了和谐稳定的社会政治环境；从社会效益来说，加强了社会化管控，对社会不良市里进行了全面打击处理，净化了社会风气，维护社会治安安全稳定。从可持续效益来说，保证了社会风清气正，人民群众安居乐业，经济秩序良好发展，有利于社会持续发展；从服务对象满意度来说，有利于保障人民群众的切身利益，切实提高人民群众的安全感和满意度。</w:t>
      </w:r>
    </w:p>
    <w:p w14:paraId="732BDFB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五、主要经验做法、存在的问题及原因分析</w:t>
      </w:r>
    </w:p>
    <w:p w14:paraId="0174CD7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存在的问题是办案支出大于年初预算项目经费，在经费支出方面存在压力。</w:t>
      </w:r>
    </w:p>
    <w:p w14:paraId="0611F268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六、有关建议</w:t>
      </w:r>
    </w:p>
    <w:p w14:paraId="04F55753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根据工作开展的实际情况，切实加强经费保障，为打击违法犯罪，维护社会治安稳定提供强有力的保障。</w:t>
      </w:r>
    </w:p>
    <w:p w14:paraId="7F0C44E1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七、其他需要说明的问题</w:t>
      </w:r>
    </w:p>
    <w:p w14:paraId="04AFEF7A"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无、</w:t>
      </w:r>
    </w:p>
    <w:p w14:paraId="744A1DD9">
      <w:pPr>
        <w:pStyle w:val="2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 w14:paraId="6F6A7C44">
      <w:pPr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 w14:paraId="4FA305FD">
      <w:pPr>
        <w:pStyle w:val="2"/>
        <w:rPr>
          <w:rFonts w:hint="eastAsia"/>
          <w:lang w:eastAsia="zh-CN"/>
        </w:rPr>
      </w:pPr>
    </w:p>
    <w:p w14:paraId="29C5431D"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</w:p>
    <w:p w14:paraId="7D4374C2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/>
      <w:cols w:space="425" w:num="1"/>
      <w:titlePg/>
      <w:rtlGutter w:val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62ECCAC-D276-4C59-8859-B8F9B15D7D2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BA1E546C-CB14-4002-87A9-589CFE88C15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A359928-820D-4B07-A7B5-E9C0A2B8A54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FD9331F1-FDBE-4D9D-BAC0-AE4DEB0CFEA8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5" w:fontKey="{BC72952E-B53B-436C-AEB2-BE85C294A71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31EA419-478F-4E38-A0CC-761E8914FFB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BACBF">
    <w:pPr>
      <w:pStyle w:val="5"/>
      <w:framePr w:wrap="around" w:vAnchor="text" w:hAnchor="margin" w:xAlign="outside" w:y="1"/>
      <w:rPr>
        <w:rStyle w:val="10"/>
        <w:rFonts w:ascii="Times New Roman" w:hAnsi="Times New Roman"/>
        <w:sz w:val="28"/>
        <w:szCs w:val="28"/>
      </w:rPr>
    </w:pPr>
    <w:r>
      <w:rPr>
        <w:rStyle w:val="10"/>
        <w:rFonts w:ascii="Times New Roman" w:hAnsi="Times New Roman"/>
        <w:sz w:val="28"/>
        <w:szCs w:val="28"/>
      </w:rPr>
      <w:fldChar w:fldCharType="begin"/>
    </w:r>
    <w:r>
      <w:rPr>
        <w:rStyle w:val="10"/>
        <w:rFonts w:ascii="Times New Roman" w:hAnsi="Times New Roman"/>
        <w:sz w:val="28"/>
        <w:szCs w:val="28"/>
      </w:rPr>
      <w:instrText xml:space="preserve">PAGE  </w:instrText>
    </w:r>
    <w:r>
      <w:rPr>
        <w:rStyle w:val="10"/>
        <w:rFonts w:ascii="Times New Roman" w:hAnsi="Times New Roman"/>
        <w:sz w:val="28"/>
        <w:szCs w:val="28"/>
      </w:rPr>
      <w:fldChar w:fldCharType="separate"/>
    </w:r>
    <w:r>
      <w:rPr>
        <w:rStyle w:val="10"/>
        <w:rFonts w:ascii="Times New Roman" w:hAnsi="Times New Roman"/>
        <w:sz w:val="28"/>
        <w:szCs w:val="28"/>
      </w:rPr>
      <w:t>- 15 -</w:t>
    </w:r>
    <w:r>
      <w:rPr>
        <w:rStyle w:val="10"/>
        <w:rFonts w:ascii="Times New Roman" w:hAnsi="Times New Roman"/>
        <w:sz w:val="28"/>
        <w:szCs w:val="28"/>
      </w:rPr>
      <w:fldChar w:fldCharType="end"/>
    </w:r>
  </w:p>
  <w:p w14:paraId="04EC9620"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5C530"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0CF7CEFC"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2F5627"/>
    <w:multiLevelType w:val="singleLevel"/>
    <w:tmpl w:val="952F562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DD10EDB"/>
    <w:multiLevelType w:val="singleLevel"/>
    <w:tmpl w:val="FDD10ED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MDIyMmZiOWU1M2Q3M2JlYmE5ZDRkY2VmYzEzNzQifQ=="/>
  </w:docVars>
  <w:rsids>
    <w:rsidRoot w:val="00C553EF"/>
    <w:rsid w:val="00012C93"/>
    <w:rsid w:val="000734E3"/>
    <w:rsid w:val="000773D5"/>
    <w:rsid w:val="00080625"/>
    <w:rsid w:val="00082293"/>
    <w:rsid w:val="00093B9D"/>
    <w:rsid w:val="00094646"/>
    <w:rsid w:val="000A561A"/>
    <w:rsid w:val="000D5E7F"/>
    <w:rsid w:val="000E2B59"/>
    <w:rsid w:val="000E2E9C"/>
    <w:rsid w:val="000F775C"/>
    <w:rsid w:val="00135131"/>
    <w:rsid w:val="00135395"/>
    <w:rsid w:val="00173AA9"/>
    <w:rsid w:val="00184AF2"/>
    <w:rsid w:val="001A7CAB"/>
    <w:rsid w:val="001B56F4"/>
    <w:rsid w:val="001B69B6"/>
    <w:rsid w:val="001B6D56"/>
    <w:rsid w:val="00220A85"/>
    <w:rsid w:val="002238BB"/>
    <w:rsid w:val="00225BED"/>
    <w:rsid w:val="002320EB"/>
    <w:rsid w:val="002A03D6"/>
    <w:rsid w:val="002D01D7"/>
    <w:rsid w:val="002F05A3"/>
    <w:rsid w:val="003056F3"/>
    <w:rsid w:val="003126FC"/>
    <w:rsid w:val="00323CF3"/>
    <w:rsid w:val="0032533F"/>
    <w:rsid w:val="003A1408"/>
    <w:rsid w:val="003B7F5C"/>
    <w:rsid w:val="003E1FD6"/>
    <w:rsid w:val="003E5841"/>
    <w:rsid w:val="003F1540"/>
    <w:rsid w:val="004148E0"/>
    <w:rsid w:val="004217FE"/>
    <w:rsid w:val="00440BFE"/>
    <w:rsid w:val="00463FD5"/>
    <w:rsid w:val="00474AD0"/>
    <w:rsid w:val="00487AC5"/>
    <w:rsid w:val="00496F05"/>
    <w:rsid w:val="00537950"/>
    <w:rsid w:val="00551D43"/>
    <w:rsid w:val="00566BA9"/>
    <w:rsid w:val="005709FF"/>
    <w:rsid w:val="00581EEE"/>
    <w:rsid w:val="005851E9"/>
    <w:rsid w:val="00591495"/>
    <w:rsid w:val="00594AEE"/>
    <w:rsid w:val="005D031D"/>
    <w:rsid w:val="006264B7"/>
    <w:rsid w:val="00677EDD"/>
    <w:rsid w:val="006964D9"/>
    <w:rsid w:val="006F37DA"/>
    <w:rsid w:val="007109A0"/>
    <w:rsid w:val="007123D7"/>
    <w:rsid w:val="00713B58"/>
    <w:rsid w:val="00751BF0"/>
    <w:rsid w:val="00764972"/>
    <w:rsid w:val="00771B0E"/>
    <w:rsid w:val="007A6F2C"/>
    <w:rsid w:val="007B3731"/>
    <w:rsid w:val="007C3C5A"/>
    <w:rsid w:val="007E2D1B"/>
    <w:rsid w:val="007E3E71"/>
    <w:rsid w:val="008241E1"/>
    <w:rsid w:val="00835818"/>
    <w:rsid w:val="00847A3C"/>
    <w:rsid w:val="00893AEC"/>
    <w:rsid w:val="00940D4A"/>
    <w:rsid w:val="00971DB4"/>
    <w:rsid w:val="0097394E"/>
    <w:rsid w:val="009D0C0A"/>
    <w:rsid w:val="00A0127D"/>
    <w:rsid w:val="00A148B9"/>
    <w:rsid w:val="00A2187E"/>
    <w:rsid w:val="00A3605E"/>
    <w:rsid w:val="00A377C0"/>
    <w:rsid w:val="00A55C61"/>
    <w:rsid w:val="00A801F4"/>
    <w:rsid w:val="00AC12C1"/>
    <w:rsid w:val="00AC5F31"/>
    <w:rsid w:val="00AF15ED"/>
    <w:rsid w:val="00B049DD"/>
    <w:rsid w:val="00B17D23"/>
    <w:rsid w:val="00B62F82"/>
    <w:rsid w:val="00B702EE"/>
    <w:rsid w:val="00B86511"/>
    <w:rsid w:val="00B86BA1"/>
    <w:rsid w:val="00B9399A"/>
    <w:rsid w:val="00BC51ED"/>
    <w:rsid w:val="00BD1721"/>
    <w:rsid w:val="00BD4955"/>
    <w:rsid w:val="00C23636"/>
    <w:rsid w:val="00C553EF"/>
    <w:rsid w:val="00C641BD"/>
    <w:rsid w:val="00C91F4C"/>
    <w:rsid w:val="00C9428C"/>
    <w:rsid w:val="00CC6012"/>
    <w:rsid w:val="00CD7E4E"/>
    <w:rsid w:val="00CE4DFE"/>
    <w:rsid w:val="00CF0AA7"/>
    <w:rsid w:val="00D64926"/>
    <w:rsid w:val="00D74987"/>
    <w:rsid w:val="00D812AD"/>
    <w:rsid w:val="00D8620A"/>
    <w:rsid w:val="00D90B2D"/>
    <w:rsid w:val="00DA3EA5"/>
    <w:rsid w:val="00DC7EE1"/>
    <w:rsid w:val="00DD4AA2"/>
    <w:rsid w:val="00DD5A15"/>
    <w:rsid w:val="00E01819"/>
    <w:rsid w:val="00E039BF"/>
    <w:rsid w:val="00E323CD"/>
    <w:rsid w:val="00E8571A"/>
    <w:rsid w:val="00E94B12"/>
    <w:rsid w:val="00EF0339"/>
    <w:rsid w:val="00F137EB"/>
    <w:rsid w:val="00F2080B"/>
    <w:rsid w:val="00F55DE1"/>
    <w:rsid w:val="00FA2BB2"/>
    <w:rsid w:val="00FC450D"/>
    <w:rsid w:val="00FD081E"/>
    <w:rsid w:val="00FE100B"/>
    <w:rsid w:val="00FE4826"/>
    <w:rsid w:val="012515C4"/>
    <w:rsid w:val="015123B9"/>
    <w:rsid w:val="01C012ED"/>
    <w:rsid w:val="026E2AF7"/>
    <w:rsid w:val="028D58A7"/>
    <w:rsid w:val="03043E77"/>
    <w:rsid w:val="0338470A"/>
    <w:rsid w:val="036B41DA"/>
    <w:rsid w:val="04504BAA"/>
    <w:rsid w:val="05031C1C"/>
    <w:rsid w:val="0603173B"/>
    <w:rsid w:val="061B4D44"/>
    <w:rsid w:val="066B628C"/>
    <w:rsid w:val="07C71168"/>
    <w:rsid w:val="085409E1"/>
    <w:rsid w:val="08850B9A"/>
    <w:rsid w:val="08935065"/>
    <w:rsid w:val="08D86F1C"/>
    <w:rsid w:val="09025C73"/>
    <w:rsid w:val="097148FC"/>
    <w:rsid w:val="09AA6B0A"/>
    <w:rsid w:val="0A0501E5"/>
    <w:rsid w:val="0A0C1573"/>
    <w:rsid w:val="0A245017"/>
    <w:rsid w:val="0AA7129C"/>
    <w:rsid w:val="0B097861"/>
    <w:rsid w:val="0B2B4994"/>
    <w:rsid w:val="0B2D1E85"/>
    <w:rsid w:val="0BAE0408"/>
    <w:rsid w:val="0C811679"/>
    <w:rsid w:val="0E8536A2"/>
    <w:rsid w:val="0E992CF7"/>
    <w:rsid w:val="0E9F1008"/>
    <w:rsid w:val="0EB83A78"/>
    <w:rsid w:val="0ED279E6"/>
    <w:rsid w:val="0F262ACD"/>
    <w:rsid w:val="0F44355D"/>
    <w:rsid w:val="0F476BAA"/>
    <w:rsid w:val="0F5F2145"/>
    <w:rsid w:val="0F781459"/>
    <w:rsid w:val="10E943BC"/>
    <w:rsid w:val="10F56296"/>
    <w:rsid w:val="10F90377"/>
    <w:rsid w:val="118E286E"/>
    <w:rsid w:val="11DE5514"/>
    <w:rsid w:val="121C256F"/>
    <w:rsid w:val="12323B41"/>
    <w:rsid w:val="12B5207C"/>
    <w:rsid w:val="13516249"/>
    <w:rsid w:val="136917E4"/>
    <w:rsid w:val="13873A19"/>
    <w:rsid w:val="13C95DDF"/>
    <w:rsid w:val="140E413A"/>
    <w:rsid w:val="14EF5D19"/>
    <w:rsid w:val="150A66AF"/>
    <w:rsid w:val="15DA6FC6"/>
    <w:rsid w:val="1631337C"/>
    <w:rsid w:val="169052DA"/>
    <w:rsid w:val="17515952"/>
    <w:rsid w:val="17CC40F0"/>
    <w:rsid w:val="18567E5D"/>
    <w:rsid w:val="18934E7A"/>
    <w:rsid w:val="18BC3B18"/>
    <w:rsid w:val="18CD0120"/>
    <w:rsid w:val="18D07C10"/>
    <w:rsid w:val="1B0B4F2F"/>
    <w:rsid w:val="1E122A78"/>
    <w:rsid w:val="1E197963"/>
    <w:rsid w:val="1E2E78B2"/>
    <w:rsid w:val="1E85149C"/>
    <w:rsid w:val="1EBF675C"/>
    <w:rsid w:val="1FFF6B11"/>
    <w:rsid w:val="20146634"/>
    <w:rsid w:val="20245230"/>
    <w:rsid w:val="204A64FA"/>
    <w:rsid w:val="217D46AD"/>
    <w:rsid w:val="22C205C9"/>
    <w:rsid w:val="22FB7F7F"/>
    <w:rsid w:val="230865AC"/>
    <w:rsid w:val="23A54519"/>
    <w:rsid w:val="24303C58"/>
    <w:rsid w:val="24765B0F"/>
    <w:rsid w:val="249917FE"/>
    <w:rsid w:val="24B93C4E"/>
    <w:rsid w:val="24E46F1D"/>
    <w:rsid w:val="253F4153"/>
    <w:rsid w:val="26061115"/>
    <w:rsid w:val="26BD5C77"/>
    <w:rsid w:val="280B656E"/>
    <w:rsid w:val="28ED11D6"/>
    <w:rsid w:val="28F9286B"/>
    <w:rsid w:val="292A6EC8"/>
    <w:rsid w:val="29534671"/>
    <w:rsid w:val="2A032D50"/>
    <w:rsid w:val="2A1D07DB"/>
    <w:rsid w:val="2A386745"/>
    <w:rsid w:val="2C4E7372"/>
    <w:rsid w:val="2CA61530"/>
    <w:rsid w:val="2D2105E2"/>
    <w:rsid w:val="2DBD4F22"/>
    <w:rsid w:val="2E165C6D"/>
    <w:rsid w:val="2E224612"/>
    <w:rsid w:val="2E3A7BAD"/>
    <w:rsid w:val="2E660FDE"/>
    <w:rsid w:val="2EFD4F49"/>
    <w:rsid w:val="312B7C81"/>
    <w:rsid w:val="31DE6E0A"/>
    <w:rsid w:val="32476D3D"/>
    <w:rsid w:val="32786EF6"/>
    <w:rsid w:val="333F7A14"/>
    <w:rsid w:val="34131D21"/>
    <w:rsid w:val="345E211C"/>
    <w:rsid w:val="346516FC"/>
    <w:rsid w:val="34EB3325"/>
    <w:rsid w:val="359A70A5"/>
    <w:rsid w:val="359C1CFC"/>
    <w:rsid w:val="359C73A0"/>
    <w:rsid w:val="36702397"/>
    <w:rsid w:val="36F56D67"/>
    <w:rsid w:val="382C3180"/>
    <w:rsid w:val="38CD489F"/>
    <w:rsid w:val="38E653C4"/>
    <w:rsid w:val="398B5761"/>
    <w:rsid w:val="399F120C"/>
    <w:rsid w:val="39E76710"/>
    <w:rsid w:val="3A535CE8"/>
    <w:rsid w:val="3A987BA2"/>
    <w:rsid w:val="3AF15A98"/>
    <w:rsid w:val="3B4007CD"/>
    <w:rsid w:val="3B914B04"/>
    <w:rsid w:val="3BC1546A"/>
    <w:rsid w:val="3BFC0501"/>
    <w:rsid w:val="3BFF5F92"/>
    <w:rsid w:val="3CBE19AA"/>
    <w:rsid w:val="3CD70CBD"/>
    <w:rsid w:val="3DAC5CA6"/>
    <w:rsid w:val="3E642A25"/>
    <w:rsid w:val="3EA3354D"/>
    <w:rsid w:val="3F52287D"/>
    <w:rsid w:val="3F7029B8"/>
    <w:rsid w:val="41510AA7"/>
    <w:rsid w:val="416B7C26"/>
    <w:rsid w:val="41C61B6B"/>
    <w:rsid w:val="41D27A48"/>
    <w:rsid w:val="421A3B26"/>
    <w:rsid w:val="43043D96"/>
    <w:rsid w:val="43544E16"/>
    <w:rsid w:val="43851473"/>
    <w:rsid w:val="44237529"/>
    <w:rsid w:val="44356402"/>
    <w:rsid w:val="444B446B"/>
    <w:rsid w:val="447A4D50"/>
    <w:rsid w:val="44A75419"/>
    <w:rsid w:val="45594965"/>
    <w:rsid w:val="45D67D64"/>
    <w:rsid w:val="46582E6F"/>
    <w:rsid w:val="47685334"/>
    <w:rsid w:val="48A03CAE"/>
    <w:rsid w:val="48DD58AD"/>
    <w:rsid w:val="49071871"/>
    <w:rsid w:val="496D09DF"/>
    <w:rsid w:val="49760EA9"/>
    <w:rsid w:val="49FD08B7"/>
    <w:rsid w:val="4A6F6D2D"/>
    <w:rsid w:val="4B5547AF"/>
    <w:rsid w:val="4B83098E"/>
    <w:rsid w:val="4B920BD1"/>
    <w:rsid w:val="4C6E596B"/>
    <w:rsid w:val="4E1753BE"/>
    <w:rsid w:val="4E593C28"/>
    <w:rsid w:val="4EB42C0C"/>
    <w:rsid w:val="4EBB39A2"/>
    <w:rsid w:val="504B134F"/>
    <w:rsid w:val="50BB0282"/>
    <w:rsid w:val="514B3CFC"/>
    <w:rsid w:val="51627BA7"/>
    <w:rsid w:val="51C70EA9"/>
    <w:rsid w:val="53A22192"/>
    <w:rsid w:val="546D21DB"/>
    <w:rsid w:val="54980C95"/>
    <w:rsid w:val="55197C6D"/>
    <w:rsid w:val="5523289A"/>
    <w:rsid w:val="56101070"/>
    <w:rsid w:val="56C37E91"/>
    <w:rsid w:val="59411541"/>
    <w:rsid w:val="59EB124B"/>
    <w:rsid w:val="5A2A46CB"/>
    <w:rsid w:val="5AD375E1"/>
    <w:rsid w:val="5AE2406E"/>
    <w:rsid w:val="5B484E08"/>
    <w:rsid w:val="5C0351D3"/>
    <w:rsid w:val="5C0F2BFF"/>
    <w:rsid w:val="5C2F64BB"/>
    <w:rsid w:val="5CAC69BE"/>
    <w:rsid w:val="5D0E5BDE"/>
    <w:rsid w:val="5D63417B"/>
    <w:rsid w:val="5DD60DF1"/>
    <w:rsid w:val="5E0C4354"/>
    <w:rsid w:val="5ECC3FA2"/>
    <w:rsid w:val="5F2C7AB3"/>
    <w:rsid w:val="60172FFB"/>
    <w:rsid w:val="609A4BD3"/>
    <w:rsid w:val="61113EEE"/>
    <w:rsid w:val="613C6465"/>
    <w:rsid w:val="617701F5"/>
    <w:rsid w:val="626D784A"/>
    <w:rsid w:val="62882016"/>
    <w:rsid w:val="62A2285E"/>
    <w:rsid w:val="62F62474"/>
    <w:rsid w:val="63C74D38"/>
    <w:rsid w:val="63F67EE5"/>
    <w:rsid w:val="64023E4F"/>
    <w:rsid w:val="640815D9"/>
    <w:rsid w:val="649165CE"/>
    <w:rsid w:val="64B928D3"/>
    <w:rsid w:val="650C6EA7"/>
    <w:rsid w:val="653320C8"/>
    <w:rsid w:val="65B31738"/>
    <w:rsid w:val="660D1128"/>
    <w:rsid w:val="667C005C"/>
    <w:rsid w:val="667E2026"/>
    <w:rsid w:val="66B91727"/>
    <w:rsid w:val="67310E46"/>
    <w:rsid w:val="677879E5"/>
    <w:rsid w:val="68060525"/>
    <w:rsid w:val="69470DF5"/>
    <w:rsid w:val="698A6279"/>
    <w:rsid w:val="69B33D95"/>
    <w:rsid w:val="69E82B0F"/>
    <w:rsid w:val="6A701C86"/>
    <w:rsid w:val="6AAE27AE"/>
    <w:rsid w:val="6AF80B9B"/>
    <w:rsid w:val="6B540C83"/>
    <w:rsid w:val="6B80239C"/>
    <w:rsid w:val="6BAD2A66"/>
    <w:rsid w:val="6BC71D79"/>
    <w:rsid w:val="6C3F5DB4"/>
    <w:rsid w:val="6CDE3E9F"/>
    <w:rsid w:val="6D716441"/>
    <w:rsid w:val="6E146DCC"/>
    <w:rsid w:val="6E192634"/>
    <w:rsid w:val="6E69536A"/>
    <w:rsid w:val="6EE40E94"/>
    <w:rsid w:val="6EF74444"/>
    <w:rsid w:val="6F2F0361"/>
    <w:rsid w:val="6F444811"/>
    <w:rsid w:val="6F806E0F"/>
    <w:rsid w:val="6F83245B"/>
    <w:rsid w:val="6F992E66"/>
    <w:rsid w:val="70227A0B"/>
    <w:rsid w:val="703E7322"/>
    <w:rsid w:val="70F57389"/>
    <w:rsid w:val="70FD4202"/>
    <w:rsid w:val="71125845"/>
    <w:rsid w:val="716A38D3"/>
    <w:rsid w:val="71A36DE5"/>
    <w:rsid w:val="721B12DE"/>
    <w:rsid w:val="72291AAE"/>
    <w:rsid w:val="723F6B0D"/>
    <w:rsid w:val="72B77970"/>
    <w:rsid w:val="73644352"/>
    <w:rsid w:val="73B452D9"/>
    <w:rsid w:val="7416389E"/>
    <w:rsid w:val="74C257D4"/>
    <w:rsid w:val="750758DC"/>
    <w:rsid w:val="75166662"/>
    <w:rsid w:val="75B6295B"/>
    <w:rsid w:val="76F37EC6"/>
    <w:rsid w:val="773A3B3B"/>
    <w:rsid w:val="775F37AE"/>
    <w:rsid w:val="77A24B7F"/>
    <w:rsid w:val="77E26D03"/>
    <w:rsid w:val="77F0668A"/>
    <w:rsid w:val="787F73A0"/>
    <w:rsid w:val="79A2386E"/>
    <w:rsid w:val="7B191EC6"/>
    <w:rsid w:val="7B4A207F"/>
    <w:rsid w:val="7C4E171E"/>
    <w:rsid w:val="7CDC13FD"/>
    <w:rsid w:val="7D676F18"/>
    <w:rsid w:val="7D7635FF"/>
    <w:rsid w:val="7D87799A"/>
    <w:rsid w:val="7E9401E1"/>
    <w:rsid w:val="7F1B620C"/>
    <w:rsid w:val="7F20194F"/>
    <w:rsid w:val="7F4A2182"/>
    <w:rsid w:val="7F531EB8"/>
    <w:rsid w:val="7F6323D8"/>
    <w:rsid w:val="7F910F92"/>
    <w:rsid w:val="7FC235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nhideWhenUsed="0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autoRedefine/>
    <w:qFormat/>
    <w:locked/>
    <w:uiPriority w:val="0"/>
    <w:pPr>
      <w:keepNext/>
      <w:keepLines/>
      <w:spacing w:before="240" w:after="240" w:line="360" w:lineRule="auto"/>
      <w:outlineLvl w:val="3"/>
    </w:pPr>
    <w:rPr>
      <w:rFonts w:ascii="Calibri Light" w:hAnsi="Calibri Light" w:cs="Times New Roman"/>
      <w:b/>
      <w:bCs/>
      <w:sz w:val="32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autoRedefine/>
    <w:qFormat/>
    <w:uiPriority w:val="99"/>
    <w:pPr>
      <w:jc w:val="left"/>
    </w:pPr>
    <w:rPr>
      <w:rFonts w:ascii="Times New Roman" w:hAnsi="Times New Roman"/>
      <w:szCs w:val="24"/>
    </w:rPr>
  </w:style>
  <w:style w:type="paragraph" w:styleId="4">
    <w:name w:val="Balloon Text"/>
    <w:basedOn w:val="1"/>
    <w:link w:val="13"/>
    <w:autoRedefine/>
    <w:qFormat/>
    <w:uiPriority w:val="99"/>
    <w:rPr>
      <w:rFonts w:ascii="Times New Roman" w:hAnsi="Times New Roman"/>
      <w:sz w:val="18"/>
      <w:szCs w:val="18"/>
    </w:rPr>
  </w:style>
  <w:style w:type="paragraph" w:styleId="5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page number"/>
    <w:basedOn w:val="9"/>
    <w:autoRedefine/>
    <w:qFormat/>
    <w:uiPriority w:val="99"/>
    <w:rPr>
      <w:rFonts w:cs="Times New Roman"/>
    </w:rPr>
  </w:style>
  <w:style w:type="character" w:styleId="11">
    <w:name w:val="annotation reference"/>
    <w:basedOn w:val="9"/>
    <w:autoRedefine/>
    <w:qFormat/>
    <w:uiPriority w:val="99"/>
    <w:rPr>
      <w:rFonts w:cs="Times New Roman"/>
      <w:sz w:val="21"/>
      <w:szCs w:val="21"/>
    </w:rPr>
  </w:style>
  <w:style w:type="character" w:customStyle="1" w:styleId="12">
    <w:name w:val="批注文字 Char"/>
    <w:basedOn w:val="9"/>
    <w:link w:val="3"/>
    <w:autoRedefine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3">
    <w:name w:val="批注框文本 Char"/>
    <w:basedOn w:val="9"/>
    <w:link w:val="4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basedOn w:val="9"/>
    <w:link w:val="6"/>
    <w:autoRedefine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18">
    <w:name w:val="修订1"/>
    <w: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9">
    <w:name w:val="font21"/>
    <w:basedOn w:val="9"/>
    <w:autoRedefine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paragraph" w:customStyle="1" w:styleId="20">
    <w:name w:val="p16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2303</Words>
  <Characters>2395</Characters>
  <Lines>36</Lines>
  <Paragraphs>10</Paragraphs>
  <TotalTime>10</TotalTime>
  <ScaleCrop>false</ScaleCrop>
  <LinksUpToDate>false</LinksUpToDate>
  <CharactersWithSpaces>2418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2021-01-21T07:42:00Z</dcterms:created>
  <dc:creator>lenovo</dc:creator>
  <cp:lastModifiedBy>阿杰</cp:lastModifiedBy>
  <cp:lastPrinted>2023-03-09T01:03:00Z</cp:lastPrinted>
  <dcterms:modified xsi:type="dcterms:W3CDTF">2025-11-13T08:09:36Z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DF3406E2D068488FB8AD2374033D19DF_13</vt:lpwstr>
  </property>
  <property fmtid="{D5CDD505-2E9C-101B-9397-08002B2CF9AE}" pid="4" name="KSOTemplateDocerSaveRecord">
    <vt:lpwstr>eyJoZGlkIjoiYjg0MDIyMmZiOWU1M2Q3M2JlYmE5ZDRkY2VmYzEzNzQiLCJ1c2VySWQiOiIzMzI2NDAxMjAifQ==</vt:lpwstr>
  </property>
</Properties>
</file>