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8E5B3" w:themeColor="accent4" w:themeTint="66"/>
  <w:body>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Cs/>
          <w:color w:val="auto"/>
          <w:sz w:val="44"/>
          <w:szCs w:val="44"/>
          <w:highlight w:val="none"/>
        </w:rPr>
      </w:pPr>
    </w:p>
    <w:p>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衡阳市生态环境局</w:t>
      </w:r>
    </w:p>
    <w:p>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关于《湖南福邦新材料有限公司年产</w:t>
      </w:r>
      <w:r>
        <w:rPr>
          <w:rFonts w:hint="eastAsia" w:eastAsia="方正小标宋简体" w:cs="Times New Roman"/>
          <w:color w:val="auto"/>
          <w:sz w:val="44"/>
          <w:szCs w:val="44"/>
          <w:highlight w:val="none"/>
          <w:lang w:val="en-US" w:eastAsia="zh-CN"/>
        </w:rPr>
        <w:t>10</w:t>
      </w:r>
      <w:r>
        <w:rPr>
          <w:rFonts w:hint="default" w:ascii="Times New Roman" w:hAnsi="Times New Roman" w:eastAsia="方正小标宋简体" w:cs="Times New Roman"/>
          <w:color w:val="auto"/>
          <w:sz w:val="44"/>
          <w:szCs w:val="44"/>
          <w:highlight w:val="none"/>
          <w:lang w:val="en-US" w:eastAsia="zh-CN"/>
        </w:rPr>
        <w:t>000吨双氟磺酰亚胺锂改扩建项目环境影响</w:t>
      </w:r>
    </w:p>
    <w:p>
      <w:pPr>
        <w:keepNext w:val="0"/>
        <w:keepLines w:val="0"/>
        <w:pageBreakBefore w:val="0"/>
        <w:kinsoku/>
        <w:wordWrap/>
        <w:overflowPunct/>
        <w:topLinePunct w:val="0"/>
        <w:bidi w:val="0"/>
        <w:adjustRightInd w:val="0"/>
        <w:snapToGrid w:val="0"/>
        <w:spacing w:line="52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报告书》的批复</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color w:val="auto"/>
          <w:sz w:val="32"/>
          <w:szCs w:val="32"/>
          <w:highlight w:val="none"/>
          <w:u w:val="none"/>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湖南福邦新材料有限公司：</w:t>
      </w:r>
    </w:p>
    <w:p>
      <w:pPr>
        <w:pStyle w:val="4"/>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snapToGrid w:val="0"/>
          <w:color w:val="auto"/>
          <w:spacing w:val="0"/>
          <w:sz w:val="32"/>
          <w:szCs w:val="32"/>
        </w:rPr>
      </w:pPr>
      <w:r>
        <w:rPr>
          <w:rFonts w:hint="default" w:ascii="仿宋_GB2312" w:hAnsi="仿宋_GB2312" w:eastAsia="仿宋_GB2312" w:cs="仿宋_GB2312"/>
          <w:snapToGrid w:val="0"/>
          <w:color w:val="auto"/>
          <w:spacing w:val="0"/>
          <w:kern w:val="2"/>
          <w:sz w:val="32"/>
          <w:szCs w:val="32"/>
          <w:lang w:val="en-US" w:eastAsia="zh-CN" w:bidi="ar-SA"/>
        </w:rPr>
        <w:t>地址：湖南省衡阳市石鼓区松木经济开发区云升路11号，法定代</w:t>
      </w:r>
      <w:r>
        <w:rPr>
          <w:rFonts w:hint="default" w:ascii="Times New Roman" w:hAnsi="Times New Roman" w:eastAsia="仿宋_GB2312" w:cs="Times New Roman"/>
          <w:snapToGrid w:val="0"/>
          <w:color w:val="auto"/>
          <w:spacing w:val="0"/>
          <w:sz w:val="32"/>
          <w:szCs w:val="32"/>
          <w:lang w:eastAsia="zh-CN"/>
        </w:rPr>
        <w:t>表人：</w:t>
      </w:r>
      <w:r>
        <w:rPr>
          <w:rFonts w:hint="default" w:ascii="Times New Roman" w:hAnsi="Times New Roman" w:eastAsia="仿宋_GB2312" w:cs="Times New Roman"/>
          <w:snapToGrid w:val="0"/>
          <w:color w:val="auto"/>
          <w:spacing w:val="0"/>
          <w:sz w:val="32"/>
          <w:szCs w:val="32"/>
          <w:lang w:val="en-US" w:eastAsia="zh-CN"/>
        </w:rPr>
        <w:t>周艾平</w:t>
      </w:r>
      <w:r>
        <w:rPr>
          <w:rFonts w:hint="default" w:ascii="Times New Roman" w:hAnsi="Times New Roman" w:eastAsia="仿宋_GB2312" w:cs="Times New Roman"/>
          <w:snapToGrid w:val="0"/>
          <w:color w:val="auto"/>
          <w:spacing w:val="0"/>
          <w:sz w:val="32"/>
          <w:szCs w:val="32"/>
          <w:lang w:eastAsia="zh-CN"/>
        </w:rPr>
        <w:t>，统一社会信用代码：91430400MA4PUQE94A。</w:t>
      </w:r>
    </w:p>
    <w:p>
      <w:pPr>
        <w:pStyle w:val="4"/>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snapToGrid w:val="0"/>
          <w:color w:val="auto"/>
          <w:spacing w:val="0"/>
          <w:sz w:val="32"/>
          <w:szCs w:val="32"/>
          <w:lang w:val="en-US" w:eastAsia="zh-CN"/>
        </w:rPr>
      </w:pPr>
      <w:r>
        <w:rPr>
          <w:rFonts w:hint="default" w:ascii="Times New Roman" w:hAnsi="Times New Roman" w:eastAsia="仿宋_GB2312" w:cs="Times New Roman"/>
          <w:snapToGrid w:val="0"/>
          <w:color w:val="auto"/>
          <w:spacing w:val="0"/>
          <w:sz w:val="32"/>
          <w:szCs w:val="32"/>
          <w:lang w:val="en-US" w:eastAsia="zh-CN"/>
        </w:rPr>
        <w:t>你公司于202</w:t>
      </w:r>
      <w:r>
        <w:rPr>
          <w:rFonts w:hint="eastAsia" w:eastAsia="仿宋_GB2312" w:cs="Times New Roman"/>
          <w:snapToGrid w:val="0"/>
          <w:color w:val="auto"/>
          <w:spacing w:val="0"/>
          <w:sz w:val="32"/>
          <w:szCs w:val="32"/>
          <w:lang w:val="en-US" w:eastAsia="zh-CN"/>
        </w:rPr>
        <w:t>5</w:t>
      </w:r>
      <w:r>
        <w:rPr>
          <w:rFonts w:hint="default" w:ascii="Times New Roman" w:hAnsi="Times New Roman" w:eastAsia="仿宋_GB2312" w:cs="Times New Roman"/>
          <w:snapToGrid w:val="0"/>
          <w:color w:val="auto"/>
          <w:spacing w:val="0"/>
          <w:sz w:val="32"/>
          <w:szCs w:val="32"/>
          <w:lang w:val="en-US" w:eastAsia="zh-CN"/>
        </w:rPr>
        <w:t>年</w:t>
      </w:r>
      <w:r>
        <w:rPr>
          <w:rFonts w:hint="eastAsia" w:eastAsia="仿宋_GB2312" w:cs="Times New Roman"/>
          <w:snapToGrid w:val="0"/>
          <w:color w:val="auto"/>
          <w:spacing w:val="0"/>
          <w:sz w:val="32"/>
          <w:szCs w:val="32"/>
          <w:lang w:val="en-US" w:eastAsia="zh-CN"/>
        </w:rPr>
        <w:t>9</w:t>
      </w:r>
      <w:r>
        <w:rPr>
          <w:rFonts w:hint="default" w:ascii="Times New Roman" w:hAnsi="Times New Roman" w:eastAsia="仿宋_GB2312" w:cs="Times New Roman"/>
          <w:snapToGrid w:val="0"/>
          <w:color w:val="auto"/>
          <w:spacing w:val="0"/>
          <w:sz w:val="32"/>
          <w:szCs w:val="32"/>
          <w:lang w:val="en-US" w:eastAsia="zh-CN"/>
        </w:rPr>
        <w:t>月</w:t>
      </w:r>
      <w:r>
        <w:rPr>
          <w:rFonts w:hint="eastAsia" w:eastAsia="仿宋_GB2312" w:cs="Times New Roman"/>
          <w:snapToGrid w:val="0"/>
          <w:color w:val="auto"/>
          <w:spacing w:val="0"/>
          <w:sz w:val="32"/>
          <w:szCs w:val="32"/>
          <w:lang w:val="en-US" w:eastAsia="zh-CN"/>
        </w:rPr>
        <w:t>3</w:t>
      </w:r>
      <w:r>
        <w:rPr>
          <w:rFonts w:hint="default" w:ascii="Times New Roman" w:hAnsi="Times New Roman" w:eastAsia="仿宋_GB2312" w:cs="Times New Roman"/>
          <w:snapToGrid w:val="0"/>
          <w:color w:val="auto"/>
          <w:spacing w:val="0"/>
          <w:sz w:val="32"/>
          <w:szCs w:val="32"/>
          <w:lang w:val="en-US" w:eastAsia="zh-CN"/>
        </w:rPr>
        <w:t>日提出建设项目环境影响评价审批报告书（普通类）行政许可申请，我局已依法于202</w:t>
      </w:r>
      <w:r>
        <w:rPr>
          <w:rFonts w:hint="eastAsia" w:eastAsia="仿宋_GB2312" w:cs="Times New Roman"/>
          <w:snapToGrid w:val="0"/>
          <w:color w:val="auto"/>
          <w:spacing w:val="0"/>
          <w:sz w:val="32"/>
          <w:szCs w:val="32"/>
          <w:lang w:val="en-US" w:eastAsia="zh-CN"/>
        </w:rPr>
        <w:t>5</w:t>
      </w:r>
      <w:r>
        <w:rPr>
          <w:rFonts w:hint="default" w:ascii="Times New Roman" w:hAnsi="Times New Roman" w:eastAsia="仿宋_GB2312" w:cs="Times New Roman"/>
          <w:snapToGrid w:val="0"/>
          <w:color w:val="auto"/>
          <w:spacing w:val="0"/>
          <w:sz w:val="32"/>
          <w:szCs w:val="32"/>
          <w:lang w:val="en-US" w:eastAsia="zh-CN"/>
        </w:rPr>
        <w:t>年</w:t>
      </w:r>
      <w:r>
        <w:rPr>
          <w:rFonts w:hint="eastAsia" w:eastAsia="仿宋_GB2312" w:cs="Times New Roman"/>
          <w:snapToGrid w:val="0"/>
          <w:color w:val="auto"/>
          <w:spacing w:val="0"/>
          <w:sz w:val="32"/>
          <w:szCs w:val="32"/>
          <w:lang w:val="en-US" w:eastAsia="zh-CN"/>
        </w:rPr>
        <w:t>9</w:t>
      </w:r>
      <w:r>
        <w:rPr>
          <w:rFonts w:hint="default" w:ascii="Times New Roman" w:hAnsi="Times New Roman" w:eastAsia="仿宋_GB2312" w:cs="Times New Roman"/>
          <w:snapToGrid w:val="0"/>
          <w:color w:val="auto"/>
          <w:spacing w:val="0"/>
          <w:sz w:val="32"/>
          <w:szCs w:val="32"/>
          <w:lang w:val="en-US" w:eastAsia="zh-CN"/>
        </w:rPr>
        <w:t>月</w:t>
      </w:r>
      <w:r>
        <w:rPr>
          <w:rFonts w:hint="eastAsia" w:eastAsia="仿宋_GB2312" w:cs="Times New Roman"/>
          <w:snapToGrid w:val="0"/>
          <w:color w:val="auto"/>
          <w:spacing w:val="0"/>
          <w:sz w:val="32"/>
          <w:szCs w:val="32"/>
          <w:lang w:val="en-US" w:eastAsia="zh-CN"/>
        </w:rPr>
        <w:t>3</w:t>
      </w:r>
      <w:r>
        <w:rPr>
          <w:rFonts w:hint="default" w:ascii="Times New Roman" w:hAnsi="Times New Roman" w:eastAsia="仿宋_GB2312" w:cs="Times New Roman"/>
          <w:snapToGrid w:val="0"/>
          <w:color w:val="auto"/>
          <w:spacing w:val="0"/>
          <w:sz w:val="32"/>
          <w:szCs w:val="32"/>
          <w:lang w:val="en-US" w:eastAsia="zh-CN"/>
        </w:rPr>
        <w:t>日受理，并完成了</w:t>
      </w:r>
      <w:r>
        <w:rPr>
          <w:rFonts w:hint="eastAsia" w:ascii="仿宋_GB2312" w:hAnsi="仿宋_GB2312" w:eastAsia="仿宋_GB2312" w:cs="仿宋_GB2312"/>
          <w:snapToGrid w:val="0"/>
          <w:color w:val="auto"/>
          <w:spacing w:val="0"/>
          <w:sz w:val="32"/>
          <w:szCs w:val="32"/>
          <w:lang w:val="en-US" w:eastAsia="zh-CN"/>
        </w:rPr>
        <w:t>受理公示和拟审批公示。经审查，</w:t>
      </w:r>
      <w:r>
        <w:rPr>
          <w:rFonts w:hint="eastAsia" w:ascii="仿宋_GB2312" w:hAnsi="仿宋_GB2312" w:eastAsia="仿宋_GB2312" w:cs="仿宋_GB2312"/>
          <w:snapToGrid w:val="0"/>
          <w:color w:val="auto"/>
          <w:spacing w:val="0"/>
          <w:kern w:val="2"/>
          <w:sz w:val="32"/>
          <w:szCs w:val="32"/>
          <w:lang w:val="en-US" w:eastAsia="zh-CN" w:bidi="ar-SA"/>
        </w:rPr>
        <w:t>你公司委托湖南葆华环保科技</w:t>
      </w:r>
      <w:r>
        <w:rPr>
          <w:rFonts w:hint="eastAsia" w:ascii="仿宋_GB2312" w:hAnsi="仿宋_GB2312" w:eastAsia="仿宋_GB2312" w:cs="仿宋_GB2312"/>
          <w:snapToGrid w:val="0"/>
          <w:color w:val="auto"/>
          <w:spacing w:val="0"/>
          <w:sz w:val="32"/>
          <w:szCs w:val="32"/>
          <w:lang w:val="en-US" w:eastAsia="zh-CN"/>
        </w:rPr>
        <w:t>有限公司</w:t>
      </w:r>
      <w:r>
        <w:rPr>
          <w:rFonts w:hint="eastAsia" w:ascii="仿宋_GB2312" w:hAnsi="仿宋_GB2312" w:eastAsia="仿宋_GB2312" w:cs="仿宋_GB2312"/>
          <w:snapToGrid w:val="0"/>
          <w:color w:val="auto"/>
          <w:spacing w:val="0"/>
          <w:kern w:val="2"/>
          <w:sz w:val="32"/>
          <w:szCs w:val="32"/>
          <w:lang w:val="en-US" w:eastAsia="zh-CN" w:bidi="ar-SA"/>
        </w:rPr>
        <w:t>编制并通过专家评审取得审查意见的《湖南福邦新材料有限公司年产10000吨双氟磺酰亚胺锂改扩建项目</w:t>
      </w:r>
      <w:r>
        <w:rPr>
          <w:rFonts w:hint="default" w:ascii="仿宋_GB2312" w:hAnsi="仿宋_GB2312" w:eastAsia="仿宋_GB2312" w:cs="仿宋_GB2312"/>
          <w:snapToGrid w:val="0"/>
          <w:color w:val="auto"/>
          <w:spacing w:val="0"/>
          <w:kern w:val="2"/>
          <w:sz w:val="32"/>
          <w:szCs w:val="32"/>
          <w:lang w:val="en-US" w:eastAsia="zh-CN" w:bidi="ar-SA"/>
        </w:rPr>
        <w:t>环境影响报告书</w:t>
      </w:r>
      <w:r>
        <w:rPr>
          <w:rFonts w:hint="eastAsia" w:ascii="仿宋_GB2312" w:hAnsi="仿宋_GB2312" w:eastAsia="仿宋_GB2312" w:cs="仿宋_GB2312"/>
          <w:snapToGrid w:val="0"/>
          <w:color w:val="auto"/>
          <w:spacing w:val="0"/>
          <w:kern w:val="2"/>
          <w:sz w:val="32"/>
          <w:szCs w:val="32"/>
          <w:lang w:val="en-US" w:eastAsia="zh-CN" w:bidi="ar-SA"/>
        </w:rPr>
        <w:t>》符合国家关于建设项目环境影响评价文件审批的有关规定，根据《中华人民共和国行政许可法》第三十八条第一款“申请人的申请符合法定条件、标准的，行政机关应当依法作出准予行政许可的书面决定”以及</w:t>
      </w:r>
      <w:r>
        <w:rPr>
          <w:rFonts w:hint="eastAsia" w:ascii="仿宋_GB2312" w:hAnsi="仿宋_GB2312" w:eastAsia="仿宋_GB2312" w:cs="仿宋_GB2312"/>
          <w:snapToGrid w:val="0"/>
          <w:color w:val="auto"/>
          <w:spacing w:val="0"/>
          <w:sz w:val="32"/>
          <w:szCs w:val="32"/>
          <w:lang w:eastAsia="zh-CN"/>
        </w:rPr>
        <w:t>《中华人民共和国环境影响评价法》第二十二条规定，我局决</w:t>
      </w:r>
      <w:r>
        <w:rPr>
          <w:rFonts w:hint="eastAsia" w:ascii="仿宋_GB2312" w:hAnsi="仿宋_GB2312" w:eastAsia="仿宋_GB2312" w:cs="仿宋_GB2312"/>
          <w:snapToGrid w:val="0"/>
          <w:color w:val="auto"/>
          <w:spacing w:val="0"/>
          <w:sz w:val="32"/>
          <w:szCs w:val="32"/>
          <w:lang w:val="en-US" w:eastAsia="zh-CN"/>
        </w:rPr>
        <w:t>定准予行政许可，并要求如下：</w:t>
      </w:r>
    </w:p>
    <w:p>
      <w:pPr>
        <w:keepNext w:val="0"/>
        <w:keepLines w:val="0"/>
        <w:pageBreakBefore w:val="0"/>
        <w:widowControl/>
        <w:numPr>
          <w:ilvl w:val="0"/>
          <w:numId w:val="0"/>
        </w:numPr>
        <w:kinsoku/>
        <w:wordWrap/>
        <w:overflowPunct/>
        <w:topLinePunct w:val="0"/>
        <w:autoSpaceDE w:val="0"/>
        <w:autoSpaceDN w:val="0"/>
        <w:bidi w:val="0"/>
        <w:adjustRightInd w:val="0"/>
        <w:spacing w:line="520" w:lineRule="exact"/>
        <w:ind w:firstLine="640" w:firstLineChars="200"/>
        <w:jc w:val="both"/>
        <w:textAlignment w:val="auto"/>
        <w:rPr>
          <w:rFonts w:hint="default" w:ascii="仿宋_GB2312" w:hAnsi="仿宋_GB2312" w:eastAsia="仿宋_GB2312" w:cs="仿宋_GB2312"/>
          <w:snapToGrid w:val="0"/>
          <w:color w:val="auto"/>
          <w:spacing w:val="0"/>
          <w:sz w:val="32"/>
          <w:szCs w:val="32"/>
          <w:lang w:val="en-US" w:eastAsia="zh-CN"/>
        </w:rPr>
      </w:pPr>
      <w:r>
        <w:rPr>
          <w:rFonts w:hint="eastAsia" w:eastAsia="仿宋_GB2312" w:cs="Times New Roman"/>
          <w:color w:val="auto"/>
          <w:sz w:val="32"/>
          <w:szCs w:val="32"/>
          <w:highlight w:val="none"/>
          <w:u w:val="none"/>
          <w:lang w:eastAsia="zh-CN"/>
        </w:rPr>
        <w:t>一、</w:t>
      </w:r>
      <w:r>
        <w:rPr>
          <w:rFonts w:hint="eastAsia" w:eastAsia="仿宋_GB2312" w:cs="Times New Roman"/>
          <w:color w:val="auto"/>
          <w:sz w:val="32"/>
          <w:szCs w:val="32"/>
          <w:highlight w:val="none"/>
          <w:u w:val="none"/>
          <w:lang w:val="en-US" w:eastAsia="zh-CN"/>
        </w:rPr>
        <w:t>2019年，衡阳市生态环境局下达了《关于&lt;</w:t>
      </w:r>
      <w:r>
        <w:rPr>
          <w:rFonts w:hint="eastAsia" w:ascii="仿宋_GB2312" w:hAnsi="仿宋_GB2312" w:eastAsia="仿宋_GB2312" w:cs="仿宋_GB2312"/>
          <w:snapToGrid w:val="0"/>
          <w:color w:val="auto"/>
          <w:spacing w:val="0"/>
          <w:kern w:val="2"/>
          <w:sz w:val="32"/>
          <w:szCs w:val="32"/>
          <w:lang w:val="en-US" w:eastAsia="zh-CN" w:bidi="ar-SA"/>
        </w:rPr>
        <w:t>湖南福邦新材料有限公司年产2400吨双氟磺酰亚胺锂（LiFSI）项目环境影响报告书&gt;的批复</w:t>
      </w:r>
      <w:r>
        <w:rPr>
          <w:rFonts w:hint="eastAsia" w:eastAsia="仿宋_GB2312" w:cs="Times New Roman"/>
          <w:color w:val="auto"/>
          <w:sz w:val="32"/>
          <w:szCs w:val="32"/>
          <w:highlight w:val="none"/>
          <w:u w:val="none"/>
          <w:lang w:val="en-US" w:eastAsia="zh-CN"/>
        </w:rPr>
        <w:t>》（衡环发〔2019〕27号），该项目</w:t>
      </w:r>
      <w:r>
        <w:rPr>
          <w:rFonts w:hint="eastAsia" w:ascii="仿宋_GB2312" w:hAnsi="仿宋_GB2312" w:eastAsia="仿宋_GB2312" w:cs="仿宋_GB2312"/>
          <w:snapToGrid w:val="0"/>
          <w:color w:val="auto"/>
          <w:spacing w:val="0"/>
          <w:kern w:val="2"/>
          <w:sz w:val="32"/>
          <w:szCs w:val="32"/>
          <w:lang w:val="en-US" w:eastAsia="zh-CN" w:bidi="ar-SA"/>
        </w:rPr>
        <w:t>于2023年通过了阶段性自主验收工作（建设产能为1200吨/年）。2024年，</w:t>
      </w:r>
      <w:r>
        <w:rPr>
          <w:rFonts w:hint="eastAsia" w:eastAsia="仿宋_GB2312" w:cs="Times New Roman"/>
          <w:color w:val="auto"/>
          <w:sz w:val="32"/>
          <w:szCs w:val="32"/>
          <w:highlight w:val="none"/>
          <w:u w:val="none"/>
          <w:lang w:val="en-US" w:eastAsia="zh-CN"/>
        </w:rPr>
        <w:t>衡阳市生态环境局下达了《关于&lt;</w:t>
      </w:r>
      <w:r>
        <w:rPr>
          <w:rFonts w:hint="eastAsia" w:ascii="仿宋_GB2312" w:hAnsi="仿宋_GB2312" w:eastAsia="仿宋_GB2312" w:cs="仿宋_GB2312"/>
          <w:snapToGrid w:val="0"/>
          <w:color w:val="auto"/>
          <w:spacing w:val="0"/>
          <w:kern w:val="2"/>
          <w:sz w:val="32"/>
          <w:szCs w:val="32"/>
          <w:lang w:val="en-US" w:eastAsia="zh-CN" w:bidi="ar-SA"/>
        </w:rPr>
        <w:t>湖南福邦新材料有限公司年产4000吨双氟磺酰亚胺锂改扩建项目环境影响报告书&gt;的批复</w:t>
      </w:r>
      <w:r>
        <w:rPr>
          <w:rFonts w:hint="eastAsia" w:eastAsia="仿宋_GB2312" w:cs="Times New Roman"/>
          <w:color w:val="auto"/>
          <w:sz w:val="32"/>
          <w:szCs w:val="32"/>
          <w:highlight w:val="none"/>
          <w:u w:val="none"/>
          <w:lang w:val="en-US" w:eastAsia="zh-CN"/>
        </w:rPr>
        <w:t>》（衡环发〔2024〕149号）</w:t>
      </w:r>
      <w:r>
        <w:rPr>
          <w:rFonts w:hint="eastAsia" w:ascii="仿宋_GB2312" w:hAnsi="仿宋_GB2312" w:eastAsia="仿宋_GB2312" w:cs="仿宋_GB2312"/>
          <w:snapToGrid w:val="0"/>
          <w:color w:val="auto"/>
          <w:spacing w:val="0"/>
          <w:kern w:val="2"/>
          <w:sz w:val="32"/>
          <w:szCs w:val="32"/>
          <w:lang w:val="en-US" w:eastAsia="zh-CN" w:bidi="ar-SA"/>
        </w:rPr>
        <w:t>，该项目对已通过验收的1200吨/年双氟磺酰亚胺锂生产装置进行技术改造，并将全厂产能扩建至4000吨/年，且原有“年产2400吨双氟磺酰亚胺锂（LiFSI）项目”中未建设的1200吨/年的生产装置不再建设。该改扩建项目于2025年通过阶段性自主验收工作，目前全厂已建设生产规模为年产2400吨双氟磺酰亚胺锂，已批未建的1600吨/年生产装置将不再建设。现因工艺迭代进步，为进一步满足市场需求和实现企业战略目标，你公司拟投资22318.3万元建设年产10000吨</w:t>
      </w:r>
      <w:bookmarkStart w:id="0" w:name="_Hlk138601678"/>
      <w:r>
        <w:rPr>
          <w:rFonts w:hint="eastAsia" w:ascii="仿宋_GB2312" w:hAnsi="仿宋_GB2312" w:eastAsia="仿宋_GB2312" w:cs="仿宋_GB2312"/>
          <w:snapToGrid w:val="0"/>
          <w:color w:val="auto"/>
          <w:spacing w:val="0"/>
          <w:kern w:val="2"/>
          <w:sz w:val="32"/>
          <w:szCs w:val="32"/>
          <w:lang w:val="en-US" w:eastAsia="zh-CN" w:bidi="ar-SA"/>
        </w:rPr>
        <w:t>双氟磺酰亚胺锂</w:t>
      </w:r>
      <w:bookmarkEnd w:id="0"/>
      <w:r>
        <w:rPr>
          <w:rFonts w:hint="eastAsia" w:ascii="仿宋_GB2312" w:hAnsi="仿宋_GB2312" w:eastAsia="仿宋_GB2312" w:cs="仿宋_GB2312"/>
          <w:snapToGrid w:val="0"/>
          <w:color w:val="auto"/>
          <w:spacing w:val="0"/>
          <w:kern w:val="2"/>
          <w:sz w:val="32"/>
          <w:szCs w:val="32"/>
          <w:lang w:val="en-US" w:eastAsia="zh-CN" w:bidi="ar-SA"/>
        </w:rPr>
        <w:t>改扩建项目（不含</w:t>
      </w:r>
      <w:bookmarkStart w:id="1" w:name="_Hlk138606411"/>
      <w:r>
        <w:rPr>
          <w:rFonts w:hint="eastAsia" w:ascii="仿宋_GB2312" w:hAnsi="仿宋_GB2312" w:eastAsia="仿宋_GB2312" w:cs="仿宋_GB2312"/>
          <w:snapToGrid w:val="0"/>
          <w:color w:val="auto"/>
          <w:spacing w:val="0"/>
          <w:kern w:val="2"/>
          <w:sz w:val="32"/>
          <w:szCs w:val="32"/>
          <w:lang w:val="en-US" w:eastAsia="zh-CN" w:bidi="ar-SA"/>
        </w:rPr>
        <w:t>已建的2400吨</w:t>
      </w:r>
      <w:bookmarkEnd w:id="1"/>
      <w:r>
        <w:rPr>
          <w:rFonts w:hint="eastAsia" w:ascii="仿宋_GB2312" w:hAnsi="仿宋_GB2312" w:eastAsia="仿宋_GB2312" w:cs="仿宋_GB2312"/>
          <w:snapToGrid w:val="0"/>
          <w:color w:val="auto"/>
          <w:spacing w:val="0"/>
          <w:kern w:val="2"/>
          <w:sz w:val="32"/>
          <w:szCs w:val="32"/>
          <w:lang w:val="en-US" w:eastAsia="zh-CN" w:bidi="ar-SA"/>
        </w:rPr>
        <w:t>/年规模），本项目分两期实施，1期建设规模为年产3000吨，2期建设规模为年产7000吨。该项目在现有工艺基础上进行了优化改进，无需再使用碳酸二甲酯、二氯甲烷等物料，取消部分水洗、干燥、浓缩、纯化除钾工序，工艺流程有所缩短。项目拟拆除现有危废焚烧炉，原进焚烧炉处置的危废全交有资质单位处理，同时建设一条输送到恒光的DN300玻璃钢材质的二氧化硫架空输送管线（长度1100米，输送量为11000吨/年），并配备有毒气体报警</w:t>
      </w:r>
      <w:r>
        <w:rPr>
          <w:rFonts w:hint="default" w:ascii="仿宋_GB2312" w:hAnsi="仿宋_GB2312" w:eastAsia="仿宋_GB2312" w:cs="仿宋_GB2312"/>
          <w:snapToGrid w:val="0"/>
          <w:color w:val="auto"/>
          <w:spacing w:val="0"/>
          <w:kern w:val="2"/>
          <w:sz w:val="32"/>
          <w:szCs w:val="32"/>
          <w:lang w:val="en" w:eastAsia="zh-CN" w:bidi="ar-SA"/>
        </w:rPr>
        <w:t>器</w:t>
      </w:r>
      <w:r>
        <w:rPr>
          <w:rFonts w:hint="eastAsia" w:ascii="仿宋_GB2312" w:hAnsi="仿宋_GB2312" w:eastAsia="仿宋_GB2312" w:cs="仿宋_GB2312"/>
          <w:snapToGrid w:val="0"/>
          <w:color w:val="auto"/>
          <w:spacing w:val="0"/>
          <w:kern w:val="2"/>
          <w:sz w:val="32"/>
          <w:szCs w:val="32"/>
          <w:lang w:val="en-US" w:eastAsia="zh-CN" w:bidi="ar-SA"/>
        </w:rPr>
        <w:t>和输送风机等设备。</w:t>
      </w:r>
    </w:p>
    <w:p>
      <w:pPr>
        <w:pStyle w:val="4"/>
        <w:keepNext w:val="0"/>
        <w:keepLines w:val="0"/>
        <w:pageBreakBefore w:val="0"/>
        <w:widowControl/>
        <w:numPr>
          <w:ilvl w:val="0"/>
          <w:numId w:val="0"/>
        </w:numPr>
        <w:kinsoku/>
        <w:wordWrap/>
        <w:overflowPunct/>
        <w:topLinePunct w:val="0"/>
        <w:autoSpaceDE/>
        <w:autoSpaceDN/>
        <w:bidi w:val="0"/>
        <w:snapToGrid w:val="0"/>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snapToGrid w:val="0"/>
          <w:color w:val="auto"/>
          <w:spacing w:val="0"/>
          <w:sz w:val="32"/>
          <w:szCs w:val="32"/>
          <w:lang w:eastAsia="zh-CN"/>
        </w:rPr>
      </w:pPr>
      <w:r>
        <w:rPr>
          <w:rFonts w:hint="eastAsia" w:ascii="仿宋_GB2312" w:hAnsi="仿宋_GB2312" w:eastAsia="仿宋_GB2312" w:cs="仿宋_GB2312"/>
          <w:snapToGrid w:val="0"/>
          <w:color w:val="auto"/>
          <w:spacing w:val="0"/>
          <w:sz w:val="32"/>
          <w:szCs w:val="32"/>
          <w:lang w:val="en-US" w:eastAsia="zh-CN"/>
        </w:rPr>
        <w:t>二、</w:t>
      </w:r>
      <w:r>
        <w:rPr>
          <w:rFonts w:hint="eastAsia" w:ascii="仿宋_GB2312" w:hAnsi="仿宋_GB2312" w:eastAsia="仿宋_GB2312" w:cs="仿宋_GB2312"/>
          <w:snapToGrid w:val="0"/>
          <w:color w:val="auto"/>
          <w:spacing w:val="0"/>
          <w:sz w:val="32"/>
          <w:szCs w:val="32"/>
        </w:rPr>
        <w:t>根据</w:t>
      </w:r>
      <w:r>
        <w:rPr>
          <w:rFonts w:hint="eastAsia" w:ascii="仿宋_GB2312" w:hAnsi="仿宋_GB2312" w:eastAsia="仿宋_GB2312" w:cs="仿宋_GB2312"/>
          <w:snapToGrid w:val="0"/>
          <w:color w:val="auto"/>
          <w:spacing w:val="0"/>
          <w:sz w:val="32"/>
          <w:szCs w:val="32"/>
          <w:lang w:eastAsia="zh-CN"/>
        </w:rPr>
        <w:t>《</w:t>
      </w:r>
      <w:r>
        <w:rPr>
          <w:rFonts w:hint="eastAsia" w:ascii="仿宋_GB2312" w:hAnsi="仿宋_GB2312" w:eastAsia="仿宋_GB2312" w:cs="仿宋_GB2312"/>
          <w:snapToGrid w:val="0"/>
          <w:color w:val="auto"/>
          <w:spacing w:val="0"/>
          <w:sz w:val="32"/>
          <w:szCs w:val="32"/>
          <w:lang w:val="en-US" w:eastAsia="zh-CN"/>
        </w:rPr>
        <w:t>报告书》</w:t>
      </w:r>
      <w:r>
        <w:rPr>
          <w:rFonts w:hint="eastAsia" w:ascii="仿宋_GB2312" w:hAnsi="仿宋_GB2312" w:eastAsia="仿宋_GB2312" w:cs="仿宋_GB2312"/>
          <w:snapToGrid w:val="0"/>
          <w:color w:val="auto"/>
          <w:spacing w:val="0"/>
          <w:sz w:val="32"/>
          <w:szCs w:val="32"/>
        </w:rPr>
        <w:t>的分析结论，</w:t>
      </w:r>
      <w:r>
        <w:rPr>
          <w:rFonts w:hint="eastAsia" w:ascii="仿宋_GB2312" w:hAnsi="仿宋_GB2312" w:eastAsia="仿宋_GB2312" w:cs="仿宋_GB2312"/>
          <w:snapToGrid w:val="0"/>
          <w:color w:val="auto"/>
          <w:spacing w:val="0"/>
          <w:sz w:val="32"/>
          <w:szCs w:val="32"/>
          <w:lang w:eastAsia="zh-CN"/>
        </w:rPr>
        <w:t>本项目符合国家产业政策和相关选址要求。在建设单位按照《报告书》中所列性质、规模、地点、生产工艺进行建设、运营，严格落实《报告书》和本批复提出的各项生态环境保护措施和污染防治措施，并确保各类污染物稳定达标排放且符合总量控制要求的前提下，本项目对环境的不利影响能够得到一定缓解和控制。从环保角度，我局原则同意该项目建设。</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FF0000"/>
          <w:sz w:val="32"/>
          <w:szCs w:val="32"/>
          <w:highlight w:val="none"/>
          <w:u w:val="none"/>
          <w:lang w:eastAsia="zh-CN"/>
        </w:rPr>
      </w:pPr>
      <w:r>
        <w:rPr>
          <w:rFonts w:hint="eastAsia"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建设单位在</w:t>
      </w:r>
      <w:r>
        <w:rPr>
          <w:rFonts w:hint="default" w:ascii="Times New Roman" w:hAnsi="Times New Roman" w:eastAsia="仿宋_GB2312" w:cs="Times New Roman"/>
          <w:color w:val="auto"/>
          <w:sz w:val="32"/>
          <w:szCs w:val="32"/>
          <w:highlight w:val="none"/>
          <w:u w:val="none"/>
          <w:lang w:eastAsia="zh-CN"/>
        </w:rPr>
        <w:t>变更项目</w:t>
      </w:r>
      <w:r>
        <w:rPr>
          <w:rFonts w:hint="default" w:ascii="Times New Roman" w:hAnsi="Times New Roman" w:eastAsia="仿宋_GB2312" w:cs="Times New Roman"/>
          <w:color w:val="auto"/>
          <w:sz w:val="32"/>
          <w:szCs w:val="32"/>
          <w:highlight w:val="none"/>
        </w:rPr>
        <w:t>设计、建设和运营过程中必须全面落实环评报告书提出的各项污染防治措施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并着重做好如下工作</w:t>
      </w:r>
      <w:r>
        <w:rPr>
          <w:rFonts w:hint="default" w:ascii="Times New Roman" w:hAnsi="Times New Roman" w:eastAsia="仿宋_GB2312" w:cs="Times New Roman"/>
          <w:color w:val="auto"/>
          <w:sz w:val="32"/>
          <w:szCs w:val="32"/>
          <w:highlight w:val="none"/>
          <w:u w:val="none"/>
        </w:rPr>
        <w:t>：</w:t>
      </w:r>
    </w:p>
    <w:p>
      <w:pPr>
        <w:spacing w:line="520" w:lineRule="exact"/>
        <w:ind w:firstLine="640" w:firstLineChars="200"/>
        <w:jc w:val="left"/>
        <w:rPr>
          <w:rFonts w:hint="eastAsia" w:ascii="仿宋_GB2312" w:hAnsi="仿宋_GB2312" w:eastAsia="仿宋_GB2312" w:cs="仿宋_GB2312"/>
          <w:snapToGrid w:val="0"/>
          <w:sz w:val="32"/>
          <w:szCs w:val="32"/>
        </w:rPr>
      </w:pPr>
      <w:r>
        <w:rPr>
          <w:rFonts w:hint="default" w:ascii="Times New Roman" w:hAnsi="Times New Roman" w:eastAsia="仿宋_GB2312" w:cs="Times New Roman"/>
          <w:color w:val="auto"/>
          <w:sz w:val="32"/>
          <w:szCs w:val="32"/>
          <w:highlight w:val="none"/>
          <w:u w:val="none"/>
          <w:lang w:val="en-US" w:eastAsia="zh-CN"/>
        </w:rPr>
        <w:t>（一）</w:t>
      </w:r>
      <w:r>
        <w:rPr>
          <w:rFonts w:hint="eastAsia" w:ascii="仿宋_GB2312" w:hAnsi="仿宋" w:eastAsia="仿宋_GB2312"/>
          <w:sz w:val="32"/>
          <w:szCs w:val="32"/>
        </w:rPr>
        <w:t>加强项目施工期的环境管理工作。项目施工期选用低噪声施工机械，合理安排各类施工机械工作时间，确保施工厂界噪声达标，防止噪声扰民；施工期采取洒水、围挡作业、渣土封闭运输、在施工场地设置清洗点、外购混凝土搅拌料等措施减少扬尘污染，在保证工程质量的同时，尽量缩短施工时间；主体工程完成后，及时做好地表植被恢复工作；建筑垃圾清运到指定地点合理处置。</w:t>
      </w:r>
    </w:p>
    <w:p>
      <w:pPr>
        <w:adjustRightInd w:val="0"/>
        <w:snapToGrid w:val="0"/>
        <w:spacing w:line="520" w:lineRule="exact"/>
        <w:ind w:firstLine="640" w:firstLineChars="200"/>
        <w:rPr>
          <w:rFonts w:hint="default" w:ascii="Times New Roman" w:hAnsi="Times New Roman" w:eastAsia="仿宋_GB2312" w:cs="Times New Roman"/>
          <w:color w:val="FF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（二）加强项目运营期废气污染防治工作。</w:t>
      </w:r>
      <w:r>
        <w:rPr>
          <w:rFonts w:hint="default" w:ascii="Times New Roman" w:hAnsi="Times New Roman" w:eastAsia="仿宋_GB2312" w:cs="Times New Roman"/>
          <w:sz w:val="32"/>
          <w:szCs w:val="32"/>
        </w:rPr>
        <w:t>加强无组织废气污染防治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选用密闭性能好的设备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加强生产装置管理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按要求实行泄露检测与修复（LDAR）计划</w:t>
      </w:r>
      <w:r>
        <w:rPr>
          <w:rFonts w:hint="eastAsia" w:ascii="Times New Roman" w:hAnsi="Times New Roman" w:eastAsia="仿宋_GB2312" w:cs="Times New Roman"/>
          <w:sz w:val="32"/>
          <w:szCs w:val="32"/>
          <w:lang w:eastAsia="zh-CN"/>
        </w:rPr>
        <w:t>。</w:t>
      </w:r>
      <w:r>
        <w:rPr>
          <w:rFonts w:hint="eastAsia" w:ascii="仿宋_GB2312" w:hAnsi="仿宋" w:eastAsia="仿宋_GB2312"/>
          <w:sz w:val="32"/>
          <w:szCs w:val="32"/>
          <w:lang w:eastAsia="zh-CN"/>
        </w:rPr>
        <w:t>本项目1期工程亚硫酸氢钠干燥尾气</w:t>
      </w:r>
      <w:r>
        <w:rPr>
          <w:rFonts w:hint="eastAsia" w:ascii="仿宋_GB2312" w:hAnsi="仿宋" w:eastAsia="仿宋_GB2312"/>
          <w:sz w:val="32"/>
          <w:szCs w:val="32"/>
          <w:lang w:val="en-US" w:eastAsia="zh-CN"/>
        </w:rPr>
        <w:t>经设备自带布袋除尘预处理后和</w:t>
      </w:r>
      <w:r>
        <w:rPr>
          <w:rFonts w:hint="eastAsia" w:ascii="仿宋_GB2312" w:hAnsi="仿宋" w:eastAsia="仿宋_GB2312"/>
          <w:sz w:val="32"/>
          <w:szCs w:val="32"/>
          <w:lang w:eastAsia="zh-CN"/>
        </w:rPr>
        <w:t>1期亚硫酸氢钠结晶尾气</w:t>
      </w:r>
      <w:r>
        <w:rPr>
          <w:rFonts w:hint="eastAsia" w:ascii="仿宋_GB2312" w:hAnsi="仿宋" w:eastAsia="仿宋_GB2312"/>
          <w:sz w:val="32"/>
          <w:szCs w:val="32"/>
          <w:lang w:val="en-US" w:eastAsia="zh-CN"/>
        </w:rPr>
        <w:t>一起</w:t>
      </w:r>
      <w:r>
        <w:rPr>
          <w:rFonts w:hint="eastAsia" w:ascii="仿宋_GB2312" w:hAnsi="仿宋" w:eastAsia="仿宋_GB2312"/>
          <w:sz w:val="32"/>
          <w:szCs w:val="32"/>
          <w:lang w:eastAsia="zh-CN"/>
        </w:rPr>
        <w:t>经现有“</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一级水洗+一级碱洗”处理后通过30米高排气筒（DA001）外排；全厂罐区酸性废气经现有“一级碱洗</w:t>
      </w:r>
      <w:r>
        <w:rPr>
          <w:rFonts w:hint="eastAsia" w:ascii="仿宋_GB2312" w:hAnsi="仿宋" w:eastAsia="仿宋_GB2312"/>
          <w:sz w:val="32"/>
          <w:szCs w:val="32"/>
          <w:lang w:val="en-US" w:eastAsia="zh-CN"/>
        </w:rPr>
        <w:t>+一级水洗</w:t>
      </w:r>
      <w:r>
        <w:rPr>
          <w:rFonts w:hint="eastAsia" w:ascii="仿宋_GB2312" w:hAnsi="仿宋" w:eastAsia="仿宋_GB2312"/>
          <w:sz w:val="32"/>
          <w:szCs w:val="32"/>
          <w:lang w:eastAsia="zh-CN"/>
        </w:rPr>
        <w:t>”处理后通过30米高排气筒（DA001）外排；1期双氟磺酰亚胺合成尾气</w:t>
      </w:r>
      <w:r>
        <w:rPr>
          <w:rFonts w:hint="eastAsia" w:ascii="仿宋_GB2312" w:hAnsi="仿宋" w:eastAsia="仿宋_GB2312"/>
          <w:sz w:val="32"/>
          <w:szCs w:val="32"/>
          <w:lang w:val="zh-CN" w:eastAsia="zh-CN"/>
        </w:rPr>
        <w:t>、</w:t>
      </w:r>
      <w:r>
        <w:rPr>
          <w:rFonts w:hint="eastAsia" w:ascii="仿宋_GB2312" w:hAnsi="仿宋" w:eastAsia="仿宋_GB2312"/>
          <w:sz w:val="32"/>
          <w:szCs w:val="32"/>
          <w:lang w:eastAsia="zh-CN"/>
        </w:rPr>
        <w:t>双氟磺酰亚胺精馏尾气、双氟磺酰亚胺锂合成尾气经现有“</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一级水洗+一级碱洗”处理后通过25米高排气筒（DA002）外排；</w:t>
      </w:r>
      <w:r>
        <w:rPr>
          <w:rFonts w:hint="eastAsia" w:ascii="仿宋_GB2312" w:hAnsi="仿宋" w:eastAsia="仿宋_GB2312"/>
          <w:sz w:val="32"/>
          <w:szCs w:val="32"/>
          <w:lang w:val="en-US" w:eastAsia="zh-CN"/>
        </w:rPr>
        <w:t>1期</w:t>
      </w:r>
      <w:r>
        <w:rPr>
          <w:rFonts w:hint="eastAsia" w:ascii="仿宋_GB2312" w:hAnsi="仿宋" w:eastAsia="仿宋_GB2312"/>
          <w:sz w:val="32"/>
          <w:szCs w:val="32"/>
          <w:lang w:eastAsia="zh-CN"/>
        </w:rPr>
        <w:t>双氟磺酰亚胺钾</w:t>
      </w:r>
      <w:r>
        <w:rPr>
          <w:rFonts w:hint="eastAsia" w:ascii="仿宋_GB2312" w:hAnsi="仿宋" w:eastAsia="仿宋_GB2312"/>
          <w:sz w:val="32"/>
          <w:szCs w:val="32"/>
          <w:lang w:val="en-US" w:eastAsia="zh-CN"/>
        </w:rPr>
        <w:t>合成</w:t>
      </w:r>
      <w:r>
        <w:rPr>
          <w:rFonts w:hint="eastAsia" w:ascii="仿宋_GB2312" w:hAnsi="仿宋" w:eastAsia="仿宋_GB2312"/>
          <w:sz w:val="32"/>
          <w:szCs w:val="32"/>
          <w:lang w:val="zh-CN" w:eastAsia="zh-CN"/>
        </w:rPr>
        <w:t>尾气</w:t>
      </w:r>
      <w:r>
        <w:rPr>
          <w:rFonts w:hint="eastAsia" w:ascii="仿宋_GB2312" w:hAnsi="仿宋" w:eastAsia="仿宋_GB2312"/>
          <w:sz w:val="32"/>
          <w:szCs w:val="32"/>
          <w:lang w:eastAsia="zh-CN"/>
        </w:rPr>
        <w:t>经现有“</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一级水洗+一级碱洗”处理后通过25米高排气筒（DA002）外排；1期双氟磺酰亚胺钾干燥废气</w:t>
      </w:r>
      <w:r>
        <w:rPr>
          <w:rFonts w:hint="eastAsia" w:ascii="仿宋_GB2312" w:hAnsi="仿宋" w:eastAsia="仿宋_GB2312"/>
          <w:sz w:val="32"/>
          <w:szCs w:val="32"/>
          <w:lang w:val="en-US" w:eastAsia="zh-CN"/>
        </w:rPr>
        <w:t>经设备自带布袋除尘预处理后再经</w:t>
      </w:r>
      <w:r>
        <w:rPr>
          <w:rFonts w:hint="eastAsia" w:ascii="仿宋_GB2312" w:hAnsi="仿宋" w:eastAsia="仿宋_GB2312"/>
          <w:sz w:val="32"/>
          <w:szCs w:val="32"/>
          <w:lang w:eastAsia="zh-CN"/>
        </w:rPr>
        <w:t>“冷凝”处理后最终</w:t>
      </w:r>
      <w:r>
        <w:rPr>
          <w:rFonts w:hint="eastAsia" w:ascii="仿宋_GB2312" w:hAnsi="仿宋" w:eastAsia="仿宋_GB2312"/>
          <w:sz w:val="32"/>
          <w:szCs w:val="32"/>
          <w:lang w:val="zh-CN" w:eastAsia="zh-CN"/>
        </w:rPr>
        <w:t>经现有</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一级水洗+一级碱洗+活性炭吸收”处理后通过25米高排气筒（DA002）外排，1期双氟磺酰亚胺锂精馏废气和全厂罐区有机废气经冷凝预处理后再经现有“树脂+活性炭”处理后通过25米高排气筒（DA002）外排；</w:t>
      </w:r>
      <w:r>
        <w:rPr>
          <w:rFonts w:hint="default" w:ascii="仿宋_GB2312" w:hAnsi="仿宋" w:eastAsia="仿宋_GB2312"/>
          <w:sz w:val="32"/>
          <w:szCs w:val="32"/>
          <w:lang w:eastAsia="zh-CN"/>
        </w:rPr>
        <w:t>2期工艺废气处理工艺与1期相同，</w:t>
      </w:r>
      <w:r>
        <w:rPr>
          <w:rFonts w:hint="eastAsia" w:ascii="仿宋_GB2312" w:hAnsi="仿宋" w:eastAsia="仿宋_GB2312"/>
          <w:sz w:val="32"/>
          <w:szCs w:val="32"/>
          <w:lang w:eastAsia="zh-CN"/>
        </w:rPr>
        <w:t>各废气</w:t>
      </w:r>
      <w:r>
        <w:rPr>
          <w:rFonts w:hint="default" w:ascii="仿宋_GB2312" w:hAnsi="仿宋" w:eastAsia="仿宋_GB2312"/>
          <w:sz w:val="32"/>
          <w:szCs w:val="32"/>
          <w:lang w:eastAsia="zh-CN"/>
        </w:rPr>
        <w:t>经</w:t>
      </w:r>
      <w:r>
        <w:rPr>
          <w:rFonts w:hint="eastAsia" w:ascii="仿宋_GB2312" w:hAnsi="仿宋" w:eastAsia="仿宋_GB2312"/>
          <w:sz w:val="32"/>
          <w:szCs w:val="32"/>
          <w:lang w:eastAsia="zh-CN"/>
        </w:rPr>
        <w:t>配套新建措施</w:t>
      </w:r>
      <w:r>
        <w:rPr>
          <w:rFonts w:hint="default" w:ascii="仿宋_GB2312" w:hAnsi="仿宋" w:eastAsia="仿宋_GB2312"/>
          <w:sz w:val="32"/>
          <w:szCs w:val="32"/>
          <w:lang w:eastAsia="zh-CN"/>
        </w:rPr>
        <w:t>处理后统一</w:t>
      </w:r>
      <w:r>
        <w:rPr>
          <w:rFonts w:hint="eastAsia" w:ascii="仿宋_GB2312" w:hAnsi="仿宋" w:eastAsia="仿宋_GB2312"/>
          <w:sz w:val="32"/>
          <w:szCs w:val="32"/>
          <w:lang w:eastAsia="zh-CN"/>
        </w:rPr>
        <w:t>通过</w:t>
      </w:r>
      <w:r>
        <w:rPr>
          <w:rFonts w:hint="default" w:ascii="仿宋_GB2312" w:hAnsi="仿宋" w:eastAsia="仿宋_GB2312"/>
          <w:sz w:val="32"/>
          <w:szCs w:val="32"/>
          <w:lang w:eastAsia="zh-CN"/>
        </w:rPr>
        <w:t>25米</w:t>
      </w:r>
      <w:r>
        <w:rPr>
          <w:rFonts w:hint="eastAsia" w:ascii="仿宋_GB2312" w:hAnsi="仿宋" w:eastAsia="仿宋_GB2312"/>
          <w:sz w:val="32"/>
          <w:szCs w:val="32"/>
          <w:lang w:eastAsia="zh-CN"/>
        </w:rPr>
        <w:t>高</w:t>
      </w:r>
      <w:r>
        <w:rPr>
          <w:rFonts w:hint="default" w:ascii="仿宋_GB2312" w:hAnsi="仿宋" w:eastAsia="仿宋_GB2312"/>
          <w:sz w:val="32"/>
          <w:szCs w:val="32"/>
          <w:lang w:eastAsia="zh-CN"/>
        </w:rPr>
        <w:t>排气筒（DA005）排</w:t>
      </w:r>
      <w:r>
        <w:rPr>
          <w:rFonts w:hint="eastAsia" w:ascii="仿宋_GB2312" w:hAnsi="仿宋" w:eastAsia="仿宋_GB2312"/>
          <w:sz w:val="32"/>
          <w:szCs w:val="32"/>
          <w:lang w:eastAsia="zh-CN"/>
        </w:rPr>
        <w:t>放；</w:t>
      </w:r>
      <w:r>
        <w:rPr>
          <w:rFonts w:hint="default" w:ascii="仿宋_GB2312" w:hAnsi="仿宋" w:eastAsia="仿宋_GB2312"/>
          <w:sz w:val="32"/>
          <w:szCs w:val="32"/>
          <w:lang w:eastAsia="zh-CN"/>
        </w:rPr>
        <w:t>污水处理站废气与危废暂存间废气经</w:t>
      </w:r>
      <w:r>
        <w:rPr>
          <w:rFonts w:hint="eastAsia" w:ascii="仿宋_GB2312" w:hAnsi="仿宋" w:eastAsia="仿宋_GB2312"/>
          <w:sz w:val="32"/>
          <w:szCs w:val="32"/>
          <w:lang w:eastAsia="zh-CN"/>
        </w:rPr>
        <w:t>收集后再经</w:t>
      </w:r>
      <w:r>
        <w:rPr>
          <w:rFonts w:hint="default" w:ascii="仿宋_GB2312" w:hAnsi="仿宋" w:eastAsia="仿宋_GB2312"/>
          <w:sz w:val="32"/>
          <w:szCs w:val="32"/>
          <w:lang w:eastAsia="zh-CN"/>
        </w:rPr>
        <w:t>“碱吸收+水吸收+除雾+活性炭</w:t>
      </w:r>
      <w:r>
        <w:rPr>
          <w:rFonts w:hint="eastAsia" w:ascii="仿宋_GB2312" w:hAnsi="仿宋" w:eastAsia="仿宋_GB2312"/>
          <w:sz w:val="32"/>
          <w:szCs w:val="32"/>
          <w:lang w:eastAsia="zh-CN"/>
        </w:rPr>
        <w:t>吸附</w:t>
      </w:r>
      <w:r>
        <w:rPr>
          <w:rFonts w:hint="default" w:ascii="仿宋_GB2312" w:hAnsi="仿宋" w:eastAsia="仿宋_GB2312"/>
          <w:sz w:val="32"/>
          <w:szCs w:val="32"/>
          <w:lang w:eastAsia="zh-CN"/>
        </w:rPr>
        <w:t>”处理后</w:t>
      </w:r>
      <w:r>
        <w:rPr>
          <w:rFonts w:hint="eastAsia" w:ascii="仿宋_GB2312" w:hAnsi="仿宋" w:eastAsia="仿宋_GB2312"/>
          <w:sz w:val="32"/>
          <w:szCs w:val="32"/>
          <w:lang w:eastAsia="zh-CN"/>
        </w:rPr>
        <w:t>通过</w:t>
      </w:r>
      <w:r>
        <w:rPr>
          <w:rFonts w:hint="default" w:ascii="仿宋_GB2312" w:hAnsi="仿宋" w:eastAsia="仿宋_GB2312"/>
          <w:sz w:val="32"/>
          <w:szCs w:val="32"/>
          <w:lang w:eastAsia="zh-CN"/>
        </w:rPr>
        <w:t>30米</w:t>
      </w:r>
      <w:r>
        <w:rPr>
          <w:rFonts w:hint="eastAsia" w:ascii="仿宋_GB2312" w:hAnsi="仿宋" w:eastAsia="仿宋_GB2312"/>
          <w:sz w:val="32"/>
          <w:szCs w:val="32"/>
          <w:lang w:eastAsia="zh-CN"/>
        </w:rPr>
        <w:t>高</w:t>
      </w:r>
      <w:r>
        <w:rPr>
          <w:rFonts w:hint="default" w:ascii="仿宋_GB2312" w:hAnsi="仿宋" w:eastAsia="仿宋_GB2312"/>
          <w:sz w:val="32"/>
          <w:szCs w:val="32"/>
          <w:lang w:eastAsia="zh-CN"/>
        </w:rPr>
        <w:t>排气筒（</w:t>
      </w:r>
      <w:r>
        <w:rPr>
          <w:rFonts w:hint="eastAsia" w:ascii="仿宋_GB2312" w:hAnsi="仿宋" w:eastAsia="仿宋_GB2312"/>
          <w:sz w:val="32"/>
          <w:szCs w:val="32"/>
          <w:lang w:val="en-US" w:eastAsia="zh-CN"/>
        </w:rPr>
        <w:t>DA001</w:t>
      </w:r>
      <w:r>
        <w:rPr>
          <w:rFonts w:hint="default" w:ascii="仿宋_GB2312" w:hAnsi="仿宋" w:eastAsia="仿宋_GB2312"/>
          <w:sz w:val="32"/>
          <w:szCs w:val="32"/>
          <w:lang w:eastAsia="zh-CN"/>
        </w:rPr>
        <w:t>）</w:t>
      </w:r>
      <w:r>
        <w:rPr>
          <w:rFonts w:hint="eastAsia" w:ascii="仿宋_GB2312" w:hAnsi="仿宋" w:eastAsia="仿宋_GB2312"/>
          <w:sz w:val="32"/>
          <w:szCs w:val="32"/>
          <w:lang w:eastAsia="zh-CN"/>
        </w:rPr>
        <w:t>达标排放</w:t>
      </w:r>
      <w:r>
        <w:rPr>
          <w:rFonts w:hint="default" w:ascii="仿宋_GB2312" w:hAnsi="仿宋" w:eastAsia="仿宋_GB2312"/>
          <w:sz w:val="32"/>
          <w:szCs w:val="32"/>
          <w:lang w:eastAsia="zh-CN"/>
        </w:rPr>
        <w:t>；分析实验室废气经</w:t>
      </w:r>
      <w:r>
        <w:rPr>
          <w:rFonts w:hint="eastAsia" w:ascii="仿宋_GB2312" w:hAnsi="仿宋" w:eastAsia="仿宋_GB2312"/>
          <w:sz w:val="32"/>
          <w:szCs w:val="32"/>
          <w:lang w:eastAsia="zh-CN"/>
        </w:rPr>
        <w:t>收集后再经</w:t>
      </w:r>
      <w:r>
        <w:rPr>
          <w:rFonts w:hint="default" w:ascii="仿宋_GB2312" w:hAnsi="仿宋" w:eastAsia="仿宋_GB2312"/>
          <w:sz w:val="32"/>
          <w:szCs w:val="32"/>
          <w:lang w:eastAsia="zh-CN"/>
        </w:rPr>
        <w:t>“</w:t>
      </w:r>
      <w:r>
        <w:rPr>
          <w:rFonts w:hint="default" w:ascii="仿宋_GB2312" w:hAnsi="仿宋" w:eastAsia="仿宋_GB2312"/>
          <w:sz w:val="32"/>
          <w:szCs w:val="32"/>
          <w:lang w:val="en" w:eastAsia="zh-CN"/>
        </w:rPr>
        <w:t>一级碱喷淋</w:t>
      </w:r>
      <w:r>
        <w:rPr>
          <w:rFonts w:hint="default" w:ascii="仿宋_GB2312" w:hAnsi="仿宋" w:eastAsia="仿宋_GB2312"/>
          <w:sz w:val="32"/>
          <w:szCs w:val="32"/>
          <w:lang w:eastAsia="zh-CN"/>
        </w:rPr>
        <w:t>+</w:t>
      </w:r>
      <w:r>
        <w:rPr>
          <w:rFonts w:hint="default" w:ascii="仿宋_GB2312" w:hAnsi="仿宋" w:eastAsia="仿宋_GB2312"/>
          <w:sz w:val="32"/>
          <w:szCs w:val="32"/>
          <w:lang w:val="en" w:eastAsia="zh-CN"/>
        </w:rPr>
        <w:t>一级活性炭吸附</w:t>
      </w:r>
      <w:r>
        <w:rPr>
          <w:rFonts w:hint="default" w:ascii="仿宋_GB2312" w:hAnsi="仿宋" w:eastAsia="仿宋_GB2312"/>
          <w:sz w:val="32"/>
          <w:szCs w:val="32"/>
          <w:lang w:eastAsia="zh-CN"/>
        </w:rPr>
        <w:t>”处理后</w:t>
      </w:r>
      <w:r>
        <w:rPr>
          <w:rFonts w:hint="eastAsia" w:ascii="仿宋_GB2312" w:hAnsi="仿宋" w:eastAsia="仿宋_GB2312"/>
          <w:sz w:val="32"/>
          <w:szCs w:val="32"/>
          <w:lang w:eastAsia="zh-CN"/>
        </w:rPr>
        <w:t>通过</w:t>
      </w:r>
      <w:r>
        <w:rPr>
          <w:rFonts w:hint="default" w:ascii="仿宋_GB2312" w:hAnsi="仿宋" w:eastAsia="仿宋_GB2312"/>
          <w:sz w:val="32"/>
          <w:szCs w:val="32"/>
          <w:lang w:eastAsia="zh-CN"/>
        </w:rPr>
        <w:t>15米</w:t>
      </w:r>
      <w:r>
        <w:rPr>
          <w:rFonts w:hint="eastAsia" w:ascii="仿宋_GB2312" w:hAnsi="仿宋" w:eastAsia="仿宋_GB2312"/>
          <w:sz w:val="32"/>
          <w:szCs w:val="32"/>
          <w:lang w:eastAsia="zh-CN"/>
        </w:rPr>
        <w:t>高</w:t>
      </w:r>
      <w:r>
        <w:rPr>
          <w:rFonts w:hint="default" w:ascii="仿宋_GB2312" w:hAnsi="仿宋" w:eastAsia="仿宋_GB2312"/>
          <w:sz w:val="32"/>
          <w:szCs w:val="32"/>
          <w:lang w:eastAsia="zh-CN"/>
        </w:rPr>
        <w:t>排气筒（</w:t>
      </w:r>
      <w:r>
        <w:rPr>
          <w:rFonts w:hint="eastAsia" w:ascii="仿宋_GB2312" w:hAnsi="仿宋" w:eastAsia="仿宋_GB2312"/>
          <w:sz w:val="32"/>
          <w:szCs w:val="32"/>
          <w:lang w:val="en-US" w:eastAsia="zh-CN"/>
        </w:rPr>
        <w:t>DA003</w:t>
      </w:r>
      <w:r>
        <w:rPr>
          <w:rFonts w:hint="default" w:ascii="仿宋_GB2312" w:hAnsi="仿宋" w:eastAsia="仿宋_GB2312"/>
          <w:sz w:val="32"/>
          <w:szCs w:val="32"/>
          <w:lang w:eastAsia="zh-CN"/>
        </w:rPr>
        <w:t>）</w:t>
      </w:r>
      <w:r>
        <w:rPr>
          <w:rFonts w:hint="eastAsia" w:ascii="仿宋_GB2312" w:hAnsi="仿宋" w:eastAsia="仿宋_GB2312"/>
          <w:sz w:val="32"/>
          <w:szCs w:val="32"/>
          <w:lang w:eastAsia="zh-CN"/>
        </w:rPr>
        <w:t>达标排放</w:t>
      </w:r>
      <w:r>
        <w:rPr>
          <w:rFonts w:hint="default" w:ascii="仿宋_GB2312" w:hAnsi="仿宋" w:eastAsia="仿宋_GB2312"/>
          <w:sz w:val="32"/>
          <w:szCs w:val="32"/>
          <w:lang w:val="en-US" w:eastAsia="zh-CN"/>
        </w:rPr>
        <w:t>。</w:t>
      </w:r>
      <w:r>
        <w:rPr>
          <w:rFonts w:hint="eastAsia" w:eastAsia="仿宋_GB2312"/>
          <w:snapToGrid w:val="0"/>
          <w:kern w:val="0"/>
          <w:sz w:val="32"/>
          <w:szCs w:val="32"/>
        </w:rPr>
        <w:t>以上废气中氨、硫化氢等恶臭污染物排放浓度执行《恶臭污染物排放标准》（</w:t>
      </w:r>
      <w:r>
        <w:rPr>
          <w:rFonts w:eastAsia="仿宋_GB2312"/>
          <w:snapToGrid w:val="0"/>
          <w:kern w:val="0"/>
          <w:sz w:val="32"/>
          <w:szCs w:val="32"/>
        </w:rPr>
        <w:t>GB14554-93</w:t>
      </w:r>
      <w:r>
        <w:rPr>
          <w:rFonts w:hint="eastAsia" w:eastAsia="仿宋_GB2312"/>
          <w:snapToGrid w:val="0"/>
          <w:kern w:val="0"/>
          <w:sz w:val="32"/>
          <w:szCs w:val="32"/>
        </w:rPr>
        <w:t>）表</w:t>
      </w:r>
      <w:r>
        <w:rPr>
          <w:rFonts w:eastAsia="仿宋_GB2312"/>
          <w:snapToGrid w:val="0"/>
          <w:kern w:val="0"/>
          <w:sz w:val="32"/>
          <w:szCs w:val="32"/>
        </w:rPr>
        <w:t>2</w:t>
      </w:r>
      <w:r>
        <w:rPr>
          <w:rFonts w:hint="eastAsia" w:eastAsia="仿宋_GB2312"/>
          <w:snapToGrid w:val="0"/>
          <w:kern w:val="0"/>
          <w:sz w:val="32"/>
          <w:szCs w:val="32"/>
        </w:rPr>
        <w:t>相应排放标准值，氯化氢参照执行《无机化学工业污染物排放标准》（GB31573-2015）及其修改单表3要求</w:t>
      </w:r>
      <w:r>
        <w:rPr>
          <w:rFonts w:hint="eastAsia" w:eastAsia="仿宋_GB2312"/>
          <w:snapToGrid w:val="0"/>
          <w:kern w:val="0"/>
          <w:sz w:val="32"/>
          <w:szCs w:val="32"/>
          <w:lang w:eastAsia="zh-CN"/>
        </w:rPr>
        <w:t>，</w:t>
      </w:r>
      <w:r>
        <w:rPr>
          <w:rFonts w:hint="eastAsia" w:eastAsia="仿宋_GB2312"/>
          <w:snapToGrid w:val="0"/>
          <w:kern w:val="0"/>
          <w:sz w:val="32"/>
          <w:szCs w:val="32"/>
          <w:lang w:val="en-US" w:eastAsia="zh-CN"/>
        </w:rPr>
        <w:t>VOCs、颗粒物、</w:t>
      </w:r>
      <w:r>
        <w:rPr>
          <w:rFonts w:hint="eastAsia" w:eastAsia="仿宋_GB2312"/>
          <w:snapToGrid w:val="0"/>
          <w:kern w:val="0"/>
          <w:sz w:val="32"/>
          <w:szCs w:val="32"/>
        </w:rPr>
        <w:t>二氧化硫</w:t>
      </w:r>
      <w:r>
        <w:rPr>
          <w:rFonts w:hint="eastAsia" w:eastAsia="仿宋_GB2312"/>
          <w:snapToGrid w:val="0"/>
          <w:kern w:val="0"/>
          <w:sz w:val="32"/>
          <w:szCs w:val="32"/>
          <w:lang w:eastAsia="zh-CN"/>
        </w:rPr>
        <w:t>、氟化物</w:t>
      </w:r>
      <w:r>
        <w:rPr>
          <w:rFonts w:hint="eastAsia" w:eastAsia="仿宋_GB2312"/>
          <w:snapToGrid w:val="0"/>
          <w:kern w:val="0"/>
          <w:sz w:val="32"/>
          <w:szCs w:val="32"/>
        </w:rPr>
        <w:t>排放浓度执行《大气污染物综合排放标准》（GB16297—1996）表2中二级标准</w:t>
      </w:r>
      <w:r>
        <w:rPr>
          <w:rFonts w:hint="eastAsia" w:eastAsia="仿宋_GB2312"/>
          <w:snapToGrid w:val="0"/>
          <w:kern w:val="0"/>
          <w:sz w:val="32"/>
          <w:szCs w:val="32"/>
          <w:lang w:eastAsia="zh-CN"/>
        </w:rPr>
        <w:t>，</w:t>
      </w:r>
      <w:r>
        <w:rPr>
          <w:rFonts w:hint="eastAsia" w:ascii="仿宋_GB2312" w:hAnsi="仿宋_GB2312" w:eastAsia="仿宋_GB2312" w:cs="仿宋_GB2312"/>
          <w:snapToGrid w:val="0"/>
          <w:kern w:val="0"/>
          <w:sz w:val="32"/>
          <w:szCs w:val="32"/>
          <w:lang w:val="en" w:eastAsia="zh-CN" w:bidi="ar-SA"/>
        </w:rPr>
        <w:t>厂内无组织有机废气</w:t>
      </w:r>
      <w:r>
        <w:rPr>
          <w:rFonts w:hint="eastAsia" w:ascii="仿宋_GB2312" w:hAnsi="仿宋_GB2312" w:eastAsia="仿宋_GB2312" w:cs="仿宋_GB2312"/>
          <w:snapToGrid w:val="0"/>
          <w:kern w:val="0"/>
          <w:sz w:val="32"/>
          <w:szCs w:val="32"/>
          <w:lang w:val="en-US" w:eastAsia="zh-CN" w:bidi="ar-SA"/>
        </w:rPr>
        <w:t>执行</w:t>
      </w:r>
      <w:r>
        <w:rPr>
          <w:rFonts w:hint="eastAsia" w:ascii="仿宋_GB2312" w:hAnsi="仿宋_GB2312" w:eastAsia="仿宋_GB2312" w:cs="仿宋_GB2312"/>
          <w:snapToGrid w:val="0"/>
          <w:kern w:val="0"/>
          <w:sz w:val="32"/>
          <w:szCs w:val="32"/>
          <w:lang w:val="en" w:eastAsia="zh-CN" w:bidi="ar-SA"/>
        </w:rPr>
        <w:t>《挥发性有机物无组织排放控制标准》（GB37822-2019）。</w:t>
      </w:r>
    </w:p>
    <w:p>
      <w:pPr>
        <w:pStyle w:val="14"/>
        <w:spacing w:line="520" w:lineRule="exact"/>
        <w:ind w:firstLine="640"/>
        <w:rPr>
          <w:rFonts w:hint="eastAsia" w:ascii="仿宋_GB2312" w:hAnsi="仿宋_GB2312" w:eastAsia="仿宋_GB2312" w:cs="仿宋_GB2312"/>
          <w:snapToGrid w:val="0"/>
          <w:color w:val="auto"/>
          <w:spacing w:val="0"/>
          <w:kern w:val="2"/>
          <w:sz w:val="32"/>
          <w:szCs w:val="32"/>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（三）加强项目运营期水污染防治工作。</w:t>
      </w:r>
      <w:r>
        <w:rPr>
          <w:rFonts w:hint="eastAsia" w:eastAsia="仿宋_GB2312"/>
          <w:kern w:val="2"/>
          <w:sz w:val="32"/>
          <w:szCs w:val="32"/>
        </w:rPr>
        <w:t>严格落实清污分流、雨污分流、污污分流，</w:t>
      </w:r>
      <w:r>
        <w:rPr>
          <w:rFonts w:hint="eastAsia" w:eastAsia="仿宋_GB2312"/>
          <w:sz w:val="32"/>
          <w:szCs w:val="32"/>
        </w:rPr>
        <w:t>规范建设厂区</w:t>
      </w:r>
      <w:r>
        <w:rPr>
          <w:rFonts w:hint="eastAsia" w:ascii="仿宋_GB2312" w:hAnsi="仿宋_GB2312" w:eastAsia="仿宋_GB2312" w:cs="仿宋_GB2312"/>
          <w:snapToGrid w:val="0"/>
          <w:kern w:val="0"/>
          <w:sz w:val="32"/>
          <w:szCs w:val="32"/>
          <w:lang w:val="en" w:eastAsia="zh-CN" w:bidi="ar-SA"/>
        </w:rPr>
        <w:t>给排水系统，</w:t>
      </w:r>
      <w:bookmarkStart w:id="2" w:name="_Hlk191544748"/>
      <w:r>
        <w:rPr>
          <w:rFonts w:hint="eastAsia" w:ascii="仿宋_GB2312" w:hAnsi="仿宋_GB2312" w:eastAsia="仿宋_GB2312" w:cs="仿宋_GB2312"/>
          <w:snapToGrid w:val="0"/>
          <w:kern w:val="0"/>
          <w:sz w:val="32"/>
          <w:szCs w:val="32"/>
          <w:lang w:val="en" w:eastAsia="zh-CN" w:bidi="ar-SA"/>
        </w:rPr>
        <w:t>污水管网</w:t>
      </w:r>
      <w:r>
        <w:rPr>
          <w:rFonts w:hint="eastAsia" w:ascii="仿宋_GB2312" w:hAnsi="仿宋_GB2312" w:eastAsia="仿宋_GB2312" w:cs="仿宋_GB2312"/>
          <w:snapToGrid w:val="0"/>
          <w:kern w:val="0"/>
          <w:sz w:val="32"/>
          <w:szCs w:val="32"/>
          <w:lang w:val="en-US" w:eastAsia="zh-CN" w:bidi="ar-SA"/>
        </w:rPr>
        <w:t>工程</w:t>
      </w:r>
      <w:r>
        <w:rPr>
          <w:rFonts w:hint="eastAsia" w:ascii="仿宋_GB2312" w:hAnsi="仿宋_GB2312" w:eastAsia="仿宋_GB2312" w:cs="仿宋_GB2312"/>
          <w:snapToGrid w:val="0"/>
          <w:kern w:val="0"/>
          <w:sz w:val="32"/>
          <w:szCs w:val="32"/>
          <w:lang w:val="en" w:eastAsia="zh-CN" w:bidi="ar-SA"/>
        </w:rPr>
        <w:t>采取</w:t>
      </w:r>
      <w:r>
        <w:rPr>
          <w:rFonts w:hint="eastAsia" w:ascii="仿宋_GB2312" w:hAnsi="仿宋_GB2312" w:eastAsia="仿宋_GB2312" w:cs="仿宋_GB2312"/>
          <w:snapToGrid w:val="0"/>
          <w:kern w:val="0"/>
          <w:sz w:val="32"/>
          <w:szCs w:val="32"/>
          <w:lang w:val="en-US" w:eastAsia="zh-CN" w:bidi="ar-SA"/>
        </w:rPr>
        <w:t>可视可监测</w:t>
      </w:r>
      <w:r>
        <w:rPr>
          <w:rFonts w:hint="eastAsia" w:ascii="仿宋_GB2312" w:hAnsi="仿宋_GB2312" w:eastAsia="仿宋_GB2312" w:cs="仿宋_GB2312"/>
          <w:snapToGrid w:val="0"/>
          <w:kern w:val="0"/>
          <w:sz w:val="32"/>
          <w:szCs w:val="32"/>
          <w:lang w:val="en" w:eastAsia="zh-CN" w:bidi="ar-SA"/>
        </w:rPr>
        <w:t>的技术措施</w:t>
      </w:r>
      <w:bookmarkEnd w:id="2"/>
      <w:r>
        <w:rPr>
          <w:rFonts w:hint="eastAsia" w:ascii="仿宋_GB2312" w:hAnsi="仿宋_GB2312" w:eastAsia="仿宋_GB2312" w:cs="仿宋_GB2312"/>
          <w:snapToGrid w:val="0"/>
          <w:kern w:val="0"/>
          <w:sz w:val="32"/>
          <w:szCs w:val="32"/>
          <w:lang w:val="en" w:eastAsia="zh-CN" w:bidi="ar-SA"/>
        </w:rPr>
        <w:t>。</w:t>
      </w:r>
      <w:r>
        <w:rPr>
          <w:rFonts w:hint="eastAsia" w:eastAsia="仿宋_GB2312"/>
          <w:sz w:val="32"/>
          <w:szCs w:val="32"/>
        </w:rPr>
        <w:t>工艺废水、地面冲洗废水、设备清洗废水、包装洗桶房</w:t>
      </w:r>
      <w:r>
        <w:rPr>
          <w:rFonts w:hint="eastAsia" w:eastAsia="仿宋_GB2312"/>
          <w:sz w:val="32"/>
          <w:szCs w:val="32"/>
          <w:lang w:eastAsia="zh-CN"/>
        </w:rPr>
        <w:t>粗洗</w:t>
      </w:r>
      <w:r>
        <w:rPr>
          <w:rFonts w:hint="eastAsia" w:eastAsia="仿宋_GB2312"/>
          <w:sz w:val="32"/>
          <w:szCs w:val="32"/>
        </w:rPr>
        <w:t>废水、废气处理废水</w:t>
      </w:r>
      <w:r>
        <w:rPr>
          <w:rFonts w:hint="eastAsia" w:eastAsia="仿宋_GB2312"/>
          <w:sz w:val="32"/>
          <w:szCs w:val="32"/>
          <w:lang w:eastAsia="zh-CN"/>
        </w:rPr>
        <w:t>和</w:t>
      </w:r>
      <w:r>
        <w:rPr>
          <w:rFonts w:hint="eastAsia" w:eastAsia="仿宋_GB2312"/>
          <w:sz w:val="32"/>
          <w:szCs w:val="32"/>
        </w:rPr>
        <w:t>实验室废水排入现有污水处理站</w:t>
      </w:r>
      <w:r>
        <w:rPr>
          <w:rFonts w:hint="eastAsia" w:eastAsia="仿宋_GB2312"/>
          <w:snapToGrid w:val="0"/>
          <w:kern w:val="0"/>
          <w:sz w:val="32"/>
          <w:szCs w:val="32"/>
        </w:rPr>
        <w:t>经“</w:t>
      </w:r>
      <w:r>
        <w:rPr>
          <w:rFonts w:hint="eastAsia" w:eastAsia="仿宋_GB2312"/>
          <w:snapToGrid w:val="0"/>
          <w:kern w:val="0"/>
          <w:sz w:val="32"/>
          <w:szCs w:val="32"/>
          <w:lang w:eastAsia="zh-CN"/>
        </w:rPr>
        <w:t>调节反应</w:t>
      </w:r>
      <w:r>
        <w:rPr>
          <w:rFonts w:hint="eastAsia" w:eastAsia="仿宋_GB2312"/>
          <w:snapToGrid w:val="0"/>
          <w:kern w:val="0"/>
          <w:sz w:val="32"/>
          <w:szCs w:val="32"/>
        </w:rPr>
        <w:t>+絮凝沉淀+UASB+MBR</w:t>
      </w:r>
      <w:r>
        <w:rPr>
          <w:rFonts w:hint="eastAsia" w:eastAsia="仿宋_GB2312"/>
          <w:snapToGrid w:val="0"/>
          <w:kern w:val="0"/>
          <w:sz w:val="32"/>
          <w:szCs w:val="32"/>
          <w:lang w:val="en-US" w:eastAsia="zh-CN"/>
        </w:rPr>
        <w:t>+末端中和反应+絮凝沉淀</w:t>
      </w:r>
      <w:r>
        <w:rPr>
          <w:rFonts w:hint="eastAsia" w:eastAsia="仿宋_GB2312"/>
          <w:snapToGrid w:val="0"/>
          <w:kern w:val="0"/>
          <w:sz w:val="32"/>
          <w:szCs w:val="32"/>
        </w:rPr>
        <w:t>”</w:t>
      </w:r>
      <w:r>
        <w:rPr>
          <w:rFonts w:hint="eastAsia" w:eastAsia="仿宋_GB2312"/>
          <w:sz w:val="32"/>
          <w:szCs w:val="32"/>
        </w:rPr>
        <w:t>处理</w:t>
      </w:r>
      <w:r>
        <w:rPr>
          <w:rFonts w:hint="eastAsia" w:eastAsia="仿宋_GB2312"/>
          <w:sz w:val="32"/>
          <w:szCs w:val="32"/>
          <w:lang w:eastAsia="zh-CN"/>
        </w:rPr>
        <w:t>达标后排入</w:t>
      </w:r>
      <w:r>
        <w:rPr>
          <w:rFonts w:hint="eastAsia" w:eastAsia="仿宋_GB2312"/>
          <w:sz w:val="32"/>
          <w:szCs w:val="32"/>
        </w:rPr>
        <w:t>园区污水处理厂</w:t>
      </w:r>
      <w:r>
        <w:rPr>
          <w:rFonts w:hint="eastAsia" w:eastAsia="仿宋_GB2312"/>
          <w:sz w:val="32"/>
          <w:szCs w:val="32"/>
          <w:lang w:eastAsia="zh-CN"/>
        </w:rPr>
        <w:t>进一步</w:t>
      </w:r>
      <w:r>
        <w:rPr>
          <w:rFonts w:hint="eastAsia" w:eastAsia="仿宋_GB2312"/>
          <w:sz w:val="32"/>
          <w:szCs w:val="32"/>
        </w:rPr>
        <w:t>处理</w:t>
      </w:r>
      <w:r>
        <w:rPr>
          <w:rFonts w:hint="eastAsia" w:eastAsia="仿宋_GB2312" w:cs="Times New Roman"/>
          <w:color w:val="auto"/>
          <w:kern w:val="2"/>
          <w:sz w:val="32"/>
          <w:szCs w:val="32"/>
          <w:highlight w:val="none"/>
          <w:u w:val="none"/>
          <w:lang w:val="en-US" w:eastAsia="zh-CN" w:bidi="ar-SA"/>
        </w:rPr>
        <w:t>；</w:t>
      </w:r>
      <w:r>
        <w:rPr>
          <w:rFonts w:hint="eastAsia" w:eastAsia="仿宋_GB2312"/>
          <w:sz w:val="32"/>
          <w:szCs w:val="32"/>
        </w:rPr>
        <w:t>包装洗桶房</w:t>
      </w:r>
      <w:r>
        <w:rPr>
          <w:rFonts w:hint="eastAsia" w:eastAsia="仿宋_GB2312"/>
          <w:sz w:val="32"/>
          <w:szCs w:val="32"/>
          <w:lang w:eastAsia="zh-CN"/>
        </w:rPr>
        <w:t>精洗</w:t>
      </w:r>
      <w:r>
        <w:rPr>
          <w:rFonts w:hint="eastAsia" w:eastAsia="仿宋_GB2312"/>
          <w:sz w:val="32"/>
          <w:szCs w:val="32"/>
        </w:rPr>
        <w:t>废水</w:t>
      </w:r>
      <w:r>
        <w:rPr>
          <w:rFonts w:hint="eastAsia" w:eastAsia="仿宋_GB2312"/>
          <w:sz w:val="32"/>
          <w:szCs w:val="32"/>
          <w:lang w:eastAsia="zh-CN"/>
        </w:rPr>
        <w:t>和</w:t>
      </w:r>
      <w:r>
        <w:rPr>
          <w:rFonts w:hint="eastAsia" w:eastAsia="仿宋_GB2312"/>
          <w:sz w:val="32"/>
          <w:szCs w:val="32"/>
        </w:rPr>
        <w:t>初期雨水排入现有污水处理站</w:t>
      </w:r>
      <w:r>
        <w:rPr>
          <w:rFonts w:hint="eastAsia" w:eastAsia="仿宋_GB2312"/>
          <w:snapToGrid w:val="0"/>
          <w:kern w:val="0"/>
          <w:sz w:val="32"/>
          <w:szCs w:val="32"/>
        </w:rPr>
        <w:t>经“</w:t>
      </w:r>
      <w:r>
        <w:rPr>
          <w:rFonts w:hint="eastAsia" w:eastAsia="仿宋_GB2312"/>
          <w:snapToGrid w:val="0"/>
          <w:kern w:val="0"/>
          <w:sz w:val="32"/>
          <w:szCs w:val="32"/>
          <w:lang w:eastAsia="zh-CN"/>
        </w:rPr>
        <w:t>中和</w:t>
      </w:r>
      <w:r>
        <w:rPr>
          <w:rFonts w:hint="eastAsia" w:eastAsia="仿宋_GB2312"/>
          <w:snapToGrid w:val="0"/>
          <w:kern w:val="0"/>
          <w:sz w:val="32"/>
          <w:szCs w:val="32"/>
        </w:rPr>
        <w:t>+絮凝沉淀</w:t>
      </w:r>
      <w:r>
        <w:rPr>
          <w:rFonts w:hint="eastAsia" w:eastAsia="仿宋_GB2312"/>
          <w:snapToGrid w:val="0"/>
          <w:kern w:val="0"/>
          <w:sz w:val="32"/>
          <w:szCs w:val="32"/>
          <w:lang w:val="en-US" w:eastAsia="zh-CN"/>
        </w:rPr>
        <w:t>+末端中和反应+絮凝沉淀</w:t>
      </w:r>
      <w:r>
        <w:rPr>
          <w:rFonts w:hint="eastAsia" w:eastAsia="仿宋_GB2312"/>
          <w:snapToGrid w:val="0"/>
          <w:kern w:val="0"/>
          <w:sz w:val="32"/>
          <w:szCs w:val="32"/>
        </w:rPr>
        <w:t>”</w:t>
      </w:r>
      <w:r>
        <w:rPr>
          <w:rFonts w:hint="eastAsia" w:eastAsia="仿宋_GB2312"/>
          <w:sz w:val="32"/>
          <w:szCs w:val="32"/>
        </w:rPr>
        <w:t>处理</w:t>
      </w:r>
      <w:r>
        <w:rPr>
          <w:rFonts w:hint="eastAsia" w:eastAsia="仿宋_GB2312"/>
          <w:sz w:val="32"/>
          <w:szCs w:val="32"/>
          <w:lang w:eastAsia="zh-CN"/>
        </w:rPr>
        <w:t>达标后排入</w:t>
      </w:r>
      <w:r>
        <w:rPr>
          <w:rFonts w:hint="eastAsia" w:eastAsia="仿宋_GB2312"/>
          <w:sz w:val="32"/>
          <w:szCs w:val="32"/>
        </w:rPr>
        <w:t>园区污水处理厂</w:t>
      </w:r>
      <w:r>
        <w:rPr>
          <w:rFonts w:hint="eastAsia" w:eastAsia="仿宋_GB2312"/>
          <w:sz w:val="32"/>
          <w:szCs w:val="32"/>
          <w:lang w:eastAsia="zh-CN"/>
        </w:rPr>
        <w:t>进一步</w:t>
      </w:r>
      <w:r>
        <w:rPr>
          <w:rFonts w:hint="eastAsia" w:eastAsia="仿宋_GB2312"/>
          <w:sz w:val="32"/>
          <w:szCs w:val="32"/>
        </w:rPr>
        <w:t>处理</w:t>
      </w:r>
      <w:r>
        <w:rPr>
          <w:rFonts w:hint="eastAsia" w:eastAsia="仿宋_GB2312"/>
          <w:sz w:val="32"/>
          <w:szCs w:val="32"/>
          <w:lang w:eastAsia="zh-CN"/>
        </w:rPr>
        <w:t>；</w:t>
      </w:r>
      <w:r>
        <w:rPr>
          <w:rFonts w:hint="eastAsia" w:ascii="Times New Roman" w:hAnsi="Times New Roman" w:eastAsia="仿宋_GB2312" w:cs="Times New Roman"/>
          <w:sz w:val="32"/>
          <w:szCs w:val="32"/>
          <w:lang w:val="en-US" w:eastAsia="zh-CN"/>
        </w:rPr>
        <w:t>循环水排污水与</w:t>
      </w:r>
      <w:r>
        <w:rPr>
          <w:rFonts w:hint="eastAsia" w:eastAsia="仿宋_GB2312" w:cs="Times New Roman"/>
          <w:sz w:val="32"/>
          <w:szCs w:val="32"/>
          <w:lang w:val="en-US" w:eastAsia="zh-CN"/>
        </w:rPr>
        <w:t>去离子水制备</w:t>
      </w:r>
      <w:r>
        <w:rPr>
          <w:rFonts w:hint="eastAsia" w:ascii="Times New Roman" w:hAnsi="Times New Roman" w:eastAsia="仿宋_GB2312" w:cs="Times New Roman"/>
          <w:sz w:val="32"/>
          <w:szCs w:val="32"/>
          <w:lang w:val="en-US" w:eastAsia="zh-CN"/>
        </w:rPr>
        <w:t>浓水并入厂区污水处理站末端</w:t>
      </w:r>
      <w:r>
        <w:rPr>
          <w:rFonts w:hint="eastAsia" w:eastAsia="仿宋_GB2312" w:cs="Times New Roman"/>
          <w:sz w:val="32"/>
          <w:szCs w:val="32"/>
          <w:lang w:val="en-US" w:eastAsia="zh-CN"/>
        </w:rPr>
        <w:t>处理</w:t>
      </w:r>
      <w:r>
        <w:rPr>
          <w:rFonts w:hint="eastAsia" w:ascii="Times New Roman" w:hAnsi="Times New Roman" w:eastAsia="仿宋_GB2312" w:cs="Times New Roman"/>
          <w:sz w:val="32"/>
          <w:szCs w:val="32"/>
          <w:lang w:val="en-US" w:eastAsia="zh-CN"/>
        </w:rPr>
        <w:t>达标后排入</w:t>
      </w:r>
      <w:r>
        <w:rPr>
          <w:rFonts w:hint="eastAsia" w:ascii="Times New Roman" w:hAnsi="Times New Roman" w:eastAsia="仿宋_GB2312" w:cs="Times New Roman"/>
          <w:sz w:val="32"/>
          <w:szCs w:val="32"/>
        </w:rPr>
        <w:t>园区污水处理厂</w:t>
      </w:r>
      <w:r>
        <w:rPr>
          <w:rFonts w:hint="eastAsia" w:ascii="Times New Roman" w:hAnsi="Times New Roman" w:eastAsia="仿宋_GB2312" w:cs="Times New Roman"/>
          <w:sz w:val="32"/>
          <w:szCs w:val="32"/>
          <w:lang w:eastAsia="zh-CN"/>
        </w:rPr>
        <w:t>进一步</w:t>
      </w:r>
      <w:r>
        <w:rPr>
          <w:rFonts w:hint="eastAsia" w:ascii="Times New Roman" w:hAnsi="Times New Roman" w:eastAsia="仿宋_GB2312" w:cs="Times New Roman"/>
          <w:sz w:val="32"/>
          <w:szCs w:val="32"/>
        </w:rPr>
        <w:t>处理</w:t>
      </w:r>
      <w:r>
        <w:rPr>
          <w:rFonts w:hint="eastAsia" w:eastAsia="仿宋_GB2312" w:cs="Times New Roman"/>
          <w:sz w:val="32"/>
          <w:szCs w:val="32"/>
          <w:lang w:eastAsia="zh-CN"/>
        </w:rPr>
        <w:t>，</w:t>
      </w:r>
      <w:r>
        <w:rPr>
          <w:rFonts w:hint="eastAsia" w:eastAsia="仿宋_GB2312"/>
          <w:kern w:val="2"/>
          <w:sz w:val="32"/>
          <w:szCs w:val="32"/>
        </w:rPr>
        <w:t>生活污水经厂内化粪池预处理达标后通过园区污水管网排入松木污水处理厂进一步处理</w:t>
      </w:r>
      <w:r>
        <w:rPr>
          <w:rFonts w:hint="eastAsia" w:eastAsia="仿宋_GB2312"/>
          <w:kern w:val="2"/>
          <w:sz w:val="32"/>
          <w:szCs w:val="32"/>
          <w:lang w:eastAsia="zh-CN"/>
        </w:rPr>
        <w:t>，</w:t>
      </w:r>
      <w:r>
        <w:rPr>
          <w:rFonts w:hint="eastAsia" w:ascii="仿宋_GB2312" w:hAnsi="仿宋_GB2312" w:eastAsia="仿宋_GB2312" w:cs="仿宋_GB2312"/>
          <w:snapToGrid w:val="0"/>
          <w:color w:val="auto"/>
          <w:spacing w:val="0"/>
          <w:kern w:val="2"/>
          <w:sz w:val="32"/>
          <w:szCs w:val="32"/>
          <w:lang w:val="en-US" w:eastAsia="zh-CN" w:bidi="ar-SA"/>
        </w:rPr>
        <w:t>其中氨氮、硫酸盐处理后需满足松木污水处理厂纳管标准，其他监测因子处理后需满足《污水综合排放标准》（GB8978-1996）表4中三级标准。</w:t>
      </w:r>
    </w:p>
    <w:p>
      <w:pPr>
        <w:pStyle w:val="4"/>
        <w:widowControl/>
        <w:snapToGrid w:val="0"/>
        <w:spacing w:before="0" w:beforeAutospacing="0" w:after="0" w:afterAutospacing="0" w:line="520" w:lineRule="exact"/>
        <w:ind w:firstLine="640" w:firstLineChars="20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color w:val="auto"/>
          <w:spacing w:val="0"/>
          <w:kern w:val="2"/>
          <w:sz w:val="32"/>
          <w:szCs w:val="32"/>
          <w:lang w:val="en-US" w:eastAsia="zh-CN" w:bidi="ar-SA"/>
        </w:rPr>
        <w:t>（四）加强运营期噪声污染防治措施。项目应合</w:t>
      </w:r>
      <w:r>
        <w:rPr>
          <w:rFonts w:hint="eastAsia" w:ascii="仿宋_GB2312" w:hAnsi="仿宋_GB2312" w:eastAsia="仿宋_GB2312" w:cs="仿宋_GB2312"/>
          <w:snapToGrid w:val="0"/>
          <w:sz w:val="32"/>
          <w:szCs w:val="32"/>
        </w:rPr>
        <w:t>理布置，选用低噪声设备，并采取有效的隔声降噪措施，确保厂界噪声达到《工业企业厂界环境噪声排放标准》（</w:t>
      </w:r>
      <w:r>
        <w:rPr>
          <w:rFonts w:ascii="仿宋_GB2312" w:hAnsi="仿宋_GB2312" w:eastAsia="仿宋_GB2312" w:cs="仿宋_GB2312"/>
          <w:snapToGrid w:val="0"/>
          <w:sz w:val="32"/>
          <w:szCs w:val="32"/>
        </w:rPr>
        <w:t>GB12348-2008）3类标准。</w:t>
      </w:r>
    </w:p>
    <w:p>
      <w:pPr>
        <w:pStyle w:val="14"/>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五</w:t>
      </w:r>
      <w:r>
        <w:rPr>
          <w:rFonts w:hint="eastAsia" w:ascii="仿宋_GB2312" w:hAnsi="仿宋_GB2312" w:eastAsia="仿宋_GB2312" w:cs="仿宋_GB2312"/>
          <w:snapToGrid w:val="0"/>
          <w:sz w:val="32"/>
          <w:szCs w:val="32"/>
        </w:rPr>
        <w:t>）加强固体废物污染防治措施。严格按照“减量化、资源化、无害化”原则，对固体废物进行分类收集和处理，</w:t>
      </w:r>
      <w:r>
        <w:rPr>
          <w:rFonts w:hint="eastAsia" w:ascii="仿宋_GB2312" w:eastAsia="仿宋_GB2312"/>
          <w:sz w:val="32"/>
          <w:szCs w:val="32"/>
        </w:rPr>
        <w:t>厂内设置一般固废暂存场和危废暂存库，其设计、建设、使用、管理应分别满足《一般工业固体废物贮存和填埋污染控制标准》（GB18599-2020）和《危险废物贮存污染控制标准》（GB18597-2023）要求。</w:t>
      </w:r>
      <w:r>
        <w:rPr>
          <w:rFonts w:hint="eastAsia" w:eastAsia="仿宋_GB2312" w:cs="Times New Roman"/>
          <w:color w:val="auto"/>
          <w:sz w:val="32"/>
          <w:szCs w:val="32"/>
          <w:highlight w:val="none"/>
          <w:u w:val="none"/>
          <w:lang w:val="en-US" w:eastAsia="zh-CN"/>
        </w:rPr>
        <w:t>本项目产生的合成废渣、精馏废渣、废包装物（有机原料包装物）、污水处理站污泥</w:t>
      </w:r>
      <w:r>
        <w:rPr>
          <w:rFonts w:hint="default" w:eastAsia="仿宋_GB2312" w:cs="Times New Roman"/>
          <w:color w:val="auto"/>
          <w:sz w:val="32"/>
          <w:szCs w:val="32"/>
          <w:highlight w:val="none"/>
          <w:u w:val="none"/>
          <w:lang w:val="en" w:eastAsia="zh-CN"/>
        </w:rPr>
        <w:t>、</w:t>
      </w:r>
      <w:r>
        <w:rPr>
          <w:rFonts w:hint="eastAsia" w:eastAsia="仿宋_GB2312" w:cs="Times New Roman"/>
          <w:color w:val="auto"/>
          <w:sz w:val="32"/>
          <w:szCs w:val="32"/>
          <w:highlight w:val="none"/>
          <w:u w:val="none"/>
          <w:lang w:val="en-US" w:eastAsia="zh-CN"/>
        </w:rPr>
        <w:t>实验室废液</w:t>
      </w:r>
      <w:r>
        <w:rPr>
          <w:rFonts w:hint="default" w:eastAsia="仿宋_GB2312" w:cs="Times New Roman"/>
          <w:color w:val="auto"/>
          <w:sz w:val="32"/>
          <w:szCs w:val="32"/>
          <w:highlight w:val="none"/>
          <w:u w:val="none"/>
          <w:lang w:val="en" w:eastAsia="zh-CN"/>
        </w:rPr>
        <w:t>以及</w:t>
      </w:r>
      <w:r>
        <w:rPr>
          <w:rFonts w:hint="eastAsia" w:eastAsia="仿宋_GB2312" w:cs="Times New Roman"/>
          <w:color w:val="auto"/>
          <w:sz w:val="32"/>
          <w:szCs w:val="32"/>
          <w:highlight w:val="none"/>
          <w:u w:val="none"/>
          <w:lang w:val="en-US" w:eastAsia="zh-CN"/>
        </w:rPr>
        <w:t>检修保养过程中产生的废油、废含油抹布、废劳保用品和废气处理过程中产生的废活性炭、废树脂等危险废物送有资质单位安全处置；废旧设备以及制备去离子水产生的废活性炭和废膜均委外处理；</w:t>
      </w:r>
      <w:r>
        <w:rPr>
          <w:rFonts w:hint="default" w:ascii="Times New Roman" w:hAnsi="Times New Roman" w:eastAsia="仿宋_GB2312" w:cs="Times New Roman"/>
          <w:color w:val="auto"/>
          <w:sz w:val="32"/>
          <w:szCs w:val="32"/>
          <w:highlight w:val="none"/>
          <w:u w:val="none"/>
          <w:lang w:val="en-US" w:eastAsia="zh-CN"/>
        </w:rPr>
        <w:t>生活垃圾</w:t>
      </w:r>
      <w:r>
        <w:rPr>
          <w:rFonts w:hint="eastAsia" w:ascii="Times New Roman" w:hAnsi="Times New Roman" w:eastAsia="仿宋_GB2312" w:cs="Times New Roman"/>
          <w:color w:val="auto"/>
          <w:sz w:val="32"/>
          <w:szCs w:val="32"/>
          <w:highlight w:val="none"/>
          <w:u w:val="none"/>
          <w:lang w:val="en-US" w:eastAsia="zh-CN"/>
        </w:rPr>
        <w:t>交由</w:t>
      </w:r>
      <w:r>
        <w:rPr>
          <w:rFonts w:hint="default" w:ascii="Times New Roman" w:hAnsi="Times New Roman" w:eastAsia="仿宋_GB2312" w:cs="Times New Roman"/>
          <w:color w:val="auto"/>
          <w:sz w:val="32"/>
          <w:szCs w:val="32"/>
          <w:highlight w:val="none"/>
          <w:u w:val="none"/>
          <w:lang w:val="en-US" w:eastAsia="zh-CN"/>
        </w:rPr>
        <w:t>环卫部门</w:t>
      </w:r>
      <w:r>
        <w:rPr>
          <w:rFonts w:hint="eastAsia" w:eastAsia="仿宋_GB2312" w:cs="Times New Roman"/>
          <w:color w:val="auto"/>
          <w:sz w:val="32"/>
          <w:szCs w:val="32"/>
          <w:highlight w:val="none"/>
          <w:u w:val="none"/>
          <w:lang w:val="en-US" w:eastAsia="zh-CN"/>
        </w:rPr>
        <w:t>统一</w:t>
      </w:r>
      <w:r>
        <w:rPr>
          <w:rFonts w:hint="default" w:ascii="Times New Roman" w:hAnsi="Times New Roman" w:eastAsia="仿宋_GB2312" w:cs="Times New Roman"/>
          <w:color w:val="auto"/>
          <w:sz w:val="32"/>
          <w:szCs w:val="32"/>
          <w:highlight w:val="none"/>
          <w:u w:val="none"/>
          <w:lang w:val="en-US" w:eastAsia="zh-CN"/>
        </w:rPr>
        <w:t>处置。</w:t>
      </w:r>
    </w:p>
    <w:p>
      <w:pPr>
        <w:pStyle w:val="4"/>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六）加强地下水及土壤污染防治措施。按照“源头控制、分区防治、污染监控、应急响应”相结合的原则，从污染物的产生、入渗、扩散、应急响应全方位进行控制。各级防渗区要严格按照国家有关标准和规范，切实落实防渗措施，并从源头控制和过程控制来降低对土壤环境和地下水的影响。按规范设置地下水跟踪监测点监测水质，一旦发现地下水质发生异常，应及时启动应急预案，并及时上报当地生态环境主管部门。</w:t>
      </w:r>
    </w:p>
    <w:p>
      <w:pPr>
        <w:pStyle w:val="4"/>
        <w:widowControl/>
        <w:snapToGrid w:val="0"/>
        <w:spacing w:before="0" w:beforeAutospacing="0" w:after="0" w:afterAutospacing="0" w:line="520" w:lineRule="exact"/>
        <w:ind w:firstLine="640" w:firstLineChars="200"/>
        <w:jc w:val="both"/>
        <w:rPr>
          <w:rFonts w:hint="eastAsia"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eastAsia="zh-CN"/>
        </w:rPr>
        <w:t>（七）落实“以新带老”各项措施，对污水处理站</w:t>
      </w:r>
      <w:r>
        <w:rPr>
          <w:rFonts w:hint="eastAsia" w:ascii="仿宋_GB2312" w:hAnsi="仿宋_GB2312" w:eastAsia="仿宋_GB2312" w:cs="仿宋_GB2312"/>
          <w:snapToGrid w:val="0"/>
          <w:sz w:val="32"/>
          <w:szCs w:val="32"/>
          <w:lang w:val="en-US" w:eastAsia="zh-CN"/>
        </w:rPr>
        <w:t>密封不严的地方重新“加盖密封+负压抽吸”；拆除现有已建焚烧炉，危废全部送有资质单位处理；现有工程原辅料中涉及的新污染物二氯甲烷严格按照《湖南省新污染物治理工作方案》实施管控。</w:t>
      </w:r>
    </w:p>
    <w:p>
      <w:pPr>
        <w:pStyle w:val="4"/>
        <w:widowControl/>
        <w:snapToGrid w:val="0"/>
        <w:spacing w:before="0" w:beforeAutospacing="0" w:after="0" w:afterAutospacing="0" w:line="520" w:lineRule="exact"/>
        <w:ind w:firstLine="640" w:firstLineChars="20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八</w:t>
      </w:r>
      <w:r>
        <w:rPr>
          <w:rFonts w:hint="eastAsia" w:ascii="仿宋_GB2312" w:hAnsi="仿宋_GB2312" w:eastAsia="仿宋_GB2312" w:cs="仿宋_GB2312"/>
          <w:snapToGrid w:val="0"/>
          <w:sz w:val="32"/>
          <w:szCs w:val="32"/>
        </w:rPr>
        <w:t>）排放口和固体废物堆场应按照《环境保护图形标志》（</w:t>
      </w:r>
      <w:r>
        <w:rPr>
          <w:rFonts w:ascii="仿宋_GB2312" w:hAnsi="仿宋_GB2312" w:eastAsia="仿宋_GB2312" w:cs="仿宋_GB2312"/>
          <w:snapToGrid w:val="0"/>
          <w:sz w:val="32"/>
          <w:szCs w:val="32"/>
        </w:rPr>
        <w:t>GB15562.1-2-</w:t>
      </w:r>
      <w:r>
        <w:rPr>
          <w:rFonts w:hint="eastAsia" w:ascii="仿宋_GB2312" w:hAnsi="仿宋_GB2312" w:eastAsia="仿宋_GB2312" w:cs="仿宋_GB2312"/>
          <w:snapToGrid w:val="0"/>
          <w:sz w:val="32"/>
          <w:szCs w:val="32"/>
          <w:lang w:val="en-US" w:eastAsia="zh-CN"/>
        </w:rPr>
        <w:t>19</w:t>
      </w:r>
      <w:r>
        <w:rPr>
          <w:rFonts w:ascii="仿宋_GB2312" w:hAnsi="仿宋_GB2312" w:eastAsia="仿宋_GB2312" w:cs="仿宋_GB2312"/>
          <w:snapToGrid w:val="0"/>
          <w:sz w:val="32"/>
          <w:szCs w:val="32"/>
        </w:rPr>
        <w:t>95）等规定，设置国家生态环境部统一制作的环境保护图形标志牌，在各气、水、声排污口（污染源）挂牌标识，做到各排污口（污染源）的环保标志明显，便于企业管理和公众监督。</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cs="Times New Roman"/>
          <w:lang w:val="en-US" w:eastAsia="zh-CN"/>
        </w:rPr>
      </w:pPr>
      <w:r>
        <w:rPr>
          <w:rFonts w:hint="eastAsia"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lang w:eastAsia="zh-CN"/>
        </w:rPr>
        <w:t>九</w:t>
      </w:r>
      <w:r>
        <w:rPr>
          <w:rFonts w:hint="eastAsia" w:ascii="仿宋_GB2312" w:hAnsi="仿宋_GB2312" w:eastAsia="仿宋_GB2312" w:cs="仿宋_GB2312"/>
          <w:snapToGrid w:val="0"/>
          <w:sz w:val="32"/>
          <w:szCs w:val="32"/>
        </w:rPr>
        <w:t>）加强环境风险防范。</w:t>
      </w:r>
      <w:r>
        <w:rPr>
          <w:rFonts w:hint="eastAsia" w:ascii="仿宋_GB2312" w:hAnsi="仿宋_GB2312" w:eastAsia="仿宋_GB2312" w:cs="仿宋_GB2312"/>
          <w:snapToGrid w:val="0"/>
          <w:kern w:val="0"/>
          <w:sz w:val="32"/>
          <w:szCs w:val="32"/>
        </w:rPr>
        <w:t>建设单位须加强项目的日常管理和安全防范，企业应建立健全各项环保规章制度和岗位责任制，设置专门的环保管理机构，落实专职环保技术人员、落实环境管理与监测计划。建立健全风险防控体系和事故排放污染收集系统，按国家《危险化学品安全管理条例》《危险废物收集贮存运输技术规范》等的规定，加强对运输、储存、使用等各环节所涉及的危险化学品、危险废物的安全管理。加强环保设施在日常运行、检修等各时段的安全隐患排查和风险管控工作，建立环保设施安全台账和管理制度，并加强管理和巡查，杜绝发生环保设施安全事故。强化风险管理和事故的预防，设置足够容积的事故应急池，做好环境风险的巡查、监控等管理，制定突发环境事件应急预案，配备相应的应急物资，确保环境风险得到有效控制。</w:t>
      </w:r>
    </w:p>
    <w:p>
      <w:pPr>
        <w:adjustRightInd w:val="0"/>
        <w:snapToGrid w:val="0"/>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四</w:t>
      </w:r>
      <w:r>
        <w:rPr>
          <w:rFonts w:hint="eastAsia" w:eastAsia="仿宋_GB2312"/>
          <w:sz w:val="32"/>
          <w:szCs w:val="32"/>
        </w:rPr>
        <w:t>、严格落实污染物排放总量控制措施。本项目实施后</w:t>
      </w:r>
      <w:r>
        <w:rPr>
          <w:rFonts w:hint="eastAsia" w:eastAsia="仿宋_GB2312"/>
          <w:sz w:val="32"/>
          <w:szCs w:val="32"/>
          <w:lang w:eastAsia="zh-CN"/>
        </w:rPr>
        <w:t>全厂</w:t>
      </w:r>
      <w:r>
        <w:rPr>
          <w:rFonts w:hint="eastAsia" w:eastAsia="仿宋_GB2312"/>
          <w:sz w:val="32"/>
          <w:szCs w:val="32"/>
        </w:rPr>
        <w:t>污染物排放总量必须严格控制在以下指标</w:t>
      </w:r>
      <w:r>
        <w:rPr>
          <w:rFonts w:hint="eastAsia" w:ascii="Times New Roman" w:hAnsi="Times New Roman" w:eastAsia="仿宋_GB2312" w:cs="Times New Roman"/>
          <w:sz w:val="32"/>
          <w:szCs w:val="32"/>
        </w:rPr>
        <w:t>内：</w:t>
      </w:r>
      <w:r>
        <w:rPr>
          <w:rFonts w:hint="eastAsia" w:eastAsia="仿宋_GB2312"/>
          <w:sz w:val="32"/>
          <w:szCs w:val="32"/>
        </w:rPr>
        <w:t>化学需氧量≤</w:t>
      </w:r>
      <w:r>
        <w:rPr>
          <w:rFonts w:hint="eastAsia" w:eastAsia="仿宋_GB2312"/>
          <w:sz w:val="32"/>
          <w:szCs w:val="32"/>
          <w:lang w:val="en-US" w:eastAsia="zh-CN"/>
        </w:rPr>
        <w:t>5.31</w:t>
      </w:r>
      <w:r>
        <w:rPr>
          <w:rFonts w:hint="eastAsia" w:eastAsia="仿宋_GB2312"/>
          <w:sz w:val="32"/>
          <w:szCs w:val="32"/>
        </w:rPr>
        <w:t>吨/年</w:t>
      </w:r>
      <w:r>
        <w:rPr>
          <w:rFonts w:hint="eastAsia" w:eastAsia="仿宋_GB2312"/>
          <w:sz w:val="32"/>
          <w:szCs w:val="32"/>
          <w:lang w:eastAsia="zh-CN"/>
        </w:rPr>
        <w:t>，</w:t>
      </w:r>
      <w:r>
        <w:rPr>
          <w:rFonts w:hint="eastAsia" w:eastAsia="仿宋_GB2312"/>
          <w:sz w:val="32"/>
          <w:szCs w:val="32"/>
        </w:rPr>
        <w:t>氨氮≤</w:t>
      </w:r>
      <w:r>
        <w:rPr>
          <w:rFonts w:hint="eastAsia" w:eastAsia="仿宋_GB2312"/>
          <w:sz w:val="32"/>
          <w:szCs w:val="32"/>
          <w:lang w:val="en-US" w:eastAsia="zh-CN"/>
        </w:rPr>
        <w:t>0.85</w:t>
      </w:r>
      <w:r>
        <w:rPr>
          <w:rFonts w:hint="eastAsia" w:eastAsia="仿宋_GB2312"/>
          <w:sz w:val="32"/>
          <w:szCs w:val="32"/>
        </w:rPr>
        <w:t>吨/年</w:t>
      </w:r>
      <w:r>
        <w:rPr>
          <w:rFonts w:hint="eastAsia" w:eastAsia="仿宋_GB2312"/>
          <w:sz w:val="32"/>
          <w:szCs w:val="32"/>
          <w:lang w:eastAsia="zh-CN"/>
        </w:rPr>
        <w:t>，二氧化硫</w:t>
      </w:r>
      <w:r>
        <w:rPr>
          <w:rFonts w:hint="eastAsia" w:eastAsia="仿宋_GB2312"/>
          <w:sz w:val="32"/>
          <w:szCs w:val="32"/>
        </w:rPr>
        <w:t>≤</w:t>
      </w:r>
      <w:r>
        <w:rPr>
          <w:rFonts w:hint="eastAsia" w:eastAsia="仿宋_GB2312"/>
          <w:sz w:val="32"/>
          <w:szCs w:val="32"/>
          <w:lang w:val="en-US" w:eastAsia="zh-CN"/>
        </w:rPr>
        <w:t>13.16</w:t>
      </w:r>
      <w:r>
        <w:rPr>
          <w:rFonts w:hint="eastAsia" w:eastAsia="仿宋_GB2312"/>
          <w:sz w:val="32"/>
          <w:szCs w:val="32"/>
        </w:rPr>
        <w:t>吨/年</w:t>
      </w:r>
      <w:r>
        <w:rPr>
          <w:rFonts w:hint="eastAsia" w:eastAsia="仿宋_GB2312"/>
          <w:sz w:val="32"/>
          <w:szCs w:val="32"/>
          <w:lang w:eastAsia="zh-CN"/>
        </w:rPr>
        <w:t>，氮氧化物</w:t>
      </w:r>
      <w:r>
        <w:rPr>
          <w:rFonts w:hint="eastAsia" w:eastAsia="仿宋_GB2312"/>
          <w:sz w:val="32"/>
          <w:szCs w:val="32"/>
        </w:rPr>
        <w:t>≤</w:t>
      </w:r>
      <w:r>
        <w:rPr>
          <w:rFonts w:hint="eastAsia" w:eastAsia="仿宋_GB2312"/>
          <w:sz w:val="32"/>
          <w:szCs w:val="32"/>
          <w:lang w:val="en-US" w:eastAsia="zh-CN"/>
        </w:rPr>
        <w:t>0.03吨/年，VOCs</w:t>
      </w:r>
      <w:r>
        <w:rPr>
          <w:rFonts w:hint="eastAsia" w:eastAsia="仿宋_GB2312"/>
          <w:sz w:val="32"/>
          <w:szCs w:val="32"/>
        </w:rPr>
        <w:t>≤</w:t>
      </w:r>
      <w:r>
        <w:rPr>
          <w:rFonts w:hint="eastAsia" w:eastAsia="仿宋_GB2312"/>
          <w:sz w:val="32"/>
          <w:szCs w:val="32"/>
          <w:lang w:val="en-US" w:eastAsia="zh-CN"/>
        </w:rPr>
        <w:t>6.</w:t>
      </w:r>
      <w:r>
        <w:rPr>
          <w:rFonts w:hint="default" w:eastAsia="仿宋_GB2312"/>
          <w:sz w:val="32"/>
          <w:szCs w:val="32"/>
          <w:lang w:val="en" w:eastAsia="zh-CN"/>
        </w:rPr>
        <w:t>242</w:t>
      </w:r>
      <w:r>
        <w:rPr>
          <w:rFonts w:hint="eastAsia" w:eastAsia="仿宋_GB2312"/>
          <w:sz w:val="32"/>
          <w:szCs w:val="32"/>
          <w:lang w:val="en-US" w:eastAsia="zh-CN"/>
        </w:rPr>
        <w:t>吨/年</w:t>
      </w:r>
      <w:r>
        <w:rPr>
          <w:rFonts w:hint="eastAsia" w:eastAsia="仿宋_GB2312"/>
          <w:sz w:val="32"/>
          <w:szCs w:val="32"/>
          <w:lang w:eastAsia="zh-CN"/>
        </w:rPr>
        <w:t>。</w:t>
      </w:r>
    </w:p>
    <w:p>
      <w:pPr>
        <w:adjustRightInd w:val="0"/>
        <w:snapToGrid w:val="0"/>
        <w:spacing w:line="600" w:lineRule="exact"/>
        <w:ind w:firstLine="640" w:firstLineChars="200"/>
        <w:rPr>
          <w:rFonts w:hint="eastAsia" w:ascii="仿宋_GB2312" w:hAnsi="仿宋_GB2312" w:eastAsia="仿宋_GB2312" w:cs="仿宋_GB2312"/>
          <w:snapToGrid w:val="0"/>
          <w:sz w:val="32"/>
          <w:szCs w:val="32"/>
          <w:lang w:eastAsia="zh-CN"/>
        </w:rPr>
      </w:pPr>
      <w:r>
        <w:rPr>
          <w:rFonts w:hint="eastAsia" w:eastAsia="仿宋_GB2312"/>
          <w:sz w:val="32"/>
          <w:szCs w:val="32"/>
          <w:lang w:eastAsia="zh-CN"/>
        </w:rPr>
        <w:t>五</w:t>
      </w:r>
      <w:bookmarkStart w:id="3" w:name="_GoBack"/>
      <w:bookmarkEnd w:id="3"/>
      <w:r>
        <w:rPr>
          <w:rFonts w:hint="eastAsia" w:eastAsia="仿宋_GB2312"/>
          <w:sz w:val="32"/>
          <w:szCs w:val="32"/>
        </w:rPr>
        <w:t>、你公司须严格按照《排污许可管理条例》要求落实</w:t>
      </w:r>
      <w:r>
        <w:rPr>
          <w:rFonts w:hint="eastAsia" w:ascii="仿宋_GB2312" w:hAnsi="仿宋_GB2312" w:eastAsia="仿宋_GB2312" w:cs="仿宋_GB2312"/>
          <w:snapToGrid w:val="0"/>
          <w:sz w:val="32"/>
          <w:szCs w:val="32"/>
        </w:rPr>
        <w:t>排污许可相关工作。项目建设必须严格执行配套的环境保护设施与主体工程同时设计、同时施工、同时投入使用的“三同时”制度。项目竣工后，按照相关规定做好环保竣工验收工作。《报告书》经批准后，该项目的性质、规模、地点、生产工艺或者防治污染、防止生态破坏的措施发生重大变动的，须重新报批环境影响报告书。自《报告书》批复文件批准之日起，如超过</w:t>
      </w:r>
      <w:r>
        <w:rPr>
          <w:rFonts w:ascii="仿宋_GB2312" w:hAnsi="仿宋_GB2312" w:eastAsia="仿宋_GB2312" w:cs="仿宋_GB2312"/>
          <w:snapToGrid w:val="0"/>
          <w:sz w:val="32"/>
          <w:szCs w:val="32"/>
        </w:rPr>
        <w:t>5年方决定工程开工建设的，环境影响报告书应当报我局重新审核</w:t>
      </w:r>
      <w:r>
        <w:rPr>
          <w:rFonts w:hint="eastAsia" w:ascii="仿宋_GB2312" w:hAnsi="仿宋_GB2312" w:eastAsia="仿宋_GB2312" w:cs="仿宋_GB2312"/>
          <w:snapToGrid w:val="0"/>
          <w:sz w:val="32"/>
          <w:szCs w:val="32"/>
          <w:lang w:eastAsia="zh-CN"/>
        </w:rPr>
        <w:t>。</w:t>
      </w:r>
      <w:r>
        <w:rPr>
          <w:rFonts w:hint="eastAsia" w:eastAsia="仿宋_GB2312"/>
          <w:snapToGrid w:val="0"/>
          <w:kern w:val="0"/>
          <w:sz w:val="32"/>
          <w:szCs w:val="32"/>
        </w:rPr>
        <w:t>自《报告书》批复文件批准之日起，如超过</w:t>
      </w:r>
      <w:r>
        <w:rPr>
          <w:rFonts w:eastAsia="仿宋_GB2312"/>
          <w:snapToGrid w:val="0"/>
          <w:kern w:val="0"/>
          <w:sz w:val="32"/>
          <w:szCs w:val="32"/>
        </w:rPr>
        <w:t>5年方决定工程开工建设的，环境影响报告书应当报我局重新审核。本项目“三同时”监督检查和事中、事后日常环境管理工作由衡阳市生态环境局</w:t>
      </w:r>
      <w:r>
        <w:rPr>
          <w:rFonts w:hint="eastAsia" w:eastAsia="仿宋_GB2312"/>
          <w:snapToGrid w:val="0"/>
          <w:kern w:val="0"/>
          <w:sz w:val="32"/>
          <w:szCs w:val="32"/>
          <w:lang w:eastAsia="zh-CN"/>
        </w:rPr>
        <w:t>化工园区管理科</w:t>
      </w:r>
      <w:r>
        <w:rPr>
          <w:rFonts w:eastAsia="仿宋_GB2312"/>
          <w:snapToGrid w:val="0"/>
          <w:kern w:val="0"/>
          <w:sz w:val="32"/>
          <w:szCs w:val="32"/>
        </w:rPr>
        <w:t>具体负责，并按规定接受各级生态环境行政主管部门的监督检查。</w:t>
      </w:r>
    </w:p>
    <w:p>
      <w:pPr>
        <w:adjustRightInd w:val="0"/>
        <w:snapToGrid w:val="0"/>
        <w:spacing w:line="600" w:lineRule="exact"/>
        <w:ind w:firstLine="640" w:firstLineChars="200"/>
        <w:rPr>
          <w:rFonts w:ascii="仿宋_GB2312" w:hAnsi="仿宋_GB2312" w:eastAsia="仿宋_GB2312" w:cs="仿宋_GB2312"/>
          <w:snapToGrid w:val="0"/>
          <w:sz w:val="32"/>
          <w:szCs w:val="32"/>
        </w:rPr>
      </w:pPr>
      <w:r>
        <w:rPr>
          <w:rFonts w:ascii="仿宋_GB2312" w:hAnsi="仿宋_GB2312" w:eastAsia="仿宋_GB2312" w:cs="仿宋_GB2312"/>
          <w:snapToGrid w:val="0"/>
          <w:sz w:val="32"/>
          <w:szCs w:val="32"/>
        </w:rPr>
        <w:t>你公司如对本批复不服，可以在收到决定书之日起六十日内依法向衡阳市人民政府申请行政复议，或者六个月内向衡阳铁路运输法院提起行政诉讼。</w:t>
      </w:r>
    </w:p>
    <w:p>
      <w:pPr>
        <w:pStyle w:val="8"/>
      </w:pPr>
    </w:p>
    <w:p>
      <w:pPr>
        <w:pStyle w:val="4"/>
        <w:widowControl/>
        <w:snapToGrid w:val="0"/>
        <w:spacing w:before="0" w:beforeAutospacing="0" w:after="0" w:afterAutospacing="0" w:line="520" w:lineRule="exact"/>
        <w:ind w:firstLine="640" w:firstLineChars="200"/>
        <w:jc w:val="both"/>
        <w:rPr>
          <w:rFonts w:ascii="仿宋_GB2312" w:hAnsi="仿宋_GB2312" w:eastAsia="仿宋_GB2312" w:cs="仿宋_GB2312"/>
          <w:snapToGrid w:val="0"/>
          <w:sz w:val="32"/>
          <w:szCs w:val="32"/>
        </w:rPr>
      </w:pPr>
    </w:p>
    <w:p>
      <w:pPr>
        <w:keepNext w:val="0"/>
        <w:keepLines w:val="0"/>
        <w:pageBreakBefore w:val="0"/>
        <w:kinsoku/>
        <w:wordWrap/>
        <w:overflowPunct/>
        <w:topLinePunct w:val="0"/>
        <w:bidi w:val="0"/>
        <w:spacing w:line="520" w:lineRule="exact"/>
        <w:textAlignment w:val="auto"/>
        <w:rPr>
          <w:rFonts w:hint="default" w:ascii="Times New Roman" w:hAnsi="Times New Roman" w:cs="Times New Roman"/>
        </w:rPr>
      </w:pPr>
    </w:p>
    <w:p>
      <w:pPr>
        <w:pStyle w:val="8"/>
        <w:rPr>
          <w:rFonts w:hint="default" w:ascii="Times New Roman" w:hAnsi="Times New Roman" w:cs="Times New Roman"/>
        </w:rPr>
      </w:pPr>
    </w:p>
    <w:p>
      <w:pPr>
        <w:adjustRightInd w:val="0"/>
        <w:snapToGrid w:val="0"/>
        <w:spacing w:line="600" w:lineRule="exact"/>
        <w:ind w:firstLine="420" w:firstLineChars="200"/>
        <w:rPr>
          <w:rFonts w:hint="eastAsia" w:ascii="仿宋_GB2312" w:hAnsi="仿宋_GB2312" w:eastAsia="仿宋_GB2312" w:cs="仿宋_GB2312"/>
          <w:snapToGrid w:val="0"/>
          <w:sz w:val="32"/>
          <w:szCs w:val="32"/>
          <w:lang w:val="en-US" w:eastAsia="zh-CN"/>
        </w:rPr>
      </w:pPr>
      <w:r>
        <w:rPr>
          <w:rFonts w:hint="eastAsia" w:cs="Times New Roman"/>
          <w:lang w:val="en-US" w:eastAsia="zh-CN"/>
        </w:rPr>
        <w:t xml:space="preserve">                                                </w:t>
      </w:r>
      <w:r>
        <w:rPr>
          <w:rFonts w:hint="eastAsia" w:ascii="仿宋_GB2312" w:hAnsi="仿宋_GB2312" w:eastAsia="仿宋_GB2312" w:cs="仿宋_GB2312"/>
          <w:snapToGrid w:val="0"/>
          <w:sz w:val="32"/>
          <w:szCs w:val="32"/>
          <w:lang w:val="en-US" w:eastAsia="zh-CN"/>
        </w:rPr>
        <w:t xml:space="preserve"> 衡阳市生态环境局</w:t>
      </w:r>
    </w:p>
    <w:p>
      <w:pPr>
        <w:adjustRightInd w:val="0"/>
        <w:snapToGrid w:val="0"/>
        <w:spacing w:line="600" w:lineRule="exact"/>
        <w:ind w:left="7038" w:leftChars="304" w:hanging="6400" w:hangingChars="2000"/>
        <w:rPr>
          <w:rFonts w:hint="default" w:ascii="仿宋_GB2312" w:hAnsi="仿宋_GB2312" w:eastAsia="仿宋_GB2312" w:cs="仿宋_GB2312"/>
          <w:snapToGrid w:val="0"/>
          <w:sz w:val="32"/>
          <w:szCs w:val="32"/>
          <w:lang w:val="en-US" w:eastAsia="zh-CN"/>
        </w:rPr>
      </w:pPr>
      <w:r>
        <w:rPr>
          <w:rFonts w:hint="eastAsia" w:ascii="仿宋_GB2312" w:hAnsi="仿宋_GB2312" w:eastAsia="仿宋_GB2312" w:cs="仿宋_GB2312"/>
          <w:snapToGrid w:val="0"/>
          <w:sz w:val="32"/>
          <w:szCs w:val="32"/>
          <w:lang w:val="en-US" w:eastAsia="zh-CN"/>
        </w:rPr>
        <w:t xml:space="preserve">                               2025年</w:t>
      </w:r>
      <w:r>
        <w:rPr>
          <w:rFonts w:hint="default" w:ascii="仿宋_GB2312" w:hAnsi="仿宋_GB2312" w:eastAsia="仿宋_GB2312" w:cs="仿宋_GB2312"/>
          <w:snapToGrid w:val="0"/>
          <w:sz w:val="32"/>
          <w:szCs w:val="32"/>
          <w:lang w:val="en" w:eastAsia="zh-CN"/>
        </w:rPr>
        <w:t>10</w:t>
      </w:r>
      <w:r>
        <w:rPr>
          <w:rFonts w:hint="eastAsia" w:ascii="仿宋_GB2312" w:hAnsi="仿宋_GB2312" w:eastAsia="仿宋_GB2312" w:cs="仿宋_GB2312"/>
          <w:snapToGrid w:val="0"/>
          <w:sz w:val="32"/>
          <w:szCs w:val="32"/>
          <w:lang w:val="en-US" w:eastAsia="zh-CN"/>
        </w:rPr>
        <w:t>月28日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Cambria Math">
    <w:altName w:val="DejaVu Math TeX Gyre"/>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Zjk5ZGY3MDFlOWEyYjhhYTQ0NjQwMjE5YTkwM2UifQ=="/>
  </w:docVars>
  <w:rsids>
    <w:rsidRoot w:val="001E3551"/>
    <w:rsid w:val="001E3551"/>
    <w:rsid w:val="040C727D"/>
    <w:rsid w:val="074A055B"/>
    <w:rsid w:val="0AA33FC3"/>
    <w:rsid w:val="10A44B5D"/>
    <w:rsid w:val="128D282A"/>
    <w:rsid w:val="1AFB4E89"/>
    <w:rsid w:val="1E1FC453"/>
    <w:rsid w:val="276274AD"/>
    <w:rsid w:val="2A114CD6"/>
    <w:rsid w:val="2E782484"/>
    <w:rsid w:val="33092244"/>
    <w:rsid w:val="35F7D390"/>
    <w:rsid w:val="382743E2"/>
    <w:rsid w:val="3C132EDB"/>
    <w:rsid w:val="4064446E"/>
    <w:rsid w:val="43AD0576"/>
    <w:rsid w:val="43F50859"/>
    <w:rsid w:val="452B299F"/>
    <w:rsid w:val="4B5D20B0"/>
    <w:rsid w:val="4C0812AC"/>
    <w:rsid w:val="4FED84BA"/>
    <w:rsid w:val="593730A6"/>
    <w:rsid w:val="5A9470E3"/>
    <w:rsid w:val="5BB43EFF"/>
    <w:rsid w:val="5EE41C1B"/>
    <w:rsid w:val="5F7EFFFE"/>
    <w:rsid w:val="5FBB049C"/>
    <w:rsid w:val="63B3440C"/>
    <w:rsid w:val="66A90A9A"/>
    <w:rsid w:val="66BE3CDC"/>
    <w:rsid w:val="677F53DF"/>
    <w:rsid w:val="6C2F15A9"/>
    <w:rsid w:val="6FBF08C6"/>
    <w:rsid w:val="77F6DC07"/>
    <w:rsid w:val="77FB2352"/>
    <w:rsid w:val="79672A77"/>
    <w:rsid w:val="7AFB07EF"/>
    <w:rsid w:val="7DAD0CBD"/>
    <w:rsid w:val="7F9450F2"/>
    <w:rsid w:val="7FD72AB7"/>
    <w:rsid w:val="93BDAA6D"/>
    <w:rsid w:val="9EF6C2D4"/>
    <w:rsid w:val="B7DF0C1B"/>
    <w:rsid w:val="BADAEA00"/>
    <w:rsid w:val="BEF58EC3"/>
    <w:rsid w:val="D7FF95E9"/>
    <w:rsid w:val="DEFF8E6C"/>
    <w:rsid w:val="EB159DCB"/>
    <w:rsid w:val="F37B9E59"/>
    <w:rsid w:val="F68D5D54"/>
    <w:rsid w:val="F73A7EA1"/>
    <w:rsid w:val="F7D7F6E3"/>
    <w:rsid w:val="F9F92BDE"/>
    <w:rsid w:val="FD8B34F8"/>
    <w:rsid w:val="FDFDD414"/>
    <w:rsid w:val="FE5FD404"/>
    <w:rsid w:val="FF9D21A2"/>
    <w:rsid w:val="FFDB9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basedOn w:val="9"/>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纯文本1"/>
    <w:basedOn w:val="1"/>
    <w:qFormat/>
    <w:uiPriority w:val="0"/>
    <w:rPr>
      <w:rFonts w:ascii="宋体" w:hAnsi="Courier New"/>
    </w:rPr>
  </w:style>
  <w:style w:type="paragraph" w:customStyle="1" w:styleId="10">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mbria Math" w:cs="Courier New"/>
      <w:kern w:val="0"/>
      <w:sz w:val="22"/>
      <w:szCs w:val="22"/>
    </w:rPr>
  </w:style>
  <w:style w:type="paragraph" w:customStyle="1" w:styleId="11">
    <w:name w:val="！正文 Alt+0"/>
    <w:basedOn w:val="1"/>
    <w:qFormat/>
    <w:uiPriority w:val="0"/>
    <w:pPr>
      <w:ind w:firstLine="200"/>
    </w:pPr>
    <w:rPr>
      <w:sz w:val="28"/>
      <w:szCs w:val="28"/>
    </w:rPr>
  </w:style>
  <w:style w:type="paragraph" w:customStyle="1" w:styleId="1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段落"/>
    <w:qFormat/>
    <w:uiPriority w:val="0"/>
    <w:pPr>
      <w:widowControl w:val="0"/>
      <w:tabs>
        <w:tab w:val="left" w:pos="1021"/>
        <w:tab w:val="left" w:pos="1920"/>
      </w:tabs>
      <w:spacing w:line="360" w:lineRule="auto"/>
      <w:ind w:firstLine="504" w:firstLineChars="200"/>
      <w:jc w:val="both"/>
    </w:pPr>
    <w:rPr>
      <w:rFonts w:ascii="Times New Roman" w:hAnsi="Times New Roman" w:eastAsia="宋体" w:cs="Times New Roman"/>
      <w:snapToGrid w:val="0"/>
      <w:color w:val="000000"/>
      <w:spacing w:val="6"/>
      <w:sz w:val="24"/>
      <w:szCs w:val="27"/>
      <w:lang w:val="en-US" w:eastAsia="zh-CN" w:bidi="ar-SA"/>
    </w:rPr>
  </w:style>
  <w:style w:type="paragraph" w:customStyle="1" w:styleId="14">
    <w:name w:val="HJ-正文"/>
    <w:basedOn w:val="1"/>
    <w:qFormat/>
    <w:uiPriority w:val="0"/>
    <w:pPr>
      <w:spacing w:line="360" w:lineRule="auto"/>
      <w:ind w:firstLine="480" w:firstLineChars="200"/>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3949</Words>
  <Characters>4243</Characters>
  <Lines>0</Lines>
  <Paragraphs>0</Paragraphs>
  <TotalTime>22</TotalTime>
  <ScaleCrop>false</ScaleCrop>
  <LinksUpToDate>false</LinksUpToDate>
  <CharactersWithSpaces>4323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2023-10-19T09:50:00Z</dcterms:created>
  <dc:creator>我想念我的床</dc:creator>
  <cp:lastModifiedBy>kylin</cp:lastModifiedBy>
  <dcterms:modified xsi:type="dcterms:W3CDTF">2025-11-10T10:20:11Z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1A050FEAF8244220A0856737A98FF3B1_13</vt:lpwstr>
  </property>
  <property fmtid="{D5CDD505-2E9C-101B-9397-08002B2CF9AE}" pid="4" name="KSOTemplateDocerSaveRecord">
    <vt:lpwstr>eyJoZGlkIjoiMTNhMDBlODhiMTU5MTJhMmFjYmM1NGIzODJiZTNmNzEiLCJ1c2VySWQiOiIzMzAzNTQ2NzMifQ==</vt:lpwstr>
  </property>
</Properties>
</file>