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口岸发展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2000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1、稳定对中欧（中亚）洲际航线，拓展对非国际货运航线，保持国际货运航线运营条数在1条以上；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2、打造湘粤非铁海联运通道，畅通向南达海发展国际通道，实现湘粤非铁海联运通道班列全年开行超过20次。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495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</w:pPr>
    </w:p>
    <w:p>
      <w:pPr>
        <w:ind w:firstLine="720" w:firstLineChars="20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开放型经济与流通产业发展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口岸发展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开放型经济与流通产业发展专项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衡阳市商务局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2022年-2024年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2000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1、稳定对中欧（中亚）洲际航线，拓展对非国际货运航线，保持国际货运航线运营条数在1条以上；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  <w:lang w:val="en-US" w:eastAsia="zh-CN"/>
              </w:rPr>
              <w:t>2、打造湘粤非铁海联运通道，畅通向南达海发展国际通道，实现湘粤非铁海联运通道班列全年开行超过20次。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国际货运航线运营条数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val="en-US" w:eastAsia="zh-CN"/>
              </w:rPr>
              <w:t>1条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中欧班列运营规模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40列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湘粤非铁海联运通道班列开行次数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20次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中欧班列衡阳至欧洲站运输时长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≦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20天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航线补贴占平均运营成本的比例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≦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40%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江海航线货运量增幅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航班放行正常率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70%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1"/>
                <w:szCs w:val="21"/>
                <w:lang w:eastAsia="zh-CN"/>
              </w:rPr>
              <w:t>社会公众对班列开行满意度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仿宋_GB2312" w:cs="Arial"/>
                <w:color w:val="000000"/>
                <w:sz w:val="21"/>
                <w:szCs w:val="21"/>
              </w:rPr>
              <w:t>≧</w:t>
            </w:r>
            <w:r>
              <w:rPr>
                <w:rFonts w:hint="eastAsia" w:ascii="Arial" w:hAnsi="Arial" w:eastAsia="仿宋_GB2312" w:cs="Arial"/>
                <w:color w:val="000000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_GB2312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13401AD8"/>
    <w:rsid w:val="1F616A92"/>
    <w:rsid w:val="20667D43"/>
    <w:rsid w:val="2B8C0A49"/>
    <w:rsid w:val="2C7F1039"/>
    <w:rsid w:val="36A9758B"/>
    <w:rsid w:val="3A691A10"/>
    <w:rsid w:val="3D1D567B"/>
    <w:rsid w:val="41BB77F1"/>
    <w:rsid w:val="42503EBE"/>
    <w:rsid w:val="43EE4CF9"/>
    <w:rsid w:val="4D562046"/>
    <w:rsid w:val="51A93BB1"/>
    <w:rsid w:val="54FE2F27"/>
    <w:rsid w:val="565A4E66"/>
    <w:rsid w:val="5FEADC0F"/>
    <w:rsid w:val="603375B6"/>
    <w:rsid w:val="6170034F"/>
    <w:rsid w:val="65215521"/>
    <w:rsid w:val="69CC6370"/>
    <w:rsid w:val="6AFD139A"/>
    <w:rsid w:val="6E336DCF"/>
    <w:rsid w:val="71C67E3C"/>
    <w:rsid w:val="74357246"/>
    <w:rsid w:val="793449DB"/>
    <w:rsid w:val="7A6646B0"/>
    <w:rsid w:val="7AE637ED"/>
    <w:rsid w:val="7FEB2822"/>
    <w:rsid w:val="FFFF8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2023-01-06T23:43:00Z</dcterms:created>
  <dc:creator>123</dc:creator>
  <cp:lastModifiedBy>HH.｡oO</cp:lastModifiedBy>
  <dcterms:modified xsi:type="dcterms:W3CDTF">2024-02-19T03:10:15Z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