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ind w:firstLine="1080" w:firstLineChars="3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2024年文化专项资金绩效目标汇总表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04"/>
        <w:gridCol w:w="1231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文化专项资金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270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ascii="仿宋" w:hAnsi="仿宋" w:eastAsia="仿宋" w:cs="宋体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1、提质改造一批文化所属设施设备、提升文化演出环境，推动公共文化设施升级。</w:t>
            </w:r>
          </w:p>
          <w:p>
            <w:pPr>
              <w:pStyle w:val="6"/>
              <w:ind w:firstLine="280"/>
              <w:jc w:val="both"/>
              <w:rPr>
                <w:rFonts w:hint="eastAsia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2、大力实施演艺惠民工程，继续开展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eastAsia="zh-CN"/>
              </w:rPr>
              <w:t>送戏下乡</w:t>
            </w: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</w:rPr>
              <w:t>等惠民活动，保障群众基本文化权益、丰富人民群众文化艺术生活。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文化基础设施维修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270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240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  <w:t>文化惠民活动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/>
            <w:bookmarkEnd w:id="0"/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4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391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6"/>
        <w:rPr>
          <w:rFonts w:hint="default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2024年文化专项资金支出方向绩效目标表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文化基础设施维修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文化专项资金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无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大力实施演艺惠民工程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文化设施改造维修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≥30个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文化设施改造维修项目合格率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项目资金拨付时间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财政文件下达后60个工作日内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项目年度完成进度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设施维修项目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在预算成本内完成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实施成本控制，有效节约财政资金，发挥财政资金效益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弘扬传统文化，提高群众文化素养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增加服务群众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促进文化生态良好发展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文化设施维修服务对象满意度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2024年文化专项资金支出方向绩效目标表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1182"/>
        <w:gridCol w:w="870"/>
        <w:gridCol w:w="1114"/>
        <w:gridCol w:w="716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  <w:t>文化惠民活动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文化专项资金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无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 w:eastAsia="zh-CN"/>
              </w:rPr>
              <w:t>30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</w:rPr>
              <w:t>推动文化基础设施维修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20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文化惠民演出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≥30场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文化惠民活动优质率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项目资金拨付时间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财政文件下达后60个工作日内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项目年度完成进度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文化惠民活动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5000元-3万元/场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实施成本控制，有效节约财政资金，发挥财政资金效益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弘扬传统文化，提高群众文化素养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增加服务群众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促进文化生态良好发展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7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8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18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文化设施维修服务对象满意度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  <w:t>≥90%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6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327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0ODA5MDU3NzA0OTliNzM3NzNlM2I0OWRjMjc2ZjMifQ=="/>
  </w:docVars>
  <w:rsids>
    <w:rsidRoot w:val="793449DB"/>
    <w:rsid w:val="0FEF657D"/>
    <w:rsid w:val="37EB4418"/>
    <w:rsid w:val="37F59C3D"/>
    <w:rsid w:val="3A691A10"/>
    <w:rsid w:val="4B5EB701"/>
    <w:rsid w:val="59BEACB1"/>
    <w:rsid w:val="5A643B91"/>
    <w:rsid w:val="5E071627"/>
    <w:rsid w:val="5FDB2A4B"/>
    <w:rsid w:val="62AF0876"/>
    <w:rsid w:val="6AFD139A"/>
    <w:rsid w:val="6FBF346A"/>
    <w:rsid w:val="71C67E3C"/>
    <w:rsid w:val="793449DB"/>
    <w:rsid w:val="7A7ECA66"/>
    <w:rsid w:val="7CDF4C99"/>
    <w:rsid w:val="7FDD8333"/>
    <w:rsid w:val="DDEE3634"/>
    <w:rsid w:val="DEF638C2"/>
    <w:rsid w:val="DF55F928"/>
    <w:rsid w:val="F43BAA6A"/>
    <w:rsid w:val="F47E7D34"/>
    <w:rsid w:val="F768C517"/>
    <w:rsid w:val="F7DD2288"/>
    <w:rsid w:val="F7E31EFB"/>
    <w:rsid w:val="F8EA42B7"/>
    <w:rsid w:val="FAF82180"/>
    <w:rsid w:val="FCBBA731"/>
    <w:rsid w:val="FDF7C20F"/>
    <w:rsid w:val="FED75FA6"/>
    <w:rsid w:val="FFFBDAA2"/>
    <w:rsid w:val="FFFD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rPr>
      <w:rFonts w:ascii="Calibri" w:hAnsi="Calibri" w:eastAsia="文星仿宋"/>
      <w:sz w:val="32"/>
    </w:rPr>
  </w:style>
  <w:style w:type="paragraph" w:styleId="3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customStyle="1" w:styleId="6">
    <w:name w:val="BodyText1I"/>
    <w:basedOn w:val="1"/>
    <w:autoRedefine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0</TotalTime>
  <ScaleCrop>false</ScaleCrop>
  <LinksUpToDate>false</LinksUpToDate>
  <CharactersWithSpaces>321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2023-01-06T23:43:00Z</dcterms:created>
  <dc:creator>123</dc:creator>
  <cp:lastModifiedBy>HH.｡oO</cp:lastModifiedBy>
  <dcterms:modified xsi:type="dcterms:W3CDTF">2024-02-19T08:46:50Z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7A74737548984DBB9499E822D600B518_13</vt:lpwstr>
  </property>
</Properties>
</file>