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农业产业化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245"/>
        <w:gridCol w:w="1380"/>
        <w:gridCol w:w="2145"/>
        <w:gridCol w:w="1020"/>
        <w:gridCol w:w="1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62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农业产业化项目扶持</w:t>
            </w:r>
          </w:p>
        </w:tc>
        <w:tc>
          <w:tcPr>
            <w:tcW w:w="214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农业产业化资金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62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市农业农村局</w:t>
            </w:r>
          </w:p>
        </w:tc>
        <w:tc>
          <w:tcPr>
            <w:tcW w:w="214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62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1050</w:t>
            </w:r>
          </w:p>
        </w:tc>
        <w:tc>
          <w:tcPr>
            <w:tcW w:w="2145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5"/>
            <w:noWrap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推进全市粮食、畜禽、蔬菜、水果、水产等十大农业优势特色产业向全产业链产值新增，接近农业“双百十”目标迈进。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24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38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175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38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打造农业特色产业园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培育市级龙头企业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星级休闲农庄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农产品加工产值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1800亿元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8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项目完成时间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2024年12月前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农业特色产业园奖补标准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10万元/个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龙头企业奖补标准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20万元/个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星级休闲农庄奖补标准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万元/个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全市农业优势特色产业全产业链产值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1500亿元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全市休闲农业实现经营收入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30亿元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接待旅游人次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2800万人次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受益群体对补助政策满意度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受益群体对补助发放及时满意度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65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社会公众满意度</w:t>
            </w:r>
          </w:p>
        </w:tc>
        <w:tc>
          <w:tcPr>
            <w:tcW w:w="175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</w:tbl>
    <w:p>
      <w:pPr>
        <w:pStyle w:val="2"/>
        <w:ind w:firstLine="280"/>
      </w:pPr>
    </w:p>
    <w:p>
      <w:pPr>
        <w:pStyle w:val="2"/>
        <w:ind w:firstLine="0" w:firstLineChars="0"/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农业产业化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专项资金绩效目标汇总表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6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60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133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其中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市本级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支出</w:t>
            </w:r>
          </w:p>
        </w:tc>
        <w:tc>
          <w:tcPr>
            <w:tcW w:w="1320" w:type="dxa"/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2"/>
                <w:szCs w:val="22"/>
              </w:rPr>
              <w:t>对县市区转移支付支出</w:t>
            </w: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农业产业化资金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1050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1050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推进全市粮食、畜禽、蔬菜、水果、水产等十大农业优势特色产业向全产业链产值新增，接近农业“双百十”目标迈进。打造农业特色产业园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45个、培育龙头企业30个、打造市级星级合作社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shd w:val="clear" w:color="auto" w:fill="auto"/>
            <w:noWrap/>
            <w:vAlign w:val="center"/>
          </w:tcPr>
          <w:p>
            <w:pPr>
              <w:pStyle w:val="2"/>
              <w:ind w:firstLine="0" w:firstLineChars="0"/>
            </w:pPr>
          </w:p>
        </w:tc>
        <w:tc>
          <w:tcPr>
            <w:tcW w:w="160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320" w:type="dxa"/>
            <w:shd w:val="clear" w:color="auto" w:fill="auto"/>
            <w:noWrap/>
            <w:vAlign w:val="center"/>
          </w:tcPr>
          <w:p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2"/>
        <w:ind w:firstLine="2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M0ODA5MDU3NzA0OTliNzM3NzNlM2I0OWRjMjc2ZjMifQ=="/>
  </w:docVars>
  <w:rsids>
    <w:rsidRoot w:val="793449DB"/>
    <w:rsid w:val="00276E96"/>
    <w:rsid w:val="002A7689"/>
    <w:rsid w:val="004120CA"/>
    <w:rsid w:val="005941F1"/>
    <w:rsid w:val="00742440"/>
    <w:rsid w:val="008A61FF"/>
    <w:rsid w:val="1DFD9E0B"/>
    <w:rsid w:val="367996C7"/>
    <w:rsid w:val="6AFD139A"/>
    <w:rsid w:val="793449DB"/>
    <w:rsid w:val="7ADFA499"/>
    <w:rsid w:val="8DB608CF"/>
    <w:rsid w:val="D6FDE3F9"/>
    <w:rsid w:val="DEDE7EEE"/>
    <w:rsid w:val="ED6F2472"/>
    <w:rsid w:val="F2FBFDFA"/>
    <w:rsid w:val="FAEFEC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73</Words>
  <Characters>420</Characters>
  <Lines>3</Lines>
  <Paragraphs>1</Paragraphs>
  <TotalTime>20</TotalTime>
  <ScaleCrop>false</ScaleCrop>
  <LinksUpToDate>false</LinksUpToDate>
  <CharactersWithSpaces>492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2023-01-08T15:43:00Z</dcterms:created>
  <dc:creator>123</dc:creator>
  <cp:lastModifiedBy>kylin</cp:lastModifiedBy>
  <cp:lastPrinted>2023-01-17T11:30:00Z</cp:lastPrinted>
  <dcterms:modified xsi:type="dcterms:W3CDTF">2024-01-10T17:07:02Z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291468F4BDDC4996AE93D418C1FEE417</vt:lpwstr>
  </property>
</Properties>
</file>