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D7FC7">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sz w:val="44"/>
          <w:szCs w:val="44"/>
        </w:rPr>
      </w:pPr>
    </w:p>
    <w:p w14:paraId="7E8F7F04">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w w:val="90"/>
          <w:sz w:val="44"/>
          <w:szCs w:val="44"/>
        </w:rPr>
        <w:t>采购需求</w:t>
      </w:r>
    </w:p>
    <w:p w14:paraId="6208B3AA">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黑体" w:hAnsi="黑体" w:eastAsia="黑体"/>
          <w:sz w:val="32"/>
          <w:szCs w:val="32"/>
        </w:rPr>
      </w:pPr>
    </w:p>
    <w:p w14:paraId="02E15A4D">
      <w:pPr>
        <w:keepNext w:val="0"/>
        <w:keepLines w:val="0"/>
        <w:pageBreakBefore w:val="0"/>
        <w:widowControl w:val="0"/>
        <w:numPr>
          <w:ilvl w:val="0"/>
          <w:numId w:val="0"/>
        </w:numPr>
        <w:kinsoku/>
        <w:wordWrap/>
        <w:overflowPunct/>
        <w:topLinePunct w:val="0"/>
        <w:autoSpaceDE/>
        <w:autoSpaceDN/>
        <w:bidi w:val="0"/>
        <w:adjustRightInd w:val="0"/>
        <w:snapToGrid w:val="0"/>
        <w:spacing w:after="0" w:line="550" w:lineRule="exact"/>
        <w:ind w:firstLine="640" w:firstLineChars="200"/>
        <w:jc w:val="both"/>
        <w:textAlignment w:val="auto"/>
        <w:outlineLvl w:val="0"/>
        <w:rPr>
          <w:rFonts w:hint="eastAsia" w:ascii="仿宋_GB2312" w:hAnsi="仿宋_GB2312" w:eastAsia="仿宋_GB2312" w:cs="仿宋_GB2312"/>
          <w:b/>
          <w:bCs/>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 xml:space="preserve">项目名称  </w:t>
      </w:r>
      <w:r>
        <w:rPr>
          <w:rFonts w:hint="eastAsia" w:ascii="仿宋_GB2312" w:hAnsi="仿宋_GB2312" w:eastAsia="仿宋_GB2312" w:cs="仿宋_GB2312"/>
          <w:b/>
          <w:bCs/>
          <w:sz w:val="32"/>
          <w:szCs w:val="32"/>
        </w:rPr>
        <w:t xml:space="preserve"> </w:t>
      </w:r>
    </w:p>
    <w:p w14:paraId="1A51F1C6">
      <w:pPr>
        <w:keepNext w:val="0"/>
        <w:keepLines w:val="0"/>
        <w:pageBreakBefore w:val="0"/>
        <w:widowControl w:val="0"/>
        <w:kinsoku/>
        <w:wordWrap/>
        <w:overflowPunct/>
        <w:topLinePunct w:val="0"/>
        <w:autoSpaceDE/>
        <w:autoSpaceDN/>
        <w:bidi w:val="0"/>
        <w:adjustRightInd w:val="0"/>
        <w:snapToGrid w:val="0"/>
        <w:spacing w:after="0" w:line="55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衡阳市城区预拌混凝土行业专项规划（2025-2035年）</w:t>
      </w:r>
    </w:p>
    <w:p w14:paraId="54B4FC71">
      <w:pPr>
        <w:keepNext w:val="0"/>
        <w:keepLines w:val="0"/>
        <w:pageBreakBefore w:val="0"/>
        <w:widowControl w:val="0"/>
        <w:kinsoku/>
        <w:wordWrap/>
        <w:overflowPunct/>
        <w:topLinePunct w:val="0"/>
        <w:autoSpaceDE/>
        <w:autoSpaceDN/>
        <w:bidi w:val="0"/>
        <w:spacing w:after="0" w:line="55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规划背景</w:t>
      </w:r>
    </w:p>
    <w:p w14:paraId="3E455EC8">
      <w:pPr>
        <w:keepNext w:val="0"/>
        <w:keepLines w:val="0"/>
        <w:pageBreakBefore w:val="0"/>
        <w:widowControl w:val="0"/>
        <w:kinsoku/>
        <w:wordWrap/>
        <w:overflowPunct/>
        <w:topLinePunct w:val="0"/>
        <w:autoSpaceDE/>
        <w:autoSpaceDN/>
        <w:bidi w:val="0"/>
        <w:spacing w:after="0"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引导我市预拌混凝土行业理性投资，科学推广应用预拌混凝土，合理布局预拌混凝土搅拌站，推动行业科技进步和转型升级，推进文明城市建设，保护城市环境，保持中心城区预拌商品混凝土行业健康、稳定、可持续发展，合法合规建设，避免和减少资源浪费。根据《湖南省预拌混凝土质量管理细则》(湘建建〔2023〕161号)、《衡阳市预拌（商品）混凝土监督管理办法》(衡政发[2013]18号)和《衡阳市国土空间总体规划（2021-2035）》的规定和衡阳市中心城区沙砾场地发展布局情况，建议编制专项规划。</w:t>
      </w:r>
    </w:p>
    <w:p w14:paraId="0651EF6F">
      <w:pPr>
        <w:keepNext w:val="0"/>
        <w:keepLines w:val="0"/>
        <w:pageBreakBefore w:val="0"/>
        <w:widowControl w:val="0"/>
        <w:kinsoku/>
        <w:wordWrap/>
        <w:overflowPunct/>
        <w:topLinePunct w:val="0"/>
        <w:autoSpaceDE/>
        <w:autoSpaceDN/>
        <w:bidi w:val="0"/>
        <w:spacing w:after="0"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规划用于指导中心城区合法合规从事预拌（商品）混凝土的投资建设、生产经营和监督的管理内容，同时制定保障措施，建立长效机制。</w:t>
      </w:r>
    </w:p>
    <w:p w14:paraId="105B2176">
      <w:pPr>
        <w:keepNext w:val="0"/>
        <w:keepLines w:val="0"/>
        <w:pageBreakBefore w:val="0"/>
        <w:widowControl w:val="0"/>
        <w:kinsoku/>
        <w:wordWrap/>
        <w:overflowPunct/>
        <w:topLinePunct w:val="0"/>
        <w:autoSpaceDE/>
        <w:autoSpaceDN/>
        <w:bidi w:val="0"/>
        <w:spacing w:after="0" w:line="55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规划对象</w:t>
      </w:r>
    </w:p>
    <w:p w14:paraId="131F5ED2">
      <w:pPr>
        <w:keepNext w:val="0"/>
        <w:keepLines w:val="0"/>
        <w:pageBreakBefore w:val="0"/>
        <w:widowControl w:val="0"/>
        <w:kinsoku/>
        <w:wordWrap/>
        <w:overflowPunct/>
        <w:topLinePunct w:val="0"/>
        <w:autoSpaceDE/>
        <w:autoSpaceDN/>
        <w:bidi w:val="0"/>
        <w:spacing w:after="0"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预拌混凝土搅拌站按小时生产能力划分，生产能力指每小时理论产量，单位为立方米（m³/h），具体分为三级：</w:t>
      </w:r>
    </w:p>
    <w:p w14:paraId="3585658C">
      <w:pPr>
        <w:keepNext w:val="0"/>
        <w:keepLines w:val="0"/>
        <w:pageBreakBefore w:val="0"/>
        <w:widowControl w:val="0"/>
        <w:kinsoku/>
        <w:wordWrap/>
        <w:overflowPunct/>
        <w:topLinePunct w:val="0"/>
        <w:autoSpaceDE/>
        <w:autoSpaceDN/>
        <w:bidi w:val="0"/>
        <w:spacing w:after="0"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小型搅拌站‌：生产能力为 ‌20-60 m³/h‌，适用于小型市政工程、道路维修等需求分散的项目；</w:t>
      </w:r>
    </w:p>
    <w:p w14:paraId="59957BBB">
      <w:pPr>
        <w:keepNext w:val="0"/>
        <w:keepLines w:val="0"/>
        <w:pageBreakBefore w:val="0"/>
        <w:widowControl w:val="0"/>
        <w:kinsoku/>
        <w:wordWrap/>
        <w:overflowPunct/>
        <w:topLinePunct w:val="0"/>
        <w:autoSpaceDE/>
        <w:autoSpaceDN/>
        <w:bidi w:val="0"/>
        <w:spacing w:after="0"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中型搅拌站‌：生产能力为 ‌60-180 m³/h‌，适用于中型建筑工程、桥梁施工等中等规模项目‌；</w:t>
      </w:r>
    </w:p>
    <w:p w14:paraId="56B8A6E6">
      <w:pPr>
        <w:keepNext w:val="0"/>
        <w:keepLines w:val="0"/>
        <w:pageBreakBefore w:val="0"/>
        <w:widowControl w:val="0"/>
        <w:kinsoku/>
        <w:wordWrap/>
        <w:overflowPunct/>
        <w:topLinePunct w:val="0"/>
        <w:autoSpaceDE/>
        <w:autoSpaceDN/>
        <w:bidi w:val="0"/>
        <w:spacing w:after="0" w:line="550" w:lineRule="exact"/>
        <w:ind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大型搅拌站‌：生产能力 ‌≥180 m³/h‌，适用于大型水利工程、高速公路等需集中供应项目‌‌</w:t>
      </w:r>
      <w:r>
        <w:rPr>
          <w:rFonts w:hint="eastAsia" w:ascii="仿宋_GB2312" w:hAnsi="仿宋_GB2312" w:eastAsia="仿宋_GB2312" w:cs="仿宋_GB2312"/>
          <w:b/>
          <w:bCs/>
          <w:sz w:val="32"/>
          <w:szCs w:val="32"/>
        </w:rPr>
        <w:t>。</w:t>
      </w:r>
    </w:p>
    <w:p w14:paraId="04E7A9F6">
      <w:pPr>
        <w:keepNext w:val="0"/>
        <w:keepLines w:val="0"/>
        <w:pageBreakBefore w:val="0"/>
        <w:widowControl w:val="0"/>
        <w:kinsoku/>
        <w:wordWrap/>
        <w:overflowPunct/>
        <w:topLinePunct w:val="0"/>
        <w:autoSpaceDE/>
        <w:autoSpaceDN/>
        <w:bidi w:val="0"/>
        <w:spacing w:after="0" w:line="55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rPr>
        <w:t>三</w:t>
      </w:r>
      <w:r>
        <w:rPr>
          <w:rFonts w:hint="eastAsia" w:ascii="楷体" w:hAnsi="楷体" w:eastAsia="楷体" w:cs="楷体"/>
          <w:b/>
          <w:bCs/>
          <w:sz w:val="32"/>
          <w:szCs w:val="32"/>
          <w:lang w:eastAsia="zh-CN"/>
        </w:rPr>
        <w:t>）</w:t>
      </w:r>
      <w:r>
        <w:rPr>
          <w:rFonts w:hint="eastAsia" w:ascii="楷体" w:hAnsi="楷体" w:eastAsia="楷体" w:cs="楷体"/>
          <w:b/>
          <w:bCs/>
          <w:sz w:val="32"/>
          <w:szCs w:val="32"/>
        </w:rPr>
        <w:t>编制范围和期限</w:t>
      </w:r>
    </w:p>
    <w:p w14:paraId="46700521">
      <w:pPr>
        <w:keepNext w:val="0"/>
        <w:keepLines w:val="0"/>
        <w:pageBreakBefore w:val="0"/>
        <w:widowControl w:val="0"/>
        <w:kinsoku/>
        <w:wordWrap/>
        <w:overflowPunct/>
        <w:topLinePunct w:val="0"/>
        <w:autoSpaceDE/>
        <w:autoSpaceDN/>
        <w:bidi w:val="0"/>
        <w:adjustRightInd/>
        <w:snapToGrid/>
        <w:spacing w:after="313" w:afterLines="100" w:line="550" w:lineRule="exact"/>
        <w:ind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本次专项规划的范围和期限与《衡阳市国土空间总体规划（2021-2035年）》确定的中心城区范围保持一致，总面积300.61平方公里内的预拌混凝土搅拌站，规划期限2021-2035年，近中期2025～2030 年，远期2031～2035 年。</w:t>
      </w:r>
    </w:p>
    <w:p w14:paraId="528196C2">
      <w:pPr>
        <w:spacing w:line="276" w:lineRule="auto"/>
        <w:ind w:firstLine="420" w:firstLineChars="200"/>
        <w:jc w:val="center"/>
        <w:rPr>
          <w:rFonts w:hint="eastAsia" w:ascii="宋体" w:hAnsi="宋体" w:eastAsia="宋体" w:cs="宋体"/>
          <w:szCs w:val="28"/>
        </w:rPr>
      </w:pPr>
      <w:r>
        <w:rPr>
          <w:rFonts w:hint="eastAsia"/>
        </w:rPr>
        <w:drawing>
          <wp:inline distT="0" distB="0" distL="114300" distR="114300">
            <wp:extent cx="2691130" cy="3163570"/>
            <wp:effectExtent l="0" t="0" r="0" b="0"/>
            <wp:docPr id="2" name="图片 2" descr="D:\工程\2023\体育专项规划\微信图片_20231012162224.jpg微信图片_2023101216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工程\2023\体育专项规划\微信图片_20231012162224.jpg微信图片_20231012162224"/>
                    <pic:cNvPicPr>
                      <a:picLocks noChangeAspect="1"/>
                    </pic:cNvPicPr>
                  </pic:nvPicPr>
                  <pic:blipFill>
                    <a:blip r:embed="rId7"/>
                    <a:srcRect/>
                    <a:stretch>
                      <a:fillRect/>
                    </a:stretch>
                  </pic:blipFill>
                  <pic:spPr>
                    <a:xfrm>
                      <a:off x="0" y="0"/>
                      <a:ext cx="2693997" cy="3167565"/>
                    </a:xfrm>
                    <a:prstGeom prst="rect">
                      <a:avLst/>
                    </a:prstGeom>
                  </pic:spPr>
                </pic:pic>
              </a:graphicData>
            </a:graphic>
          </wp:inline>
        </w:drawing>
      </w:r>
    </w:p>
    <w:p w14:paraId="50816D2A">
      <w:pPr>
        <w:keepNext w:val="0"/>
        <w:keepLines w:val="0"/>
        <w:pageBreakBefore w:val="0"/>
        <w:widowControl w:val="0"/>
        <w:kinsoku/>
        <w:wordWrap/>
        <w:overflowPunct/>
        <w:topLinePunct w:val="0"/>
        <w:autoSpaceDE/>
        <w:autoSpaceDN/>
        <w:bidi w:val="0"/>
        <w:adjustRightInd/>
        <w:snapToGrid/>
        <w:spacing w:before="313" w:beforeLines="100" w:after="0"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rPr>
        <w:t>四</w:t>
      </w:r>
      <w:r>
        <w:rPr>
          <w:rFonts w:hint="eastAsia" w:ascii="楷体" w:hAnsi="楷体" w:eastAsia="楷体" w:cs="楷体"/>
          <w:b/>
          <w:bCs/>
          <w:sz w:val="32"/>
          <w:szCs w:val="32"/>
          <w:lang w:eastAsia="zh-CN"/>
        </w:rPr>
        <w:t>）</w:t>
      </w:r>
      <w:r>
        <w:rPr>
          <w:rFonts w:hint="eastAsia" w:ascii="楷体" w:hAnsi="楷体" w:eastAsia="楷体" w:cs="楷体"/>
          <w:b/>
          <w:bCs/>
          <w:sz w:val="32"/>
          <w:szCs w:val="32"/>
        </w:rPr>
        <w:t>规划原则</w:t>
      </w:r>
    </w:p>
    <w:p w14:paraId="1045B230">
      <w:pPr>
        <w:keepNext w:val="0"/>
        <w:keepLines w:val="0"/>
        <w:pageBreakBefore w:val="0"/>
        <w:widowControl/>
        <w:shd w:val="clear" w:color="auto" w:fill="FFFFFF"/>
        <w:kinsoku/>
        <w:wordWrap w:val="0"/>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坚持市场调节与政府引导相结合原则，形成以市场为导向，政府科学引导的新局面；</w:t>
      </w:r>
    </w:p>
    <w:p w14:paraId="7F11753A">
      <w:pPr>
        <w:keepNext w:val="0"/>
        <w:keepLines w:val="0"/>
        <w:pageBreakBefore w:val="0"/>
        <w:widowControl/>
        <w:shd w:val="clear" w:color="auto" w:fill="FFFFFF"/>
        <w:kinsoku/>
        <w:wordWrap w:val="0"/>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坚持创新驱动、绿色发展的原则，其规划、建设、生产、运营、管理都要贯彻、落实绿色发展原则；</w:t>
      </w:r>
    </w:p>
    <w:p w14:paraId="6DDA7EE3">
      <w:pPr>
        <w:keepNext w:val="0"/>
        <w:keepLines w:val="0"/>
        <w:pageBreakBefore w:val="0"/>
        <w:widowControl/>
        <w:shd w:val="clear" w:color="auto" w:fill="FFFFFF"/>
        <w:kinsoku/>
        <w:wordWrap w:val="0"/>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坚持总量控制和科学发展相结合原则，科学预测城市建设需求，合理控制总量。</w:t>
      </w:r>
    </w:p>
    <w:p w14:paraId="7242A9D9">
      <w:pPr>
        <w:keepNext w:val="0"/>
        <w:keepLines w:val="0"/>
        <w:pageBreakBefore w:val="0"/>
        <w:widowControl/>
        <w:shd w:val="clear" w:color="auto" w:fill="FFFFFF"/>
        <w:kinsoku/>
        <w:wordWrap w:val="0"/>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坚持经济发展与行业发展相平衡原则，鼓励既有产能技术改造，支持区域经济发展；</w:t>
      </w:r>
    </w:p>
    <w:p w14:paraId="027ACC84">
      <w:pPr>
        <w:keepNext w:val="0"/>
        <w:keepLines w:val="0"/>
        <w:pageBreakBefore w:val="0"/>
        <w:widowControl/>
        <w:shd w:val="clear" w:color="auto" w:fill="FFFFFF"/>
        <w:kinsoku/>
        <w:wordWrap w:val="0"/>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坚持资源利用和河道治理、环境治理相同步原则，整合现有土地、设备和砂场布点等资源，发挥既有产能，同步对水资源、废弃物、噪声等进行治理，满足环保绿色要求。</w:t>
      </w:r>
    </w:p>
    <w:p w14:paraId="42C1278F">
      <w:pPr>
        <w:keepNext w:val="0"/>
        <w:keepLines w:val="0"/>
        <w:pageBreakBefore w:val="0"/>
        <w:widowControl/>
        <w:kinsoku/>
        <w:overflowPunct/>
        <w:topLinePunct w:val="0"/>
        <w:autoSpaceDE/>
        <w:autoSpaceDN/>
        <w:bidi w:val="0"/>
        <w:adjustRightInd/>
        <w:snapToGrid/>
        <w:spacing w:after="0"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坚持因地制宜、节约资源的原则，基本实现就近布置就近供应，同时因地制宜，合理确定用地规模。</w:t>
      </w:r>
    </w:p>
    <w:p w14:paraId="1879D9E5">
      <w:pPr>
        <w:keepNext w:val="0"/>
        <w:keepLines w:val="0"/>
        <w:pageBreakBefore w:val="0"/>
        <w:widowControl/>
        <w:kinsoku/>
        <w:overflowPunct/>
        <w:topLinePunct w:val="0"/>
        <w:autoSpaceDE/>
        <w:autoSpaceDN/>
        <w:bidi w:val="0"/>
        <w:adjustRightInd/>
        <w:snapToGrid/>
        <w:spacing w:after="0" w:line="54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采购预算</w:t>
      </w:r>
    </w:p>
    <w:p w14:paraId="2608F79B">
      <w:pPr>
        <w:keepNext w:val="0"/>
        <w:keepLines w:val="0"/>
        <w:pageBreakBefore w:val="0"/>
        <w:kinsoku/>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本项目预算：人民币48.7万元</w:t>
      </w:r>
      <w:r>
        <w:rPr>
          <w:rFonts w:hint="eastAsia" w:ascii="仿宋_GB2312" w:hAnsi="仿宋_GB2312" w:eastAsia="仿宋_GB2312" w:cs="仿宋_GB2312"/>
          <w:sz w:val="32"/>
          <w:szCs w:val="32"/>
          <w:lang w:eastAsia="zh-CN"/>
        </w:rPr>
        <w:t>（最终以财政评审为准）</w:t>
      </w:r>
      <w:bookmarkStart w:id="0" w:name="_GoBack"/>
      <w:bookmarkEnd w:id="0"/>
    </w:p>
    <w:p w14:paraId="0BAA502A">
      <w:pPr>
        <w:keepNext w:val="0"/>
        <w:keepLines w:val="0"/>
        <w:pageBreakBefore w:val="0"/>
        <w:kinsoku/>
        <w:overflowPunct/>
        <w:topLinePunct w:val="0"/>
        <w:autoSpaceDE/>
        <w:autoSpaceDN/>
        <w:bidi w:val="0"/>
        <w:spacing w:after="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服务内容和技术要求</w:t>
      </w:r>
    </w:p>
    <w:p w14:paraId="1FD21601">
      <w:pPr>
        <w:keepNext w:val="0"/>
        <w:keepLines w:val="0"/>
        <w:pageBreakBefore w:val="0"/>
        <w:kinsoku/>
        <w:overflowPunct/>
        <w:topLinePunct w:val="0"/>
        <w:autoSpaceDE/>
        <w:autoSpaceDN/>
        <w:bidi w:val="0"/>
        <w:spacing w:after="0"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1.人员要求</w:t>
      </w:r>
    </w:p>
    <w:p w14:paraId="59A2E76C">
      <w:pPr>
        <w:keepNext w:val="0"/>
        <w:keepLines w:val="0"/>
        <w:pageBreakBefore w:val="0"/>
        <w:kinsoku/>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 项目负责人需具备</w:t>
      </w:r>
      <w:r>
        <w:rPr>
          <w:rFonts w:hint="eastAsia" w:ascii="仿宋_GB2312" w:hAnsi="仿宋_GB2312" w:eastAsia="仿宋_GB2312" w:cs="仿宋_GB2312"/>
          <w:color w:val="auto"/>
          <w:kern w:val="0"/>
          <w:sz w:val="32"/>
          <w:szCs w:val="32"/>
        </w:rPr>
        <w:t>城市规划高级工程师及以上职称，同时具有注册城乡规划师资格证书</w:t>
      </w:r>
      <w:r>
        <w:rPr>
          <w:rFonts w:hint="eastAsia" w:ascii="仿宋_GB2312" w:hAnsi="仿宋_GB2312" w:eastAsia="仿宋_GB2312" w:cs="仿宋_GB2312"/>
          <w:color w:val="auto"/>
          <w:sz w:val="32"/>
          <w:szCs w:val="32"/>
        </w:rPr>
        <w:t>；</w:t>
      </w:r>
    </w:p>
    <w:p w14:paraId="599509E0">
      <w:pPr>
        <w:keepNext w:val="0"/>
        <w:keepLines w:val="0"/>
        <w:pageBreakBefore w:val="0"/>
        <w:kinsoku/>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 项目团队人数不得少于</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人，且</w:t>
      </w:r>
      <w:r>
        <w:rPr>
          <w:rFonts w:hint="eastAsia" w:ascii="仿宋_GB2312" w:hAnsi="仿宋_GB2312" w:eastAsia="仿宋_GB2312" w:cs="仿宋_GB2312"/>
          <w:color w:val="auto"/>
          <w:kern w:val="0"/>
          <w:sz w:val="32"/>
          <w:szCs w:val="32"/>
        </w:rPr>
        <w:t>同时配有城市规划专业高级工程师及以上职称并具有注册城乡规划师资格证书（1人）、城市规划专业中级工程师及以上职称或具有注册城乡规划师资格证书（2人）、测绘工程专业高级工程师及以上职称并具有注册测绘师资格证书（1人）、测绘工程专业中级工程师及以上职称或具有注册测绘师资格证书（2人）。</w:t>
      </w:r>
    </w:p>
    <w:p w14:paraId="59C734DE">
      <w:pPr>
        <w:keepNext w:val="0"/>
        <w:keepLines w:val="0"/>
        <w:pageBreakBefore w:val="0"/>
        <w:kinsoku/>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以上需提供证书和社保查询证明（2025年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月至</w:t>
      </w:r>
      <w:r>
        <w:rPr>
          <w:rFonts w:hint="eastAsia" w:ascii="仿宋_GB2312" w:hAnsi="仿宋_GB2312" w:eastAsia="仿宋_GB2312" w:cs="仿宋_GB2312"/>
          <w:color w:val="auto"/>
          <w:sz w:val="32"/>
          <w:szCs w:val="32"/>
          <w:lang w:val="en-US" w:eastAsia="zh-CN"/>
        </w:rPr>
        <w:t>2026年3月</w:t>
      </w:r>
      <w:r>
        <w:rPr>
          <w:rFonts w:hint="eastAsia" w:ascii="仿宋_GB2312" w:hAnsi="仿宋_GB2312" w:eastAsia="仿宋_GB2312" w:cs="仿宋_GB2312"/>
          <w:color w:val="auto"/>
          <w:sz w:val="32"/>
          <w:szCs w:val="32"/>
        </w:rPr>
        <w:t>，任意连续3个月社保查询结果），否则报价无效。</w:t>
      </w:r>
    </w:p>
    <w:p w14:paraId="0F4DC9EA">
      <w:pPr>
        <w:keepNext w:val="0"/>
        <w:keepLines w:val="0"/>
        <w:pageBreakBefore w:val="0"/>
        <w:kinsoku/>
        <w:overflowPunct/>
        <w:topLinePunct w:val="0"/>
        <w:autoSpaceDE/>
        <w:autoSpaceDN/>
        <w:bidi w:val="0"/>
        <w:spacing w:after="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项目进度及说明：</w:t>
      </w:r>
    </w:p>
    <w:p w14:paraId="442D02FA">
      <w:pPr>
        <w:keepNext w:val="0"/>
        <w:keepLines w:val="0"/>
        <w:pageBreakBefore w:val="0"/>
        <w:kinsoku/>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服务周期：120个工作日。</w:t>
      </w:r>
    </w:p>
    <w:p w14:paraId="567BA6B4">
      <w:pPr>
        <w:keepNext w:val="0"/>
        <w:keepLines w:val="0"/>
        <w:pageBreakBefore w:val="0"/>
        <w:kinsoku/>
        <w:overflowPunct/>
        <w:topLinePunct w:val="0"/>
        <w:autoSpaceDE/>
        <w:autoSpaceDN/>
        <w:bidi w:val="0"/>
        <w:spacing w:after="0"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（1）合同签订15日内完成现状调研与资料收集。</w:t>
      </w:r>
    </w:p>
    <w:p w14:paraId="6CAB2797">
      <w:pPr>
        <w:keepNext w:val="0"/>
        <w:keepLines w:val="0"/>
        <w:pageBreakBefore w:val="0"/>
        <w:kinsoku/>
        <w:overflowPunct/>
        <w:topLinePunct w:val="0"/>
        <w:autoSpaceDE/>
        <w:autoSpaceDN/>
        <w:bidi w:val="0"/>
        <w:spacing w:after="0"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（2）现状调研后45日内完成初步成果并向甲方汇报。</w:t>
      </w:r>
    </w:p>
    <w:p w14:paraId="145A8C63">
      <w:pPr>
        <w:keepNext w:val="0"/>
        <w:keepLines w:val="0"/>
        <w:pageBreakBefore w:val="0"/>
        <w:kinsoku/>
        <w:overflowPunct/>
        <w:topLinePunct w:val="0"/>
        <w:autoSpaceDE/>
        <w:autoSpaceDN/>
        <w:bidi w:val="0"/>
        <w:spacing w:after="0"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w:t>
      </w:r>
      <w:r>
        <w:rPr>
          <w:rFonts w:hint="eastAsia" w:ascii="仿宋_GB2312" w:hAnsi="仿宋_GB2312" w:eastAsia="仿宋_GB2312" w:cs="仿宋_GB2312"/>
          <w:spacing w:val="-6"/>
          <w:kern w:val="0"/>
          <w:sz w:val="32"/>
          <w:szCs w:val="32"/>
          <w:lang w:eastAsia="zh-CN"/>
        </w:rPr>
        <w:t>初步成果经牵头单位审查后15日内完成专家评审稿</w:t>
      </w:r>
      <w:r>
        <w:rPr>
          <w:rFonts w:hint="eastAsia" w:ascii="仿宋_GB2312" w:hAnsi="仿宋_GB2312" w:eastAsia="仿宋_GB2312" w:cs="仿宋_GB2312"/>
          <w:kern w:val="0"/>
          <w:sz w:val="32"/>
          <w:szCs w:val="32"/>
          <w:lang w:eastAsia="zh-CN"/>
        </w:rPr>
        <w:t>。</w:t>
      </w:r>
    </w:p>
    <w:p w14:paraId="3751A144">
      <w:pPr>
        <w:keepNext w:val="0"/>
        <w:keepLines w:val="0"/>
        <w:pageBreakBefore w:val="0"/>
        <w:kinsoku/>
        <w:overflowPunct/>
        <w:topLinePunct w:val="0"/>
        <w:autoSpaceDE/>
        <w:autoSpaceDN/>
        <w:bidi w:val="0"/>
        <w:spacing w:after="0"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（4）专家评审通过后30日内完成全套成果修改，形成送审成果。</w:t>
      </w:r>
    </w:p>
    <w:p w14:paraId="2F4176A8">
      <w:pPr>
        <w:keepNext w:val="0"/>
        <w:keepLines w:val="0"/>
        <w:pageBreakBefore w:val="0"/>
        <w:kinsoku/>
        <w:overflowPunct/>
        <w:topLinePunct w:val="0"/>
        <w:autoSpaceDE/>
        <w:autoSpaceDN/>
        <w:bidi w:val="0"/>
        <w:spacing w:after="0"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（5）负责配合甲方完成专项规划报批。</w:t>
      </w:r>
    </w:p>
    <w:p w14:paraId="39D281DF">
      <w:pPr>
        <w:keepNext w:val="0"/>
        <w:keepLines w:val="0"/>
        <w:pageBreakBefore w:val="0"/>
        <w:kinsoku/>
        <w:overflowPunct/>
        <w:topLinePunct w:val="0"/>
        <w:autoSpaceDE/>
        <w:autoSpaceDN/>
        <w:bidi w:val="0"/>
        <w:spacing w:after="0"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eastAsia="zh-CN"/>
        </w:rPr>
        <w:t>售后服务：后续设计服务提供技术指导。</w:t>
      </w:r>
    </w:p>
    <w:p w14:paraId="5381C2DA">
      <w:pPr>
        <w:keepNext w:val="0"/>
        <w:keepLines w:val="0"/>
        <w:pageBreakBefore w:val="0"/>
        <w:kinsoku/>
        <w:overflowPunct/>
        <w:topLinePunct w:val="0"/>
        <w:autoSpaceDE/>
        <w:autoSpaceDN/>
        <w:bidi w:val="0"/>
        <w:spacing w:after="0"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4</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eastAsia="zh-CN"/>
        </w:rPr>
        <w:t>供应商如须踏勘现场，有关费用自理，踏勘期间发生的意外自负。</w:t>
      </w:r>
    </w:p>
    <w:p w14:paraId="738D65A8">
      <w:pPr>
        <w:keepNext w:val="0"/>
        <w:keepLines w:val="0"/>
        <w:pageBreakBefore w:val="0"/>
        <w:kinsoku/>
        <w:overflowPunct/>
        <w:topLinePunct w:val="0"/>
        <w:autoSpaceDE/>
        <w:autoSpaceDN/>
        <w:bidi w:val="0"/>
        <w:spacing w:after="0"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eastAsia="zh-CN"/>
        </w:rPr>
        <w:t>其他未尽事宜，由采购人与中标人在签订合同时约定。</w:t>
      </w:r>
    </w:p>
    <w:p w14:paraId="53002F58">
      <w:pPr>
        <w:keepNext w:val="0"/>
        <w:keepLines w:val="0"/>
        <w:pageBreakBefore w:val="0"/>
        <w:widowControl w:val="0"/>
        <w:kinsoku/>
        <w:wordWrap/>
        <w:overflowPunct/>
        <w:topLinePunct w:val="0"/>
        <w:autoSpaceDE/>
        <w:autoSpaceDN/>
        <w:bidi w:val="0"/>
        <w:adjustRightInd/>
        <w:snapToGrid/>
        <w:spacing w:after="251" w:afterLines="80"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商务要求</w:t>
      </w:r>
    </w:p>
    <w:tbl>
      <w:tblPr>
        <w:tblStyle w:val="8"/>
        <w:tblW w:w="9546"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2546"/>
        <w:gridCol w:w="7000"/>
      </w:tblGrid>
      <w:tr w14:paraId="541E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762" w:hRule="atLeast"/>
        </w:trPr>
        <w:tc>
          <w:tcPr>
            <w:tcW w:w="2546" w:type="dxa"/>
            <w:tcBorders>
              <w:top w:val="single" w:color="auto" w:sz="4" w:space="0"/>
              <w:left w:val="single" w:color="auto" w:sz="4" w:space="0"/>
              <w:bottom w:val="single" w:color="auto" w:sz="4" w:space="0"/>
              <w:right w:val="single" w:color="auto" w:sz="4" w:space="0"/>
            </w:tcBorders>
            <w:vAlign w:val="center"/>
          </w:tcPr>
          <w:p w14:paraId="492528CC">
            <w:pPr>
              <w:spacing w:line="240" w:lineRule="auto"/>
              <w:jc w:val="both"/>
              <w:rPr>
                <w:rFonts w:hint="eastAsia" w:ascii="宋体" w:hAnsi="宋体" w:cs="宋体"/>
                <w:b/>
                <w:bCs/>
                <w:szCs w:val="21"/>
              </w:rPr>
            </w:pPr>
            <w:r>
              <w:rPr>
                <w:rFonts w:hint="eastAsia" w:ascii="宋体" w:hAnsi="宋体" w:cs="宋体"/>
                <w:b/>
                <w:bCs/>
                <w:szCs w:val="21"/>
              </w:rPr>
              <w:t>履行合同的时间、地点</w:t>
            </w:r>
          </w:p>
        </w:tc>
        <w:tc>
          <w:tcPr>
            <w:tcW w:w="7000" w:type="dxa"/>
            <w:tcBorders>
              <w:top w:val="single" w:color="auto" w:sz="4" w:space="0"/>
              <w:left w:val="single" w:color="auto" w:sz="4" w:space="0"/>
              <w:bottom w:val="single" w:color="auto" w:sz="4" w:space="0"/>
              <w:right w:val="single" w:color="auto" w:sz="4" w:space="0"/>
            </w:tcBorders>
            <w:vAlign w:val="top"/>
          </w:tcPr>
          <w:p w14:paraId="319AEE2E">
            <w:pPr>
              <w:adjustRightInd w:val="0"/>
              <w:snapToGrid w:val="0"/>
              <w:spacing w:line="360" w:lineRule="auto"/>
              <w:rPr>
                <w:rFonts w:hint="eastAsia" w:ascii="宋体" w:hAnsi="宋体"/>
                <w:color w:val="auto"/>
                <w:szCs w:val="21"/>
              </w:rPr>
            </w:pPr>
            <w:r>
              <w:rPr>
                <w:rFonts w:hint="eastAsia" w:ascii="宋体" w:hAnsi="宋体"/>
                <w:color w:val="auto"/>
                <w:szCs w:val="21"/>
              </w:rPr>
              <w:t>服务时间：从中标开始至成果完成审批，编制服务周期预计</w:t>
            </w:r>
            <w:r>
              <w:rPr>
                <w:rFonts w:hint="eastAsia" w:ascii="宋体" w:hAnsi="宋体" w:cs="宋体"/>
                <w:color w:val="auto"/>
                <w:szCs w:val="21"/>
              </w:rPr>
              <w:t>120个工作日</w:t>
            </w:r>
            <w:r>
              <w:rPr>
                <w:rFonts w:hint="eastAsia" w:ascii="宋体" w:hAnsi="宋体"/>
                <w:color w:val="auto"/>
                <w:szCs w:val="21"/>
              </w:rPr>
              <w:t>。</w:t>
            </w:r>
          </w:p>
          <w:p w14:paraId="1FB02CE9">
            <w:pPr>
              <w:adjustRightInd w:val="0"/>
              <w:snapToGrid w:val="0"/>
              <w:spacing w:line="360" w:lineRule="auto"/>
              <w:rPr>
                <w:rFonts w:hint="eastAsia" w:ascii="宋体" w:hAnsi="宋体"/>
                <w:szCs w:val="21"/>
              </w:rPr>
            </w:pPr>
            <w:r>
              <w:rPr>
                <w:rFonts w:hint="eastAsia" w:ascii="宋体" w:hAnsi="宋体"/>
                <w:szCs w:val="21"/>
              </w:rPr>
              <w:t>服务地点：衡阳市。</w:t>
            </w:r>
          </w:p>
          <w:p w14:paraId="44B7A416">
            <w:pPr>
              <w:spacing w:line="360" w:lineRule="auto"/>
              <w:rPr>
                <w:rFonts w:hint="eastAsia" w:ascii="宋体" w:hAnsi="宋体" w:cs="宋体"/>
                <w:szCs w:val="21"/>
              </w:rPr>
            </w:pPr>
            <w:r>
              <w:rPr>
                <w:rFonts w:hint="eastAsia" w:ascii="宋体" w:hAnsi="宋体"/>
                <w:szCs w:val="21"/>
              </w:rPr>
              <w:t>服务方式：按采购方招标要求提供服务。</w:t>
            </w:r>
          </w:p>
        </w:tc>
      </w:tr>
      <w:tr w14:paraId="462B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24" w:hRule="exact"/>
        </w:trPr>
        <w:tc>
          <w:tcPr>
            <w:tcW w:w="2546" w:type="dxa"/>
            <w:tcBorders>
              <w:top w:val="single" w:color="auto" w:sz="4" w:space="0"/>
              <w:left w:val="single" w:color="auto" w:sz="4" w:space="0"/>
              <w:bottom w:val="single" w:color="auto" w:sz="4" w:space="0"/>
              <w:right w:val="single" w:color="auto" w:sz="4" w:space="0"/>
            </w:tcBorders>
            <w:vAlign w:val="center"/>
          </w:tcPr>
          <w:p w14:paraId="397B75AC">
            <w:pPr>
              <w:spacing w:line="240" w:lineRule="auto"/>
              <w:jc w:val="both"/>
              <w:rPr>
                <w:rFonts w:hint="eastAsia" w:ascii="宋体" w:hAnsi="宋体" w:cs="宋体"/>
                <w:b/>
                <w:bCs/>
                <w:szCs w:val="21"/>
              </w:rPr>
            </w:pPr>
            <w:r>
              <w:rPr>
                <w:rFonts w:hint="eastAsia" w:ascii="宋体" w:hAnsi="宋体" w:cs="宋体"/>
                <w:b/>
                <w:bCs/>
                <w:szCs w:val="21"/>
              </w:rPr>
              <w:t>质量保证期</w:t>
            </w:r>
          </w:p>
        </w:tc>
        <w:tc>
          <w:tcPr>
            <w:tcW w:w="7000" w:type="dxa"/>
            <w:tcBorders>
              <w:top w:val="single" w:color="auto" w:sz="4" w:space="0"/>
              <w:left w:val="single" w:color="auto" w:sz="4" w:space="0"/>
              <w:bottom w:val="single" w:color="auto" w:sz="4" w:space="0"/>
              <w:right w:val="single" w:color="auto" w:sz="4" w:space="0"/>
            </w:tcBorders>
          </w:tcPr>
          <w:p w14:paraId="505E212C">
            <w:pPr>
              <w:spacing w:line="360" w:lineRule="auto"/>
              <w:rPr>
                <w:rFonts w:hint="eastAsia" w:ascii="宋体" w:hAnsi="宋体" w:cs="宋体"/>
                <w:szCs w:val="21"/>
              </w:rPr>
            </w:pPr>
            <w:r>
              <w:rPr>
                <w:rFonts w:hint="eastAsia" w:ascii="宋体" w:hAnsi="宋体" w:cs="宋体"/>
                <w:szCs w:val="21"/>
              </w:rPr>
              <w:t>合同签订之日起至服务期满。</w:t>
            </w:r>
          </w:p>
        </w:tc>
      </w:tr>
      <w:tr w14:paraId="2B34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24" w:hRule="exact"/>
        </w:trPr>
        <w:tc>
          <w:tcPr>
            <w:tcW w:w="2546" w:type="dxa"/>
            <w:tcBorders>
              <w:top w:val="single" w:color="auto" w:sz="4" w:space="0"/>
              <w:left w:val="single" w:color="auto" w:sz="4" w:space="0"/>
              <w:bottom w:val="single" w:color="auto" w:sz="4" w:space="0"/>
              <w:right w:val="single" w:color="auto" w:sz="4" w:space="0"/>
            </w:tcBorders>
            <w:vAlign w:val="center"/>
          </w:tcPr>
          <w:p w14:paraId="0DB72A44">
            <w:pPr>
              <w:spacing w:line="240" w:lineRule="auto"/>
              <w:jc w:val="both"/>
              <w:rPr>
                <w:rFonts w:hint="eastAsia" w:ascii="宋体" w:hAnsi="宋体" w:cs="宋体"/>
                <w:b/>
                <w:bCs/>
                <w:szCs w:val="21"/>
              </w:rPr>
            </w:pPr>
            <w:r>
              <w:rPr>
                <w:rFonts w:hint="eastAsia" w:ascii="宋体" w:hAnsi="宋体" w:cs="宋体"/>
                <w:b/>
                <w:bCs/>
                <w:szCs w:val="21"/>
              </w:rPr>
              <w:t>响应时间</w:t>
            </w:r>
          </w:p>
        </w:tc>
        <w:tc>
          <w:tcPr>
            <w:tcW w:w="7000" w:type="dxa"/>
            <w:tcBorders>
              <w:top w:val="single" w:color="auto" w:sz="4" w:space="0"/>
              <w:left w:val="single" w:color="auto" w:sz="4" w:space="0"/>
              <w:bottom w:val="single" w:color="auto" w:sz="4" w:space="0"/>
              <w:right w:val="single" w:color="auto" w:sz="4" w:space="0"/>
            </w:tcBorders>
          </w:tcPr>
          <w:p w14:paraId="46DD19D1">
            <w:pPr>
              <w:spacing w:line="360" w:lineRule="auto"/>
              <w:rPr>
                <w:rFonts w:hint="eastAsia" w:ascii="宋体" w:hAnsi="宋体" w:cs="宋体"/>
                <w:szCs w:val="21"/>
              </w:rPr>
            </w:pPr>
            <w:r>
              <w:rPr>
                <w:rFonts w:hint="eastAsia" w:ascii="宋体" w:hAnsi="宋体" w:cs="宋体"/>
                <w:szCs w:val="21"/>
              </w:rPr>
              <w:t>接采购方通知后30分钟内响应，1小时内到达现场。</w:t>
            </w:r>
          </w:p>
        </w:tc>
      </w:tr>
      <w:tr w14:paraId="5C52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24" w:hRule="exact"/>
        </w:trPr>
        <w:tc>
          <w:tcPr>
            <w:tcW w:w="2546" w:type="dxa"/>
            <w:tcBorders>
              <w:top w:val="single" w:color="auto" w:sz="4" w:space="0"/>
              <w:left w:val="single" w:color="auto" w:sz="4" w:space="0"/>
              <w:bottom w:val="single" w:color="auto" w:sz="4" w:space="0"/>
              <w:right w:val="single" w:color="auto" w:sz="4" w:space="0"/>
            </w:tcBorders>
            <w:vAlign w:val="center"/>
          </w:tcPr>
          <w:p w14:paraId="0D973D09">
            <w:pPr>
              <w:spacing w:line="240" w:lineRule="auto"/>
              <w:jc w:val="both"/>
              <w:rPr>
                <w:rFonts w:hint="eastAsia" w:ascii="宋体" w:hAnsi="宋体" w:cs="宋体"/>
                <w:b/>
                <w:bCs/>
                <w:szCs w:val="21"/>
              </w:rPr>
            </w:pPr>
            <w:r>
              <w:rPr>
                <w:rFonts w:hint="eastAsia" w:ascii="宋体" w:hAnsi="宋体" w:cs="宋体"/>
                <w:b/>
                <w:bCs/>
                <w:szCs w:val="21"/>
              </w:rPr>
              <w:t>预算说明</w:t>
            </w:r>
          </w:p>
        </w:tc>
        <w:tc>
          <w:tcPr>
            <w:tcW w:w="7000" w:type="dxa"/>
            <w:tcBorders>
              <w:top w:val="single" w:color="auto" w:sz="4" w:space="0"/>
              <w:left w:val="single" w:color="auto" w:sz="4" w:space="0"/>
              <w:bottom w:val="single" w:color="auto" w:sz="4" w:space="0"/>
              <w:right w:val="single" w:color="auto" w:sz="4" w:space="0"/>
            </w:tcBorders>
          </w:tcPr>
          <w:p w14:paraId="7E0D390A">
            <w:pPr>
              <w:spacing w:line="360" w:lineRule="auto"/>
              <w:rPr>
                <w:rFonts w:hint="eastAsia" w:ascii="宋体" w:hAnsi="宋体" w:cs="宋体"/>
                <w:szCs w:val="21"/>
              </w:rPr>
            </w:pPr>
            <w:r>
              <w:rPr>
                <w:rFonts w:hint="eastAsia" w:ascii="宋体" w:hAnsi="宋体" w:cs="宋体"/>
                <w:szCs w:val="21"/>
              </w:rPr>
              <w:t>本项目的技术服务期为3</w:t>
            </w:r>
            <w:r>
              <w:rPr>
                <w:rFonts w:ascii="宋体" w:hAnsi="宋体" w:cs="宋体"/>
                <w:szCs w:val="21"/>
              </w:rPr>
              <w:t>个月</w:t>
            </w:r>
            <w:r>
              <w:rPr>
                <w:rFonts w:hint="eastAsia" w:ascii="宋体" w:hAnsi="宋体" w:cs="宋体"/>
                <w:szCs w:val="21"/>
              </w:rPr>
              <w:t>，总预算为48.7万元。</w:t>
            </w:r>
          </w:p>
        </w:tc>
      </w:tr>
      <w:tr w14:paraId="0BD9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88" w:hRule="atLeast"/>
        </w:trPr>
        <w:tc>
          <w:tcPr>
            <w:tcW w:w="2546" w:type="dxa"/>
            <w:tcBorders>
              <w:top w:val="single" w:color="auto" w:sz="4" w:space="0"/>
              <w:left w:val="single" w:color="auto" w:sz="4" w:space="0"/>
              <w:bottom w:val="single" w:color="auto" w:sz="4" w:space="0"/>
              <w:right w:val="single" w:color="auto" w:sz="4" w:space="0"/>
            </w:tcBorders>
            <w:vAlign w:val="center"/>
          </w:tcPr>
          <w:p w14:paraId="577CF62D">
            <w:pPr>
              <w:spacing w:line="240" w:lineRule="auto"/>
              <w:jc w:val="both"/>
              <w:rPr>
                <w:rFonts w:hint="eastAsia" w:ascii="宋体" w:hAnsi="宋体" w:cs="宋体"/>
                <w:b/>
                <w:bCs/>
                <w:szCs w:val="21"/>
              </w:rPr>
            </w:pPr>
            <w:r>
              <w:rPr>
                <w:rFonts w:hint="eastAsia" w:ascii="宋体" w:hAnsi="宋体" w:cs="宋体"/>
                <w:b/>
                <w:bCs/>
                <w:szCs w:val="21"/>
              </w:rPr>
              <w:t>合同价款支付方式和条件</w:t>
            </w:r>
          </w:p>
        </w:tc>
        <w:tc>
          <w:tcPr>
            <w:tcW w:w="7000" w:type="dxa"/>
            <w:tcBorders>
              <w:top w:val="single" w:color="auto" w:sz="4" w:space="0"/>
              <w:left w:val="single" w:color="auto" w:sz="4" w:space="0"/>
              <w:bottom w:val="single" w:color="auto" w:sz="4" w:space="0"/>
              <w:right w:val="single" w:color="auto" w:sz="4" w:space="0"/>
            </w:tcBorders>
          </w:tcPr>
          <w:p w14:paraId="6FFD08FE">
            <w:pPr>
              <w:spacing w:line="360" w:lineRule="auto"/>
            </w:pPr>
            <w:r>
              <w:rPr>
                <w:rFonts w:hint="eastAsia"/>
              </w:rPr>
              <w:t>①付款方式：按中标后合同约定；</w:t>
            </w:r>
          </w:p>
          <w:p w14:paraId="420D1B31">
            <w:pPr>
              <w:spacing w:line="360" w:lineRule="auto"/>
            </w:pPr>
            <w:r>
              <w:rPr>
                <w:rFonts w:hint="eastAsia"/>
              </w:rPr>
              <w:t>②供应商应根据项目要求，必须完成在服务期内完成技术服务。</w:t>
            </w:r>
          </w:p>
        </w:tc>
      </w:tr>
    </w:tbl>
    <w:p w14:paraId="20E02F65">
      <w:pPr>
        <w:spacing w:line="288" w:lineRule="auto"/>
        <w:ind w:firstLine="422" w:firstLineChars="200"/>
        <w:rPr>
          <w:rFonts w:hint="eastAsia" w:ascii="宋体" w:hAnsi="宋体" w:cs="宋体"/>
          <w:b/>
          <w:szCs w:val="21"/>
          <w:highlight w:val="yellow"/>
        </w:rPr>
      </w:pPr>
    </w:p>
    <w:p w14:paraId="53870929">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0" w:leftChars="0" w:firstLine="640"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资格条件</w:t>
      </w:r>
    </w:p>
    <w:p w14:paraId="7E775111">
      <w:pPr>
        <w:keepNext w:val="0"/>
        <w:keepLines w:val="0"/>
        <w:pageBreakBefore w:val="0"/>
        <w:widowControl w:val="0"/>
        <w:tabs>
          <w:tab w:val="left" w:pos="755"/>
          <w:tab w:val="left" w:pos="1731"/>
        </w:tabs>
        <w:kinsoku/>
        <w:wordWrap/>
        <w:overflowPunct/>
        <w:topLinePunct w:val="0"/>
        <w:autoSpaceDE/>
        <w:autoSpaceDN/>
        <w:bidi w:val="0"/>
        <w:spacing w:after="0"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（1）在中国境内注册，具有独立承担民事责任的能力（提交企业营业执照副本复印件并加盖公章；</w:t>
      </w:r>
    </w:p>
    <w:p w14:paraId="426DFDF3">
      <w:pPr>
        <w:keepNext w:val="0"/>
        <w:keepLines w:val="0"/>
        <w:pageBreakBefore w:val="0"/>
        <w:widowControl w:val="0"/>
        <w:tabs>
          <w:tab w:val="left" w:pos="755"/>
          <w:tab w:val="left" w:pos="1731"/>
        </w:tabs>
        <w:kinsoku/>
        <w:wordWrap/>
        <w:overflowPunct/>
        <w:topLinePunct w:val="0"/>
        <w:autoSpaceDE/>
        <w:autoSpaceDN/>
        <w:bidi w:val="0"/>
        <w:spacing w:after="0"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（2）法人身份证明；</w:t>
      </w:r>
    </w:p>
    <w:p w14:paraId="10B42806">
      <w:pPr>
        <w:keepNext w:val="0"/>
        <w:keepLines w:val="0"/>
        <w:pageBreakBefore w:val="0"/>
        <w:widowControl w:val="0"/>
        <w:tabs>
          <w:tab w:val="left" w:pos="755"/>
          <w:tab w:val="left" w:pos="1731"/>
        </w:tabs>
        <w:kinsoku/>
        <w:wordWrap/>
        <w:overflowPunct/>
        <w:topLinePunct w:val="0"/>
        <w:autoSpaceDE/>
        <w:autoSpaceDN/>
        <w:bidi w:val="0"/>
        <w:spacing w:after="0"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（3）授权委托书（如服务承诺函为法人签字则不需要）；</w:t>
      </w:r>
    </w:p>
    <w:p w14:paraId="6A70325D">
      <w:pPr>
        <w:pStyle w:val="11"/>
        <w:keepNext w:val="0"/>
        <w:keepLines w:val="0"/>
        <w:pageBreakBefore w:val="0"/>
        <w:widowControl w:val="0"/>
        <w:kinsoku/>
        <w:wordWrap/>
        <w:overflowPunct/>
        <w:topLinePunct w:val="0"/>
        <w:autoSpaceDE/>
        <w:autoSpaceDN/>
        <w:bidi w:val="0"/>
        <w:spacing w:after="0" w:line="580" w:lineRule="exact"/>
        <w:ind w:left="0" w:firstLine="640" w:firstLineChars="200"/>
        <w:textAlignment w:val="auto"/>
        <w:rPr>
          <w:rFonts w:hint="eastAsia" w:ascii="仿宋_GB2312" w:hAnsi="仿宋_GB2312" w:eastAsia="仿宋_GB2312" w:cs="仿宋_GB2312"/>
          <w:bCs w:val="0"/>
          <w:spacing w:val="0"/>
          <w:kern w:val="2"/>
          <w:sz w:val="32"/>
          <w:szCs w:val="32"/>
        </w:rPr>
      </w:pPr>
      <w:r>
        <w:rPr>
          <w:rFonts w:hint="eastAsia" w:ascii="仿宋_GB2312" w:hAnsi="仿宋_GB2312" w:eastAsia="仿宋_GB2312" w:cs="仿宋_GB2312"/>
          <w:bCs w:val="0"/>
          <w:spacing w:val="0"/>
          <w:kern w:val="2"/>
          <w:sz w:val="32"/>
          <w:szCs w:val="32"/>
        </w:rPr>
        <w:t>（4）具备城乡规划编制甲级资质；</w:t>
      </w:r>
    </w:p>
    <w:p w14:paraId="6D48FEDC">
      <w:pPr>
        <w:keepNext w:val="0"/>
        <w:keepLines w:val="0"/>
        <w:pageBreakBefore w:val="0"/>
        <w:widowControl w:val="0"/>
        <w:tabs>
          <w:tab w:val="left" w:pos="755"/>
          <w:tab w:val="left" w:pos="1731"/>
        </w:tabs>
        <w:kinsoku/>
        <w:wordWrap/>
        <w:overflowPunct/>
        <w:topLinePunct w:val="0"/>
        <w:autoSpaceDE/>
        <w:autoSpaceDN/>
        <w:bidi w:val="0"/>
        <w:spacing w:after="0"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（5）具</w:t>
      </w:r>
      <w:r>
        <w:rPr>
          <w:rFonts w:hint="eastAsia" w:ascii="仿宋_GB2312" w:hAnsi="仿宋_GB2312" w:eastAsia="仿宋_GB2312" w:cs="仿宋_GB2312"/>
          <w:spacing w:val="-6"/>
          <w:sz w:val="32"/>
          <w:szCs w:val="32"/>
        </w:rPr>
        <w:t>备健全的财务会计制度（提供承诺函并加盖公章）；</w:t>
      </w:r>
    </w:p>
    <w:p w14:paraId="24663F66">
      <w:pPr>
        <w:keepNext w:val="0"/>
        <w:keepLines w:val="0"/>
        <w:pageBreakBefore w:val="0"/>
        <w:widowControl w:val="0"/>
        <w:tabs>
          <w:tab w:val="left" w:pos="755"/>
          <w:tab w:val="left" w:pos="1731"/>
        </w:tabs>
        <w:kinsoku/>
        <w:wordWrap/>
        <w:overflowPunct/>
        <w:topLinePunct w:val="0"/>
        <w:autoSpaceDE/>
        <w:autoSpaceDN/>
        <w:bidi w:val="0"/>
        <w:spacing w:after="0"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（6）有依法缴纳税收和社会保障资金的良好记录（2025年1月至今，任意连续3个月提供承诺函并加盖公章）；</w:t>
      </w:r>
    </w:p>
    <w:p w14:paraId="019B011A">
      <w:pPr>
        <w:pStyle w:val="11"/>
        <w:keepNext w:val="0"/>
        <w:keepLines w:val="0"/>
        <w:pageBreakBefore w:val="0"/>
        <w:widowControl w:val="0"/>
        <w:kinsoku/>
        <w:wordWrap/>
        <w:overflowPunct/>
        <w:topLinePunct w:val="0"/>
        <w:autoSpaceDE/>
        <w:autoSpaceDN/>
        <w:bidi w:val="0"/>
        <w:spacing w:after="0" w:line="580" w:lineRule="exact"/>
        <w:ind w:left="0" w:firstLine="640" w:firstLineChars="200"/>
        <w:textAlignment w:val="auto"/>
        <w:rPr>
          <w:rFonts w:hint="eastAsia" w:ascii="仿宋_GB2312" w:hAnsi="仿宋_GB2312" w:eastAsia="仿宋_GB2312" w:cs="仿宋_GB2312"/>
          <w:bCs w:val="0"/>
          <w:spacing w:val="0"/>
          <w:kern w:val="2"/>
          <w:sz w:val="32"/>
          <w:szCs w:val="32"/>
        </w:rPr>
      </w:pPr>
      <w:r>
        <w:rPr>
          <w:rFonts w:hint="eastAsia" w:ascii="仿宋_GB2312" w:hAnsi="仿宋_GB2312" w:eastAsia="仿宋_GB2312" w:cs="仿宋_GB2312"/>
          <w:bCs w:val="0"/>
          <w:spacing w:val="0"/>
          <w:kern w:val="2"/>
          <w:sz w:val="32"/>
          <w:szCs w:val="32"/>
        </w:rPr>
        <w:t>（7）近3年内在经营活动中没有重大违法记录，无不良信用信息记录（信用中国查询记录并加盖公章）</w:t>
      </w:r>
      <w:r>
        <w:rPr>
          <w:rFonts w:hint="eastAsia" w:ascii="仿宋_GB2312" w:hAnsi="仿宋_GB2312" w:eastAsia="仿宋_GB2312" w:cs="仿宋_GB2312"/>
          <w:sz w:val="32"/>
          <w:szCs w:val="32"/>
        </w:rPr>
        <w:t>；</w:t>
      </w:r>
    </w:p>
    <w:p w14:paraId="3285FC24">
      <w:pPr>
        <w:keepNext w:val="0"/>
        <w:keepLines w:val="0"/>
        <w:pageBreakBefore w:val="0"/>
        <w:widowControl w:val="0"/>
        <w:tabs>
          <w:tab w:val="left" w:pos="755"/>
          <w:tab w:val="left" w:pos="1731"/>
        </w:tabs>
        <w:kinsoku/>
        <w:wordWrap/>
        <w:overflowPunct/>
        <w:topLinePunct w:val="0"/>
        <w:autoSpaceDE/>
        <w:autoSpaceDN/>
        <w:bidi w:val="0"/>
        <w:spacing w:after="0"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服务方需充分了解采购方需求，并出具经采购方盖章认可的承诺书，承诺已完全知晓采购方需求，一旦中标将严格按照采购需求送货及提供服务，严格执行合同，若服务方毁约，影响采购方工作的开展，采购方将报同级财政对服务方进行相应处罚；</w:t>
      </w:r>
    </w:p>
    <w:p w14:paraId="5926C5AC">
      <w:pPr>
        <w:keepNext w:val="0"/>
        <w:keepLines w:val="0"/>
        <w:pageBreakBefore w:val="0"/>
        <w:widowControl w:val="0"/>
        <w:kinsoku/>
        <w:wordWrap/>
        <w:overflowPunct/>
        <w:topLinePunct w:val="0"/>
        <w:autoSpaceDE/>
        <w:autoSpaceDN/>
        <w:bidi w:val="0"/>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（9）上述所需资料需在线上提供清晰盖章扫描件，若资料不完整或不清晰，将视为无效报价。</w:t>
      </w:r>
    </w:p>
    <w:p w14:paraId="3F7A3F99">
      <w:pPr>
        <w:jc w:val="center"/>
        <w:rPr>
          <w:rFonts w:hint="eastAsia" w:ascii="黑体" w:hAnsi="黑体" w:eastAsia="黑体"/>
          <w:sz w:val="32"/>
          <w:szCs w:val="32"/>
        </w:rPr>
      </w:pPr>
    </w:p>
    <w:p w14:paraId="4FE6A626">
      <w:pPr>
        <w:jc w:val="center"/>
        <w:rPr>
          <w:rFonts w:hint="eastAsia" w:ascii="黑体" w:hAnsi="黑体" w:eastAsia="黑体"/>
          <w:sz w:val="32"/>
          <w:szCs w:val="32"/>
        </w:rPr>
      </w:pPr>
    </w:p>
    <w:p w14:paraId="5E80EA47">
      <w:pPr>
        <w:jc w:val="center"/>
        <w:rPr>
          <w:rFonts w:hint="eastAsia" w:ascii="黑体" w:hAnsi="黑体" w:eastAsia="黑体"/>
          <w:sz w:val="32"/>
          <w:szCs w:val="32"/>
        </w:rPr>
      </w:pPr>
    </w:p>
    <w:p w14:paraId="12A883E8">
      <w:pPr>
        <w:jc w:val="center"/>
        <w:rPr>
          <w:rFonts w:hint="eastAsia" w:ascii="黑体" w:hAnsi="黑体" w:eastAsia="黑体"/>
          <w:sz w:val="32"/>
          <w:szCs w:val="32"/>
        </w:rPr>
      </w:pPr>
    </w:p>
    <w:p w14:paraId="65D91426">
      <w:pPr>
        <w:jc w:val="center"/>
        <w:rPr>
          <w:rFonts w:hint="eastAsia" w:ascii="黑体" w:hAnsi="黑体" w:eastAsia="黑体"/>
          <w:sz w:val="32"/>
          <w:szCs w:val="32"/>
        </w:rPr>
      </w:pPr>
    </w:p>
    <w:p w14:paraId="53E6F0D6">
      <w:pPr>
        <w:jc w:val="center"/>
        <w:rPr>
          <w:rFonts w:hint="eastAsia" w:ascii="黑体" w:hAnsi="黑体" w:eastAsia="黑体"/>
          <w:sz w:val="32"/>
          <w:szCs w:val="32"/>
        </w:rPr>
      </w:pPr>
    </w:p>
    <w:p w14:paraId="34C3E7DF">
      <w:pPr>
        <w:jc w:val="center"/>
        <w:rPr>
          <w:rFonts w:hint="eastAsia" w:ascii="黑体" w:hAnsi="黑体" w:eastAsia="黑体"/>
          <w:sz w:val="32"/>
          <w:szCs w:val="32"/>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优设标题黑">
    <w:panose1 w:val="00000500000000000000"/>
    <w:charset w:val="86"/>
    <w:family w:val="auto"/>
    <w:pitch w:val="default"/>
    <w:sig w:usb0="00000001"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7F73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09573">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B09573">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yMjg1OWE5NGVkOTBlYjU0YTk0ODdiMjY4NjdhMGMifQ=="/>
  </w:docVars>
  <w:rsids>
    <w:rsidRoot w:val="00970EAE"/>
    <w:rsid w:val="00052138"/>
    <w:rsid w:val="000603E8"/>
    <w:rsid w:val="002004D8"/>
    <w:rsid w:val="00344159"/>
    <w:rsid w:val="003815ED"/>
    <w:rsid w:val="004F7032"/>
    <w:rsid w:val="00571C88"/>
    <w:rsid w:val="006F775E"/>
    <w:rsid w:val="00764398"/>
    <w:rsid w:val="00970EAE"/>
    <w:rsid w:val="00AC082F"/>
    <w:rsid w:val="00B7667A"/>
    <w:rsid w:val="00C4742B"/>
    <w:rsid w:val="00C726E6"/>
    <w:rsid w:val="00DE475F"/>
    <w:rsid w:val="00DF7045"/>
    <w:rsid w:val="00EB1354"/>
    <w:rsid w:val="00EE61D5"/>
    <w:rsid w:val="00F26410"/>
    <w:rsid w:val="00FC2A19"/>
    <w:rsid w:val="07A34807"/>
    <w:rsid w:val="111B1C25"/>
    <w:rsid w:val="200B0C46"/>
    <w:rsid w:val="29E83016"/>
    <w:rsid w:val="29FD638B"/>
    <w:rsid w:val="33BD3B97"/>
    <w:rsid w:val="3BFF32C3"/>
    <w:rsid w:val="3C764FC0"/>
    <w:rsid w:val="3FE931E1"/>
    <w:rsid w:val="44407643"/>
    <w:rsid w:val="46334727"/>
    <w:rsid w:val="49C302AE"/>
    <w:rsid w:val="4E554FC8"/>
    <w:rsid w:val="5EDFF7AD"/>
    <w:rsid w:val="64403602"/>
    <w:rsid w:val="6B3E7EFD"/>
    <w:rsid w:val="6CF061F2"/>
    <w:rsid w:val="6FDD1634"/>
    <w:rsid w:val="78B92182"/>
    <w:rsid w:val="79B263AD"/>
    <w:rsid w:val="7CDB3E63"/>
    <w:rsid w:val="7D7372B3"/>
    <w:rsid w:val="D6E1E710"/>
    <w:rsid w:val="E7F91ABE"/>
    <w:rsid w:val="FDBBE569"/>
    <w:rsid w:val="FFDFE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0"/>
    <w:pPr>
      <w:spacing w:beforeAutospacing="1" w:afterAutospacing="1"/>
      <w:jc w:val="left"/>
      <w:outlineLvl w:val="1"/>
    </w:pPr>
    <w:rPr>
      <w:rFonts w:hint="eastAsia" w:ascii="宋体" w:hAnsi="宋体" w:eastAsia="宋体" w:cs="Times New Roman"/>
      <w:b/>
      <w:bCs/>
      <w:kern w:val="0"/>
      <w:sz w:val="28"/>
      <w:szCs w:val="36"/>
    </w:rPr>
  </w:style>
  <w:style w:type="paragraph" w:styleId="4">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7"/>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6"/>
    <w:unhideWhenUsed/>
    <w:qFormat/>
    <w:uiPriority w:val="99"/>
    <w:pPr>
      <w:tabs>
        <w:tab w:val="center" w:pos="4153"/>
        <w:tab w:val="right" w:pos="8306"/>
      </w:tabs>
      <w:snapToGrid w:val="0"/>
      <w:spacing w:line="240" w:lineRule="auto"/>
      <w:jc w:val="center"/>
    </w:pPr>
    <w:rPr>
      <w:sz w:val="18"/>
      <w:szCs w:val="18"/>
    </w:rPr>
  </w:style>
  <w:style w:type="paragraph" w:styleId="7">
    <w:name w:val="Body Text 2"/>
    <w:basedOn w:val="1"/>
    <w:link w:val="12"/>
    <w:qFormat/>
    <w:uiPriority w:val="0"/>
    <w:rPr>
      <w:rFonts w:ascii="Times New Roman" w:hAnsi="Times New Roman" w:eastAsia="宋体" w:cs="Times New Roman"/>
      <w:b/>
      <w:sz w:val="24"/>
      <w:szCs w:val="24"/>
    </w:rPr>
  </w:style>
  <w:style w:type="character" w:customStyle="1" w:styleId="10">
    <w:name w:val="标题 1 字符"/>
    <w:basedOn w:val="9"/>
    <w:link w:val="2"/>
    <w:qFormat/>
    <w:uiPriority w:val="9"/>
    <w:rPr>
      <w:rFonts w:asciiTheme="minorHAnsi" w:hAnsiTheme="minorHAnsi" w:eastAsiaTheme="minorEastAsia" w:cstheme="minorBidi"/>
      <w:b/>
      <w:bCs/>
      <w:kern w:val="44"/>
      <w:sz w:val="44"/>
      <w:szCs w:val="44"/>
    </w:rPr>
  </w:style>
  <w:style w:type="paragraph" w:customStyle="1" w:styleId="11">
    <w:name w:val="表格文字"/>
    <w:basedOn w:val="1"/>
    <w:qFormat/>
    <w:uiPriority w:val="0"/>
    <w:pPr>
      <w:jc w:val="left"/>
    </w:pPr>
    <w:rPr>
      <w:rFonts w:ascii="Times New Roman" w:hAnsi="Times New Roman" w:eastAsia="宋体" w:cs="Times New Roman"/>
      <w:bCs/>
      <w:spacing w:val="10"/>
      <w:kern w:val="0"/>
      <w:sz w:val="24"/>
      <w:szCs w:val="24"/>
    </w:rPr>
  </w:style>
  <w:style w:type="character" w:customStyle="1" w:styleId="12">
    <w:name w:val="正文文本 2 字符"/>
    <w:basedOn w:val="9"/>
    <w:link w:val="7"/>
    <w:qFormat/>
    <w:uiPriority w:val="0"/>
    <w:rPr>
      <w:rFonts w:ascii="Times New Roman" w:hAnsi="Times New Roman" w:eastAsia="宋体" w:cs="Times New Roman"/>
      <w:b/>
      <w:sz w:val="24"/>
      <w:szCs w:val="24"/>
    </w:rPr>
  </w:style>
  <w:style w:type="character" w:customStyle="1" w:styleId="13">
    <w:name w:val="标题 2 字符"/>
    <w:basedOn w:val="9"/>
    <w:link w:val="3"/>
    <w:qFormat/>
    <w:uiPriority w:val="0"/>
    <w:rPr>
      <w:rFonts w:ascii="宋体" w:hAnsi="宋体"/>
      <w:b/>
      <w:bCs/>
      <w:sz w:val="28"/>
      <w:szCs w:val="36"/>
    </w:rPr>
  </w:style>
  <w:style w:type="character" w:customStyle="1" w:styleId="14">
    <w:name w:val="标题 3 字符"/>
    <w:basedOn w:val="9"/>
    <w:link w:val="4"/>
    <w:qFormat/>
    <w:uiPriority w:val="0"/>
    <w:rPr>
      <w:rFonts w:asciiTheme="minorHAnsi" w:hAnsiTheme="minorHAnsi" w:eastAsiaTheme="minorEastAsia" w:cstheme="minorBidi"/>
      <w:b/>
      <w:bCs/>
      <w:kern w:val="2"/>
      <w:sz w:val="32"/>
      <w:szCs w:val="32"/>
    </w:rPr>
  </w:style>
  <w:style w:type="paragraph" w:styleId="15">
    <w:name w:val="List Paragraph"/>
    <w:basedOn w:val="1"/>
    <w:unhideWhenUsed/>
    <w:qFormat/>
    <w:uiPriority w:val="99"/>
    <w:pPr>
      <w:ind w:firstLine="420" w:firstLineChars="200"/>
    </w:pPr>
    <w:rPr>
      <w:sz w:val="28"/>
      <w:szCs w:val="24"/>
    </w:rPr>
  </w:style>
  <w:style w:type="character" w:customStyle="1" w:styleId="16">
    <w:name w:val="页眉 字符"/>
    <w:basedOn w:val="9"/>
    <w:link w:val="6"/>
    <w:qFormat/>
    <w:uiPriority w:val="99"/>
    <w:rPr>
      <w:rFonts w:asciiTheme="minorHAnsi" w:hAnsiTheme="minorHAnsi" w:eastAsiaTheme="minorEastAsia" w:cstheme="minorBidi"/>
      <w:kern w:val="2"/>
      <w:sz w:val="18"/>
      <w:szCs w:val="18"/>
    </w:rPr>
  </w:style>
  <w:style w:type="character" w:customStyle="1" w:styleId="17">
    <w:name w:val="页脚 字符"/>
    <w:basedOn w:val="9"/>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1932</Words>
  <Characters>2046</Characters>
  <Lines>54</Lines>
  <Paragraphs>60</Paragraphs>
  <TotalTime>15</TotalTime>
  <ScaleCrop>false</ScaleCrop>
  <LinksUpToDate>false</LinksUpToDate>
  <CharactersWithSpaces>2059</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2026-03-05T17:12:00Z</dcterms:created>
  <dc:creator>微软用户</dc:creator>
  <cp:lastModifiedBy>kylin</cp:lastModifiedBy>
  <cp:lastPrinted>2026-02-04T10:12:00Z</cp:lastPrinted>
  <dcterms:modified xsi:type="dcterms:W3CDTF">2026-03-17T09:52:20Z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37D0FC6492514EC3B454F742D9DFD5E3_13</vt:lpwstr>
  </property>
  <property fmtid="{D5CDD505-2E9C-101B-9397-08002B2CF9AE}" pid="4" name="KSOTemplateDocerSaveRecord">
    <vt:lpwstr>eyJoZGlkIjoiMTFhZmQzYTE0OTBlYzdlMmMzYmU3MDExMGNjODQ0NjciLCJ1c2VySWQiOiI3Mjk4NDIzMzgifQ==</vt:lpwstr>
  </property>
</Properties>
</file>