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488551">
      <w:pPr>
        <w:rPr>
          <w:rFonts w:hint="eastAsia" w:ascii="仿宋_GB2312" w:hAnsi="仿宋_GB2312" w:eastAsia="仿宋_GB2312" w:cs="仿宋_GB2312"/>
          <w:color w:val="FF0000"/>
          <w:sz w:val="36"/>
          <w:szCs w:val="36"/>
          <w:lang w:eastAsia="zh-CN"/>
        </w:rPr>
      </w:pPr>
      <w:r>
        <w:rPr>
          <w:rFonts w:hint="eastAsia" w:ascii="仿宋_GB2312" w:hAnsi="仿宋_GB2312" w:eastAsia="仿宋_GB2312" w:cs="仿宋_GB2312"/>
          <w:color w:val="FF0000"/>
          <w:sz w:val="36"/>
          <w:szCs w:val="36"/>
          <w:lang w:eastAsia="zh-CN"/>
        </w:rPr>
        <w:drawing>
          <wp:inline distT="0" distB="0" distL="114300" distR="114300">
            <wp:extent cx="5603875" cy="7877810"/>
            <wp:effectExtent l="0" t="0" r="15875" b="8890"/>
            <wp:docPr id="38" name="图片 38" descr="477594aae61b4fe15f6a821aea925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77594aae61b4fe15f6a821aea9257fd"/>
                    <pic:cNvPicPr>
                      <a:picLocks noChangeAspect="1"/>
                    </pic:cNvPicPr>
                  </pic:nvPicPr>
                  <pic:blipFill>
                    <a:blip r:embed="rId11"/>
                    <a:stretch>
                      <a:fillRect/>
                    </a:stretch>
                  </pic:blipFill>
                  <pic:spPr>
                    <a:xfrm>
                      <a:off x="0" y="0"/>
                      <a:ext cx="5603875" cy="7877810"/>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3875" cy="8272145"/>
            <wp:effectExtent l="0" t="0" r="15875" b="14605"/>
            <wp:docPr id="39" name="图片 39" descr="d2ba5f54096db664bcc22a58492f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2ba5f54096db664bcc22a58492f1562"/>
                    <pic:cNvPicPr>
                      <a:picLocks noChangeAspect="1"/>
                    </pic:cNvPicPr>
                  </pic:nvPicPr>
                  <pic:blipFill>
                    <a:blip r:embed="rId12"/>
                    <a:stretch>
                      <a:fillRect/>
                    </a:stretch>
                  </pic:blipFill>
                  <pic:spPr>
                    <a:xfrm>
                      <a:off x="0" y="0"/>
                      <a:ext cx="5603875" cy="8272145"/>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3875" cy="8167370"/>
            <wp:effectExtent l="0" t="0" r="15875" b="5080"/>
            <wp:docPr id="46" name="图片 46" descr="412a2e6e77bdc2dbaaba3883afc2d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12a2e6e77bdc2dbaaba3883afc2df2a"/>
                    <pic:cNvPicPr>
                      <a:picLocks noChangeAspect="1"/>
                    </pic:cNvPicPr>
                  </pic:nvPicPr>
                  <pic:blipFill>
                    <a:blip r:embed="rId13"/>
                    <a:stretch>
                      <a:fillRect/>
                    </a:stretch>
                  </pic:blipFill>
                  <pic:spPr>
                    <a:xfrm>
                      <a:off x="0" y="0"/>
                      <a:ext cx="5603875" cy="8167370"/>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8320" cy="8079740"/>
            <wp:effectExtent l="0" t="0" r="11430" b="16510"/>
            <wp:docPr id="53" name="图片 53" descr="14d06e7ab73250b1392a0d89ff59af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4d06e7ab73250b1392a0d89ff59af6e"/>
                    <pic:cNvPicPr>
                      <a:picLocks noChangeAspect="1"/>
                    </pic:cNvPicPr>
                  </pic:nvPicPr>
                  <pic:blipFill>
                    <a:blip r:embed="rId14"/>
                    <a:stretch>
                      <a:fillRect/>
                    </a:stretch>
                  </pic:blipFill>
                  <pic:spPr>
                    <a:xfrm>
                      <a:off x="0" y="0"/>
                      <a:ext cx="5608320" cy="8079740"/>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8320" cy="8347075"/>
            <wp:effectExtent l="0" t="0" r="11430" b="15875"/>
            <wp:docPr id="54" name="图片 54" descr="1fc07ab2088d6c5307f6fbbb820839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fc07ab2088d6c5307f6fbbb820839d8"/>
                    <pic:cNvPicPr>
                      <a:picLocks noChangeAspect="1"/>
                    </pic:cNvPicPr>
                  </pic:nvPicPr>
                  <pic:blipFill>
                    <a:blip r:embed="rId15"/>
                    <a:stretch>
                      <a:fillRect/>
                    </a:stretch>
                  </pic:blipFill>
                  <pic:spPr>
                    <a:xfrm>
                      <a:off x="0" y="0"/>
                      <a:ext cx="5608320" cy="8347075"/>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3875" cy="8276590"/>
            <wp:effectExtent l="0" t="0" r="15875" b="10160"/>
            <wp:docPr id="56" name="图片 56" descr="170bb84b755efcac6e87d9ffa16ec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0bb84b755efcac6e87d9ffa16ecf0d"/>
                    <pic:cNvPicPr>
                      <a:picLocks noChangeAspect="1"/>
                    </pic:cNvPicPr>
                  </pic:nvPicPr>
                  <pic:blipFill>
                    <a:blip r:embed="rId16"/>
                    <a:stretch>
                      <a:fillRect/>
                    </a:stretch>
                  </pic:blipFill>
                  <pic:spPr>
                    <a:xfrm>
                      <a:off x="0" y="0"/>
                      <a:ext cx="5603875" cy="8276590"/>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3875" cy="8035925"/>
            <wp:effectExtent l="0" t="0" r="15875" b="3175"/>
            <wp:docPr id="57" name="图片 57" descr="84babe0f6663a344111f764953962a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84babe0f6663a344111f764953962a06"/>
                    <pic:cNvPicPr>
                      <a:picLocks noChangeAspect="1"/>
                    </pic:cNvPicPr>
                  </pic:nvPicPr>
                  <pic:blipFill>
                    <a:blip r:embed="rId17"/>
                    <a:stretch>
                      <a:fillRect/>
                    </a:stretch>
                  </pic:blipFill>
                  <pic:spPr>
                    <a:xfrm>
                      <a:off x="0" y="0"/>
                      <a:ext cx="5603875" cy="8035925"/>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8320" cy="8160385"/>
            <wp:effectExtent l="0" t="0" r="11430" b="12065"/>
            <wp:docPr id="58" name="图片 58" descr="40f0d1274fe1808f02ffacc205d27e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40f0d1274fe1808f02ffacc205d27e9b"/>
                    <pic:cNvPicPr>
                      <a:picLocks noChangeAspect="1"/>
                    </pic:cNvPicPr>
                  </pic:nvPicPr>
                  <pic:blipFill>
                    <a:blip r:embed="rId18"/>
                    <a:stretch>
                      <a:fillRect/>
                    </a:stretch>
                  </pic:blipFill>
                  <pic:spPr>
                    <a:xfrm>
                      <a:off x="0" y="0"/>
                      <a:ext cx="5608320" cy="8160385"/>
                    </a:xfrm>
                    <a:prstGeom prst="rect">
                      <a:avLst/>
                    </a:prstGeom>
                  </pic:spPr>
                </pic:pic>
              </a:graphicData>
            </a:graphic>
          </wp:inline>
        </w:drawing>
      </w:r>
      <w:r>
        <w:rPr>
          <w:rFonts w:hint="eastAsia" w:ascii="仿宋_GB2312" w:hAnsi="仿宋_GB2312" w:eastAsia="仿宋_GB2312" w:cs="仿宋_GB2312"/>
          <w:color w:val="FF0000"/>
          <w:sz w:val="36"/>
          <w:szCs w:val="36"/>
          <w:lang w:eastAsia="zh-CN"/>
        </w:rPr>
        <w:drawing>
          <wp:inline distT="0" distB="0" distL="114300" distR="114300">
            <wp:extent cx="5608320" cy="7996555"/>
            <wp:effectExtent l="0" t="0" r="11430" b="4445"/>
            <wp:docPr id="59" name="图片 59" descr="ba9b47155070829abe0fcd34a2384a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a9b47155070829abe0fcd34a2384a0b"/>
                    <pic:cNvPicPr>
                      <a:picLocks noChangeAspect="1"/>
                    </pic:cNvPicPr>
                  </pic:nvPicPr>
                  <pic:blipFill>
                    <a:blip r:embed="rId19"/>
                    <a:stretch>
                      <a:fillRect/>
                    </a:stretch>
                  </pic:blipFill>
                  <pic:spPr>
                    <a:xfrm>
                      <a:off x="0" y="0"/>
                      <a:ext cx="5608320" cy="7996555"/>
                    </a:xfrm>
                    <a:prstGeom prst="rect">
                      <a:avLst/>
                    </a:prstGeom>
                  </pic:spPr>
                </pic:pic>
              </a:graphicData>
            </a:graphic>
          </wp:inline>
        </w:drawing>
      </w:r>
    </w:p>
    <w:p w14:paraId="4DDBD989">
      <w:pPr>
        <w:rPr>
          <w:rFonts w:ascii="仿宋_GB2312" w:hAnsi="仿宋_GB2312" w:eastAsia="仿宋_GB2312" w:cs="仿宋_GB2312"/>
          <w:color w:val="FF0000"/>
          <w:sz w:val="36"/>
          <w:szCs w:val="36"/>
        </w:rPr>
      </w:pPr>
    </w:p>
    <w:p w14:paraId="330023D4">
      <w:pPr>
        <w:rPr>
          <w:rFonts w:ascii="仿宋_GB2312" w:hAnsi="仿宋_GB2312" w:eastAsia="仿宋_GB2312" w:cs="仿宋_GB2312"/>
          <w:color w:val="FF0000"/>
          <w:sz w:val="36"/>
          <w:szCs w:val="36"/>
        </w:rPr>
      </w:pPr>
    </w:p>
    <w:p w14:paraId="5383A8BA">
      <w:pPr>
        <w:rPr>
          <w:rFonts w:ascii="仿宋_GB2312" w:hAnsi="仿宋_GB2312" w:eastAsia="仿宋_GB2312" w:cs="仿宋_GB2312"/>
          <w:color w:val="FF0000"/>
          <w:sz w:val="36"/>
          <w:szCs w:val="36"/>
        </w:rPr>
      </w:pPr>
    </w:p>
    <w:p w14:paraId="2C526C6E">
      <w:pPr>
        <w:rPr>
          <w:rFonts w:ascii="仿宋_GB2312" w:hAnsi="仿宋_GB2312" w:eastAsia="仿宋_GB2312" w:cs="仿宋_GB2312"/>
          <w:color w:val="FF0000"/>
          <w:sz w:val="36"/>
          <w:szCs w:val="36"/>
        </w:rPr>
      </w:pPr>
    </w:p>
    <w:p w14:paraId="0A3B5D11">
      <w:pPr>
        <w:rPr>
          <w:rFonts w:hint="eastAsia" w:ascii="仿宋_GB2312" w:hAnsi="仿宋_GB2312" w:eastAsia="仿宋_GB2312" w:cs="仿宋_GB2312"/>
          <w:color w:val="FF0000"/>
          <w:sz w:val="36"/>
          <w:szCs w:val="36"/>
        </w:rPr>
      </w:pPr>
    </w:p>
    <w:p w14:paraId="029F08C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7EE1D804">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14:paraId="597D6412">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outlineLvl w:val="9"/>
        <w:rPr>
          <w:rFonts w:ascii="华文仿宋" w:hAnsi="华文仿宋" w:eastAsia="华文仿宋" w:cs="华文仿宋"/>
          <w:color w:val="auto"/>
          <w:kern w:val="44"/>
          <w:sz w:val="44"/>
          <w:szCs w:val="44"/>
        </w:rPr>
      </w:pPr>
    </w:p>
    <w:p w14:paraId="010B6E87">
      <w:pPr>
        <w:jc w:val="center"/>
        <w:rPr>
          <w:rFonts w:eastAsia="仿宋"/>
          <w:color w:val="auto"/>
          <w:sz w:val="52"/>
          <w:szCs w:val="52"/>
        </w:rPr>
      </w:pPr>
    </w:p>
    <w:p w14:paraId="00196D98">
      <w:pPr>
        <w:ind w:firstLine="1040"/>
        <w:rPr>
          <w:rFonts w:eastAsia="仿宋"/>
          <w:color w:val="auto"/>
          <w:sz w:val="44"/>
          <w:szCs w:val="44"/>
        </w:rPr>
      </w:pPr>
    </w:p>
    <w:p w14:paraId="1445CCD2">
      <w:pPr>
        <w:ind w:firstLine="1040"/>
        <w:rPr>
          <w:rFonts w:eastAsia="仿宋"/>
          <w:color w:val="auto"/>
          <w:sz w:val="44"/>
          <w:szCs w:val="44"/>
        </w:rPr>
      </w:pPr>
    </w:p>
    <w:p w14:paraId="671ABA27">
      <w:pPr>
        <w:ind w:firstLine="1040"/>
        <w:rPr>
          <w:rFonts w:eastAsia="仿宋"/>
          <w:color w:val="auto"/>
          <w:sz w:val="44"/>
          <w:szCs w:val="44"/>
        </w:rPr>
      </w:pPr>
    </w:p>
    <w:p w14:paraId="6F879E8E">
      <w:pPr>
        <w:ind w:firstLine="1040"/>
        <w:rPr>
          <w:rFonts w:eastAsia="仿宋"/>
          <w:color w:val="auto"/>
          <w:sz w:val="44"/>
          <w:szCs w:val="44"/>
        </w:rPr>
      </w:pPr>
    </w:p>
    <w:p w14:paraId="67625E8F">
      <w:pPr>
        <w:adjustRightInd w:val="0"/>
        <w:snapToGrid w:val="0"/>
        <w:spacing w:line="288" w:lineRule="auto"/>
        <w:ind w:firstLine="1040"/>
        <w:rPr>
          <w:rFonts w:hint="eastAsia" w:ascii="仿宋_GB2312" w:eastAsia="仿宋_GB2312"/>
          <w:color w:val="auto"/>
          <w:sz w:val="36"/>
          <w:szCs w:val="36"/>
          <w:u w:val="single"/>
        </w:rPr>
      </w:pPr>
      <w:r>
        <w:rPr>
          <w:rFonts w:hint="eastAsia" w:ascii="仿宋_GB2312" w:eastAsia="仿宋_GB2312"/>
          <w:color w:val="auto"/>
          <w:sz w:val="36"/>
          <w:szCs w:val="36"/>
        </w:rPr>
        <w:t>项目名称：</w:t>
      </w:r>
      <w:r>
        <w:rPr>
          <w:rFonts w:hint="eastAsia" w:ascii="仿宋_GB2312" w:eastAsia="仿宋_GB2312"/>
          <w:color w:val="auto"/>
          <w:sz w:val="36"/>
          <w:szCs w:val="36"/>
          <w:u w:val="single"/>
        </w:rPr>
        <w:t xml:space="preserve"> </w:t>
      </w:r>
      <w:r>
        <w:rPr>
          <w:rFonts w:hint="eastAsia" w:eastAsia="仿宋_GB2312" w:cs="Times New Roman"/>
          <w:color w:val="auto"/>
          <w:sz w:val="36"/>
          <w:szCs w:val="36"/>
          <w:u w:val="single"/>
          <w:lang w:eastAsia="zh-CN"/>
        </w:rPr>
        <w:t>衡阳市凌云智科技有限公司特变电工输变电配套件生产项目</w:t>
      </w:r>
      <w:r>
        <w:rPr>
          <w:rFonts w:hint="eastAsia" w:ascii="仿宋_GB2312" w:eastAsia="仿宋_GB2312"/>
          <w:color w:val="auto"/>
          <w:sz w:val="36"/>
          <w:szCs w:val="36"/>
          <w:u w:val="single"/>
        </w:rPr>
        <w:t xml:space="preserve"> </w:t>
      </w:r>
    </w:p>
    <w:p w14:paraId="3754CB18">
      <w:pPr>
        <w:adjustRightInd w:val="0"/>
        <w:snapToGrid w:val="0"/>
        <w:spacing w:line="288" w:lineRule="auto"/>
        <w:ind w:firstLine="1040"/>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 xml:space="preserve"> </w:t>
      </w:r>
      <w:r>
        <w:rPr>
          <w:rFonts w:hint="eastAsia" w:ascii="仿宋_GB2312" w:eastAsia="仿宋_GB2312"/>
          <w:color w:val="auto"/>
          <w:sz w:val="36"/>
          <w:szCs w:val="36"/>
          <w:u w:val="single"/>
          <w:lang w:eastAsia="zh-CN"/>
        </w:rPr>
        <w:t>衡阳市凌云智科技有限公司</w:t>
      </w:r>
      <w:r>
        <w:rPr>
          <w:rFonts w:hint="eastAsia" w:ascii="仿宋_GB2312" w:eastAsia="仿宋_GB2312"/>
          <w:color w:val="auto"/>
          <w:sz w:val="36"/>
          <w:szCs w:val="36"/>
          <w:u w:val="single"/>
        </w:rPr>
        <w:t xml:space="preserve"> </w:t>
      </w:r>
    </w:p>
    <w:p w14:paraId="65995611">
      <w:pPr>
        <w:adjustRightInd w:val="0"/>
        <w:snapToGrid w:val="0"/>
        <w:spacing w:line="288" w:lineRule="auto"/>
        <w:ind w:firstLine="1040"/>
        <w:rPr>
          <w:rFonts w:hint="eastAsia"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w:t>
      </w:r>
      <w:r>
        <w:rPr>
          <w:rFonts w:hint="default" w:ascii="Times New Roman" w:hAnsi="Times New Roman" w:eastAsia="仿宋_GB2312" w:cs="Times New Roman"/>
          <w:color w:val="auto"/>
          <w:sz w:val="36"/>
          <w:szCs w:val="36"/>
          <w:u w:val="single"/>
          <w:lang w:val="en-US" w:eastAsia="zh-CN"/>
        </w:rPr>
        <w:t>2025年</w:t>
      </w:r>
      <w:r>
        <w:rPr>
          <w:rFonts w:hint="eastAsia" w:eastAsia="仿宋_GB2312" w:cs="Times New Roman"/>
          <w:color w:val="auto"/>
          <w:sz w:val="36"/>
          <w:szCs w:val="36"/>
          <w:u w:val="single"/>
          <w:lang w:val="en-US" w:eastAsia="zh-CN"/>
        </w:rPr>
        <w:t>12</w:t>
      </w:r>
      <w:r>
        <w:rPr>
          <w:rFonts w:hint="default" w:ascii="Times New Roman" w:hAnsi="Times New Roman" w:eastAsia="仿宋_GB2312" w:cs="Times New Roman"/>
          <w:color w:val="auto"/>
          <w:sz w:val="36"/>
          <w:szCs w:val="36"/>
          <w:u w:val="single"/>
          <w:lang w:val="en-US" w:eastAsia="zh-CN"/>
        </w:rPr>
        <w:t>月</w:t>
      </w:r>
      <w:r>
        <w:rPr>
          <w:rFonts w:hint="eastAsia" w:ascii="仿宋_GB2312" w:eastAsia="仿宋_GB2312"/>
          <w:color w:val="auto"/>
          <w:sz w:val="36"/>
          <w:szCs w:val="36"/>
          <w:u w:val="single"/>
        </w:rPr>
        <w:t xml:space="preserve"> </w:t>
      </w:r>
    </w:p>
    <w:p w14:paraId="3BB2693F">
      <w:pPr>
        <w:adjustRightInd w:val="0"/>
        <w:snapToGrid w:val="0"/>
        <w:spacing w:line="288" w:lineRule="auto"/>
        <w:ind w:firstLine="1040"/>
        <w:rPr>
          <w:rFonts w:ascii="仿宋_GB2312" w:eastAsia="仿宋_GB2312"/>
          <w:color w:val="auto"/>
          <w:sz w:val="36"/>
          <w:szCs w:val="36"/>
          <w:u w:val="single"/>
        </w:rPr>
      </w:pPr>
      <w:bookmarkStart w:id="0" w:name="_Hlk57884087"/>
    </w:p>
    <w:p w14:paraId="2D0DCEBD">
      <w:pPr>
        <w:adjustRightInd w:val="0"/>
        <w:snapToGrid w:val="0"/>
        <w:spacing w:line="288" w:lineRule="auto"/>
        <w:ind w:firstLine="1040"/>
        <w:rPr>
          <w:rFonts w:ascii="仿宋_GB2312" w:eastAsia="仿宋_GB2312"/>
          <w:color w:val="auto"/>
          <w:sz w:val="36"/>
          <w:szCs w:val="36"/>
        </w:rPr>
      </w:pPr>
    </w:p>
    <w:p w14:paraId="149EA34B">
      <w:pPr>
        <w:adjustRightInd w:val="0"/>
        <w:snapToGrid w:val="0"/>
        <w:spacing w:line="288" w:lineRule="auto"/>
        <w:ind w:firstLine="1040"/>
        <w:rPr>
          <w:rFonts w:ascii="仿宋_GB2312" w:eastAsia="仿宋_GB2312"/>
          <w:color w:val="auto"/>
          <w:sz w:val="36"/>
          <w:szCs w:val="36"/>
        </w:rPr>
      </w:pPr>
    </w:p>
    <w:p w14:paraId="32C2A35A">
      <w:pPr>
        <w:adjustRightInd w:val="0"/>
        <w:snapToGrid w:val="0"/>
        <w:spacing w:line="288" w:lineRule="auto"/>
        <w:ind w:firstLine="1040"/>
        <w:rPr>
          <w:rFonts w:hint="eastAsia" w:ascii="仿宋_GB2312" w:eastAsia="仿宋_GB2312"/>
          <w:color w:val="auto"/>
          <w:sz w:val="36"/>
          <w:szCs w:val="36"/>
        </w:rPr>
      </w:pPr>
    </w:p>
    <w:p w14:paraId="5E4FBE3A">
      <w:pPr>
        <w:adjustRightInd w:val="0"/>
        <w:snapToGrid w:val="0"/>
        <w:spacing w:line="288" w:lineRule="auto"/>
        <w:ind w:firstLine="1040"/>
        <w:rPr>
          <w:rFonts w:hint="eastAsia" w:ascii="仿宋_GB2312" w:eastAsia="仿宋_GB2312"/>
          <w:color w:val="auto"/>
          <w:sz w:val="36"/>
          <w:szCs w:val="36"/>
        </w:rPr>
      </w:pPr>
    </w:p>
    <w:bookmarkEnd w:id="0"/>
    <w:p w14:paraId="76B68BC2">
      <w:pPr>
        <w:adjustRightInd w:val="0"/>
        <w:snapToGrid w:val="0"/>
        <w:spacing w:line="288" w:lineRule="auto"/>
        <w:jc w:val="center"/>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14:paraId="68515A1C">
      <w:pPr>
        <w:adjustRightInd w:val="0"/>
        <w:snapToGrid w:val="0"/>
        <w:spacing w:line="288" w:lineRule="auto"/>
        <w:ind w:firstLine="1040"/>
        <w:rPr>
          <w:rFonts w:ascii="仿宋_GB2312" w:eastAsia="仿宋_GB2312"/>
          <w:color w:val="FF0000"/>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61088B2D">
      <w:pPr>
        <w:spacing w:before="0" w:beforeLines="0" w:after="0" w:afterLines="0" w:line="240" w:lineRule="auto"/>
        <w:ind w:left="0" w:leftChars="0" w:right="0" w:rightChars="0" w:firstLine="0" w:firstLineChars="0"/>
        <w:jc w:val="center"/>
        <w:rPr>
          <w:color w:val="auto"/>
        </w:rPr>
      </w:pPr>
      <w:r>
        <w:rPr>
          <w:rFonts w:ascii="宋体" w:hAnsi="宋体" w:eastAsia="宋体"/>
          <w:b/>
          <w:bCs/>
          <w:color w:val="auto"/>
          <w:sz w:val="32"/>
          <w:szCs w:val="32"/>
        </w:rPr>
        <w:t>目录</w:t>
      </w:r>
    </w:p>
    <w:p w14:paraId="58FC38F9">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"1-1" \h \u </w:instrText>
      </w:r>
      <w:r>
        <w:rPr>
          <w:rFonts w:hint="default" w:ascii="Times New Roman" w:hAnsi="Times New Roman" w:cs="Times New Roman"/>
          <w:color w:val="auto"/>
        </w:rPr>
        <w:fldChar w:fldCharType="separate"/>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_Toc25432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一、建设项目基本情况</w:t>
      </w:r>
      <w:r>
        <w:rPr>
          <w:color w:val="auto"/>
          <w:sz w:val="24"/>
          <w:szCs w:val="24"/>
        </w:rPr>
        <w:tab/>
      </w:r>
      <w:r>
        <w:rPr>
          <w:color w:val="auto"/>
          <w:sz w:val="24"/>
          <w:szCs w:val="24"/>
        </w:rPr>
        <w:fldChar w:fldCharType="begin"/>
      </w:r>
      <w:r>
        <w:rPr>
          <w:color w:val="auto"/>
          <w:sz w:val="24"/>
          <w:szCs w:val="24"/>
        </w:rPr>
        <w:instrText xml:space="preserve"> PAGEREF _Toc25432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cs="Times New Roman"/>
          <w:color w:val="auto"/>
          <w:sz w:val="24"/>
          <w:szCs w:val="24"/>
        </w:rPr>
        <w:fldChar w:fldCharType="end"/>
      </w:r>
    </w:p>
    <w:p w14:paraId="7B3BCF54">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_Toc13585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二、建设项目工程分析</w:t>
      </w:r>
      <w:r>
        <w:rPr>
          <w:color w:val="auto"/>
          <w:sz w:val="24"/>
          <w:szCs w:val="24"/>
        </w:rPr>
        <w:tab/>
      </w:r>
      <w:r>
        <w:rPr>
          <w:color w:val="auto"/>
          <w:sz w:val="24"/>
          <w:szCs w:val="24"/>
        </w:rPr>
        <w:fldChar w:fldCharType="begin"/>
      </w:r>
      <w:r>
        <w:rPr>
          <w:color w:val="auto"/>
          <w:sz w:val="24"/>
          <w:szCs w:val="24"/>
        </w:rPr>
        <w:instrText xml:space="preserve"> PAGEREF _Toc13585 \h </w:instrText>
      </w:r>
      <w:r>
        <w:rPr>
          <w:color w:val="auto"/>
          <w:sz w:val="24"/>
          <w:szCs w:val="24"/>
        </w:rPr>
        <w:fldChar w:fldCharType="separate"/>
      </w:r>
      <w:r>
        <w:rPr>
          <w:color w:val="auto"/>
          <w:sz w:val="24"/>
          <w:szCs w:val="24"/>
        </w:rPr>
        <w:t>20</w:t>
      </w:r>
      <w:r>
        <w:rPr>
          <w:color w:val="auto"/>
          <w:sz w:val="24"/>
          <w:szCs w:val="24"/>
        </w:rPr>
        <w:fldChar w:fldCharType="end"/>
      </w:r>
      <w:r>
        <w:rPr>
          <w:rFonts w:hint="default" w:ascii="Times New Roman" w:hAnsi="Times New Roman" w:cs="Times New Roman"/>
          <w:color w:val="auto"/>
          <w:sz w:val="24"/>
          <w:szCs w:val="24"/>
        </w:rPr>
        <w:fldChar w:fldCharType="end"/>
      </w:r>
    </w:p>
    <w:p w14:paraId="1C0417EA">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_Toc12281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_Toc12281 \h </w:instrText>
      </w:r>
      <w:r>
        <w:rPr>
          <w:color w:val="auto"/>
          <w:sz w:val="24"/>
          <w:szCs w:val="24"/>
        </w:rPr>
        <w:fldChar w:fldCharType="separate"/>
      </w:r>
      <w:r>
        <w:rPr>
          <w:color w:val="auto"/>
          <w:sz w:val="24"/>
          <w:szCs w:val="24"/>
        </w:rPr>
        <w:t>33</w:t>
      </w:r>
      <w:r>
        <w:rPr>
          <w:color w:val="auto"/>
          <w:sz w:val="24"/>
          <w:szCs w:val="24"/>
        </w:rPr>
        <w:fldChar w:fldCharType="end"/>
      </w:r>
      <w:r>
        <w:rPr>
          <w:rFonts w:hint="default" w:ascii="Times New Roman" w:hAnsi="Times New Roman" w:cs="Times New Roman"/>
          <w:color w:val="auto"/>
          <w:sz w:val="24"/>
          <w:szCs w:val="24"/>
        </w:rPr>
        <w:fldChar w:fldCharType="end"/>
      </w:r>
    </w:p>
    <w:p w14:paraId="5E3CF4E7">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_Toc25466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四、主要环境影响和保护措施</w:t>
      </w:r>
      <w:r>
        <w:rPr>
          <w:color w:val="auto"/>
          <w:sz w:val="24"/>
          <w:szCs w:val="24"/>
        </w:rPr>
        <w:tab/>
      </w:r>
      <w:r>
        <w:rPr>
          <w:color w:val="auto"/>
          <w:sz w:val="24"/>
          <w:szCs w:val="24"/>
        </w:rPr>
        <w:fldChar w:fldCharType="begin"/>
      </w:r>
      <w:r>
        <w:rPr>
          <w:color w:val="auto"/>
          <w:sz w:val="24"/>
          <w:szCs w:val="24"/>
        </w:rPr>
        <w:instrText xml:space="preserve"> PAGEREF _Toc25466 \h </w:instrText>
      </w:r>
      <w:r>
        <w:rPr>
          <w:color w:val="auto"/>
          <w:sz w:val="24"/>
          <w:szCs w:val="24"/>
        </w:rPr>
        <w:fldChar w:fldCharType="separate"/>
      </w:r>
      <w:r>
        <w:rPr>
          <w:color w:val="auto"/>
          <w:sz w:val="24"/>
          <w:szCs w:val="24"/>
        </w:rPr>
        <w:t>41</w:t>
      </w:r>
      <w:r>
        <w:rPr>
          <w:color w:val="auto"/>
          <w:sz w:val="24"/>
          <w:szCs w:val="24"/>
        </w:rPr>
        <w:fldChar w:fldCharType="end"/>
      </w:r>
      <w:r>
        <w:rPr>
          <w:rFonts w:hint="default" w:ascii="Times New Roman" w:hAnsi="Times New Roman" w:cs="Times New Roman"/>
          <w:color w:val="auto"/>
          <w:sz w:val="24"/>
          <w:szCs w:val="24"/>
        </w:rPr>
        <w:fldChar w:fldCharType="end"/>
      </w:r>
    </w:p>
    <w:p w14:paraId="70F646E9">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_Toc16124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五、环境保护措施监督检查清单</w:t>
      </w:r>
      <w:r>
        <w:rPr>
          <w:color w:val="auto"/>
          <w:sz w:val="24"/>
          <w:szCs w:val="24"/>
        </w:rPr>
        <w:tab/>
      </w:r>
      <w:r>
        <w:rPr>
          <w:color w:val="auto"/>
          <w:sz w:val="24"/>
          <w:szCs w:val="24"/>
        </w:rPr>
        <w:fldChar w:fldCharType="begin"/>
      </w:r>
      <w:r>
        <w:rPr>
          <w:color w:val="auto"/>
          <w:sz w:val="24"/>
          <w:szCs w:val="24"/>
        </w:rPr>
        <w:instrText xml:space="preserve"> PAGEREF _Toc16124 \h </w:instrText>
      </w:r>
      <w:r>
        <w:rPr>
          <w:color w:val="auto"/>
          <w:sz w:val="24"/>
          <w:szCs w:val="24"/>
        </w:rPr>
        <w:fldChar w:fldCharType="separate"/>
      </w:r>
      <w:r>
        <w:rPr>
          <w:color w:val="auto"/>
          <w:sz w:val="24"/>
          <w:szCs w:val="24"/>
        </w:rPr>
        <w:t>68</w:t>
      </w:r>
      <w:r>
        <w:rPr>
          <w:color w:val="auto"/>
          <w:sz w:val="24"/>
          <w:szCs w:val="24"/>
        </w:rPr>
        <w:fldChar w:fldCharType="end"/>
      </w:r>
      <w:r>
        <w:rPr>
          <w:rFonts w:hint="default" w:ascii="Times New Roman" w:hAnsi="Times New Roman" w:cs="Times New Roman"/>
          <w:color w:val="auto"/>
          <w:sz w:val="24"/>
          <w:szCs w:val="24"/>
        </w:rPr>
        <w:fldChar w:fldCharType="end"/>
      </w:r>
    </w:p>
    <w:p w14:paraId="6D57BB2C">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_Toc25173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六、结论</w:t>
      </w:r>
      <w:r>
        <w:rPr>
          <w:color w:val="auto"/>
          <w:sz w:val="24"/>
          <w:szCs w:val="24"/>
        </w:rPr>
        <w:tab/>
      </w:r>
      <w:r>
        <w:rPr>
          <w:color w:val="auto"/>
          <w:sz w:val="24"/>
          <w:szCs w:val="24"/>
        </w:rPr>
        <w:fldChar w:fldCharType="begin"/>
      </w:r>
      <w:r>
        <w:rPr>
          <w:color w:val="auto"/>
          <w:sz w:val="24"/>
          <w:szCs w:val="24"/>
        </w:rPr>
        <w:instrText xml:space="preserve"> PAGEREF _Toc25173 \h </w:instrText>
      </w:r>
      <w:r>
        <w:rPr>
          <w:color w:val="auto"/>
          <w:sz w:val="24"/>
          <w:szCs w:val="24"/>
        </w:rPr>
        <w:fldChar w:fldCharType="separate"/>
      </w:r>
      <w:r>
        <w:rPr>
          <w:color w:val="auto"/>
          <w:sz w:val="24"/>
          <w:szCs w:val="24"/>
        </w:rPr>
        <w:t>71</w:t>
      </w:r>
      <w:r>
        <w:rPr>
          <w:color w:val="auto"/>
          <w:sz w:val="24"/>
          <w:szCs w:val="24"/>
        </w:rPr>
        <w:fldChar w:fldCharType="end"/>
      </w:r>
      <w:r>
        <w:rPr>
          <w:rFonts w:hint="default" w:ascii="Times New Roman" w:hAnsi="Times New Roman" w:cs="Times New Roman"/>
          <w:color w:val="auto"/>
          <w:sz w:val="24"/>
          <w:szCs w:val="24"/>
        </w:rPr>
        <w:fldChar w:fldCharType="end"/>
      </w:r>
    </w:p>
    <w:p w14:paraId="782090F2">
      <w:pPr>
        <w:pStyle w:val="1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_Toc20186 </w:instrText>
      </w:r>
      <w:r>
        <w:rPr>
          <w:rFonts w:hint="default" w:ascii="Times New Roman" w:hAnsi="Times New Roman" w:cs="Times New Roman"/>
          <w:color w:val="auto"/>
          <w:sz w:val="24"/>
          <w:szCs w:val="24"/>
        </w:rPr>
        <w:fldChar w:fldCharType="separate"/>
      </w:r>
      <w:r>
        <w:rPr>
          <w:rFonts w:hint="eastAsia" w:ascii="黑体" w:hAnsi="黑体" w:eastAsia="黑体"/>
          <w:snapToGrid w:val="0"/>
          <w:color w:val="auto"/>
          <w:sz w:val="24"/>
          <w:szCs w:val="24"/>
        </w:rPr>
        <w:t>附表</w:t>
      </w:r>
      <w:r>
        <w:rPr>
          <w:color w:val="auto"/>
          <w:sz w:val="24"/>
          <w:szCs w:val="24"/>
        </w:rPr>
        <w:tab/>
      </w:r>
      <w:r>
        <w:rPr>
          <w:color w:val="auto"/>
          <w:sz w:val="24"/>
          <w:szCs w:val="24"/>
        </w:rPr>
        <w:fldChar w:fldCharType="begin"/>
      </w:r>
      <w:r>
        <w:rPr>
          <w:color w:val="auto"/>
          <w:sz w:val="24"/>
          <w:szCs w:val="24"/>
        </w:rPr>
        <w:instrText xml:space="preserve"> PAGEREF _Toc20186 \h </w:instrText>
      </w:r>
      <w:r>
        <w:rPr>
          <w:color w:val="auto"/>
          <w:sz w:val="24"/>
          <w:szCs w:val="24"/>
        </w:rPr>
        <w:fldChar w:fldCharType="separate"/>
      </w:r>
      <w:r>
        <w:rPr>
          <w:color w:val="auto"/>
          <w:sz w:val="24"/>
          <w:szCs w:val="24"/>
        </w:rPr>
        <w:t>72</w:t>
      </w:r>
      <w:r>
        <w:rPr>
          <w:color w:val="auto"/>
          <w:sz w:val="24"/>
          <w:szCs w:val="24"/>
        </w:rPr>
        <w:fldChar w:fldCharType="end"/>
      </w:r>
      <w:r>
        <w:rPr>
          <w:rFonts w:hint="default" w:ascii="Times New Roman" w:hAnsi="Times New Roman" w:cs="Times New Roman"/>
          <w:color w:val="auto"/>
          <w:sz w:val="24"/>
          <w:szCs w:val="24"/>
        </w:rPr>
        <w:fldChar w:fldCharType="end"/>
      </w:r>
    </w:p>
    <w:p w14:paraId="411AD34E">
      <w:pPr>
        <w:pStyle w:val="29"/>
        <w:bidi w:val="0"/>
        <w:ind w:left="0" w:leftChars="0" w:firstLine="0" w:firstLineChars="0"/>
        <w:rPr>
          <w:rFonts w:hint="eastAsia" w:ascii="Times New Roman" w:hAnsi="Times New Roman" w:cs="Times New Roman"/>
          <w:color w:val="auto"/>
          <w:lang w:val="en-US" w:eastAsia="zh-CN"/>
        </w:rPr>
      </w:pPr>
      <w:r>
        <w:rPr>
          <w:rFonts w:hint="default" w:ascii="Times New Roman" w:hAnsi="Times New Roman" w:cs="Times New Roman"/>
          <w:color w:val="auto"/>
        </w:rPr>
        <w:fldChar w:fldCharType="end"/>
      </w:r>
      <w:r>
        <w:rPr>
          <w:rFonts w:hint="eastAsia" w:ascii="Times New Roman" w:hAnsi="Times New Roman" w:cs="Times New Roman"/>
          <w:color w:val="auto"/>
          <w:lang w:val="en-US" w:eastAsia="zh-CN"/>
        </w:rPr>
        <w:t>附件：</w:t>
      </w:r>
    </w:p>
    <w:p w14:paraId="46CC3FA0">
      <w:pPr>
        <w:pStyle w:val="29"/>
        <w:bidi w:val="0"/>
        <w:ind w:left="0" w:leftChars="0" w:firstLine="0" w:firstLineChar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附件1  委托书</w:t>
      </w:r>
    </w:p>
    <w:p w14:paraId="56AFD6E8">
      <w:pPr>
        <w:pStyle w:val="29"/>
        <w:bidi w:val="0"/>
        <w:ind w:left="0" w:leftChars="0"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附件2  营业执照</w:t>
      </w:r>
    </w:p>
    <w:p w14:paraId="4351D2B0">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附件3  建设用地许可证书及租赁协议</w:t>
      </w:r>
    </w:p>
    <w:p w14:paraId="72848A76">
      <w:pPr>
        <w:pStyle w:val="29"/>
        <w:bidi w:val="0"/>
        <w:ind w:left="0" w:leftChars="0"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附件4  关于《衡阳高新技术产业开发区调区扩区规划环境影响报告书》审查意见的函</w:t>
      </w:r>
    </w:p>
    <w:p w14:paraId="2E8F56F5">
      <w:pPr>
        <w:pStyle w:val="29"/>
        <w:bidi w:val="0"/>
        <w:ind w:left="0" w:leftChars="0" w:firstLine="0" w:firstLineChar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附件5  立项备案</w:t>
      </w:r>
    </w:p>
    <w:p w14:paraId="0CEF9290">
      <w:pPr>
        <w:pStyle w:val="29"/>
        <w:bidi w:val="0"/>
        <w:ind w:left="0" w:leftChars="0"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附件6  原辅材料MSDS</w:t>
      </w:r>
    </w:p>
    <w:p w14:paraId="384A26E6">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附件7  技术评审意见及签到表</w:t>
      </w:r>
    </w:p>
    <w:p w14:paraId="6EAE80AA">
      <w:pPr>
        <w:pStyle w:val="29"/>
        <w:bidi w:val="0"/>
        <w:ind w:left="0" w:leftChars="0" w:firstLine="0" w:firstLineChars="0"/>
        <w:rPr>
          <w:rFonts w:hint="eastAsia" w:ascii="Times New Roman" w:hAnsi="Times New Roman" w:cs="Times New Roman"/>
          <w:color w:val="FF0000"/>
          <w:lang w:val="en-US" w:eastAsia="zh-CN"/>
        </w:rPr>
      </w:pPr>
    </w:p>
    <w:p w14:paraId="4094E377">
      <w:pPr>
        <w:pStyle w:val="29"/>
        <w:bidi w:val="0"/>
        <w:ind w:left="0" w:leftChars="0"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附图：</w:t>
      </w:r>
    </w:p>
    <w:p w14:paraId="543757AD">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附图1  项目地理位置示意</w:t>
      </w:r>
    </w:p>
    <w:p w14:paraId="58744928">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附图2  厂界外50m、500m范围内环境保护目标分布情况</w:t>
      </w:r>
    </w:p>
    <w:p w14:paraId="0B2F60AB">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附图3  项目</w:t>
      </w:r>
      <w:r>
        <w:rPr>
          <w:rFonts w:hint="eastAsia" w:ascii="Times New Roman" w:hAnsi="Times New Roman" w:cs="Times New Roman"/>
          <w:color w:val="000000" w:themeColor="text1"/>
          <w:lang w:val="en-US" w:eastAsia="zh-CN"/>
          <w14:textFill>
            <w14:solidFill>
              <w14:schemeClr w14:val="tx1"/>
            </w14:solidFill>
          </w14:textFill>
        </w:rPr>
        <w:t>总平面布置图</w:t>
      </w:r>
    </w:p>
    <w:p w14:paraId="5A0A4863">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附图4  项目与衡阳市生态环境管控单元图（2023年版）关系</w:t>
      </w:r>
    </w:p>
    <w:p w14:paraId="30600F1A">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附图5  项目与《衡阳高新技术产业开发区(白沙片)控制性详细规划》关系</w:t>
      </w:r>
    </w:p>
    <w:p w14:paraId="31E7CBA9">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附图6  项目与</w:t>
      </w:r>
      <w:r>
        <w:rPr>
          <w:rFonts w:hint="eastAsia" w:ascii="Times New Roman" w:hAnsi="Times New Roman" w:cs="Times New Roman"/>
          <w:color w:val="000000" w:themeColor="text1"/>
          <w:lang w:val="en-US" w:eastAsia="zh-CN"/>
          <w14:textFill>
            <w14:solidFill>
              <w14:schemeClr w14:val="tx1"/>
            </w14:solidFill>
          </w14:textFill>
        </w:rPr>
        <w:t>铜桥港污水处理厂</w:t>
      </w:r>
      <w:r>
        <w:rPr>
          <w:rFonts w:hint="default" w:ascii="Times New Roman" w:hAnsi="Times New Roman" w:cs="Times New Roman"/>
          <w:color w:val="000000" w:themeColor="text1"/>
          <w:lang w:val="en-US" w:eastAsia="zh-CN"/>
          <w14:textFill>
            <w14:solidFill>
              <w14:schemeClr w14:val="tx1"/>
            </w14:solidFill>
          </w14:textFill>
        </w:rPr>
        <w:t>位置关系</w:t>
      </w:r>
      <w:r>
        <w:rPr>
          <w:rFonts w:hint="eastAsia" w:ascii="Times New Roman" w:hAnsi="Times New Roman" w:cs="Times New Roman"/>
          <w:color w:val="000000" w:themeColor="text1"/>
          <w:lang w:val="en-US" w:eastAsia="zh-CN"/>
          <w14:textFill>
            <w14:solidFill>
              <w14:schemeClr w14:val="tx1"/>
            </w14:solidFill>
          </w14:textFill>
        </w:rPr>
        <w:t>及水系图</w:t>
      </w:r>
    </w:p>
    <w:p w14:paraId="593DF5A0">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附图7  项目与衡阳高新技术产业开发区白沙片配套污水管网图</w:t>
      </w:r>
    </w:p>
    <w:p w14:paraId="77A56A1E">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附图8  项目监测点位及引用监测点位相对位置图</w:t>
      </w:r>
    </w:p>
    <w:p w14:paraId="7448B19B">
      <w:pPr>
        <w:pStyle w:val="29"/>
        <w:bidi w:val="0"/>
        <w:ind w:left="0" w:leftChars="0"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w:t>
      </w:r>
      <w:r>
        <w:rPr>
          <w:rFonts w:hint="eastAsia"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lang w:val="en-US" w:eastAsia="zh-CN"/>
          <w14:textFill>
            <w14:solidFill>
              <w14:schemeClr w14:val="tx1"/>
            </w14:solidFill>
          </w14:textFill>
        </w:rPr>
        <w:t xml:space="preserve">  项目周边情况</w:t>
      </w:r>
    </w:p>
    <w:p w14:paraId="77411C08">
      <w:pPr>
        <w:pStyle w:val="29"/>
        <w:bidi w:val="0"/>
        <w:rPr>
          <w:rFonts w:hint="default" w:ascii="Times New Roman" w:hAnsi="Times New Roman" w:cs="Times New Roman"/>
          <w:color w:val="FF000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1F61CA2D">
      <w:pPr>
        <w:pStyle w:val="14"/>
        <w:jc w:val="center"/>
        <w:outlineLvl w:val="0"/>
        <w:rPr>
          <w:rFonts w:hint="eastAsia" w:ascii="黑体" w:hAnsi="黑体" w:eastAsia="黑体"/>
          <w:snapToGrid w:val="0"/>
          <w:color w:val="auto"/>
          <w:sz w:val="30"/>
          <w:szCs w:val="30"/>
        </w:rPr>
      </w:pPr>
      <w:bookmarkStart w:id="1" w:name="_Toc25432"/>
      <w:r>
        <w:rPr>
          <w:rFonts w:hint="eastAsia" w:ascii="黑体" w:hAnsi="黑体" w:eastAsia="黑体"/>
          <w:snapToGrid w:val="0"/>
          <w:color w:val="auto"/>
          <w:sz w:val="30"/>
          <w:szCs w:val="30"/>
        </w:rPr>
        <w:t>一、建设项目基本情况</w:t>
      </w:r>
      <w:bookmarkEnd w:id="1"/>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17"/>
        <w:gridCol w:w="1803"/>
        <w:gridCol w:w="2243"/>
        <w:gridCol w:w="3607"/>
      </w:tblGrid>
      <w:tr w14:paraId="49E0A2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7BF1BD85">
            <w:pPr>
              <w:adjustRightInd w:val="0"/>
              <w:snapToGrid w:val="0"/>
              <w:jc w:val="center"/>
              <w:rPr>
                <w:rFonts w:ascii="宋体" w:hAnsi="宋体" w:cs="宋体"/>
                <w:color w:val="auto"/>
                <w:sz w:val="24"/>
                <w:szCs w:val="24"/>
              </w:rPr>
            </w:pPr>
            <w:r>
              <w:rPr>
                <w:rFonts w:hint="eastAsia" w:ascii="宋体" w:hAnsi="宋体" w:cs="宋体"/>
                <w:color w:val="auto"/>
                <w:sz w:val="24"/>
                <w:szCs w:val="24"/>
              </w:rPr>
              <w:t>建设项目名称</w:t>
            </w:r>
          </w:p>
        </w:tc>
        <w:tc>
          <w:tcPr>
            <w:tcW w:w="7653" w:type="dxa"/>
            <w:gridSpan w:val="3"/>
            <w:noWrap w:val="0"/>
            <w:vAlign w:val="center"/>
          </w:tcPr>
          <w:p w14:paraId="3A70B167">
            <w:pPr>
              <w:adjustRightInd w:val="0"/>
              <w:snapToGrid w:val="0"/>
              <w:jc w:val="center"/>
              <w:rPr>
                <w:rFonts w:hint="eastAsia" w:ascii="宋体" w:hAnsi="宋体" w:eastAsia="宋体" w:cs="宋体"/>
                <w:color w:val="auto"/>
                <w:sz w:val="24"/>
                <w:szCs w:val="24"/>
                <w:lang w:eastAsia="zh-CN"/>
              </w:rPr>
            </w:pPr>
            <w:r>
              <w:rPr>
                <w:rFonts w:hint="eastAsia" w:cs="Times New Roman"/>
                <w:color w:val="auto"/>
                <w:sz w:val="24"/>
                <w:szCs w:val="24"/>
                <w:highlight w:val="none"/>
                <w:lang w:eastAsia="zh-CN"/>
              </w:rPr>
              <w:t>衡阳市凌云智科技有限公司特变电工输变电配套件生产项目</w:t>
            </w:r>
          </w:p>
        </w:tc>
      </w:tr>
      <w:tr w14:paraId="5B6F7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49B1D43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项目代码</w:t>
            </w:r>
          </w:p>
        </w:tc>
        <w:tc>
          <w:tcPr>
            <w:tcW w:w="7653" w:type="dxa"/>
            <w:gridSpan w:val="3"/>
            <w:noWrap w:val="0"/>
            <w:vAlign w:val="center"/>
          </w:tcPr>
          <w:p w14:paraId="612B407C">
            <w:pPr>
              <w:adjustRightInd w:val="0"/>
              <w:snapToGrid w:val="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2511-430472-04-01-303771</w:t>
            </w:r>
          </w:p>
        </w:tc>
      </w:tr>
      <w:tr w14:paraId="174F59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427B6BB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建设单位联系人</w:t>
            </w:r>
          </w:p>
        </w:tc>
        <w:tc>
          <w:tcPr>
            <w:tcW w:w="1803" w:type="dxa"/>
            <w:noWrap w:val="0"/>
            <w:vAlign w:val="center"/>
          </w:tcPr>
          <w:p w14:paraId="2C89B75E">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戴保初</w:t>
            </w:r>
          </w:p>
        </w:tc>
        <w:tc>
          <w:tcPr>
            <w:tcW w:w="2243" w:type="dxa"/>
            <w:noWrap w:val="0"/>
            <w:vAlign w:val="center"/>
          </w:tcPr>
          <w:p w14:paraId="054EF8B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3607" w:type="dxa"/>
            <w:noWrap w:val="0"/>
            <w:vAlign w:val="center"/>
          </w:tcPr>
          <w:p w14:paraId="3D1A7881">
            <w:pPr>
              <w:adjustRightInd w:val="0"/>
              <w:snapToGrid w:val="0"/>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val="en-US" w:eastAsia="zh-CN"/>
              </w:rPr>
              <w:t>15727452200</w:t>
            </w:r>
          </w:p>
        </w:tc>
      </w:tr>
      <w:tr w14:paraId="1F4D21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17" w:type="dxa"/>
            <w:noWrap w:val="0"/>
            <w:tcMar>
              <w:top w:w="16" w:type="dxa"/>
              <w:left w:w="16" w:type="dxa"/>
              <w:right w:w="16" w:type="dxa"/>
            </w:tcMar>
            <w:vAlign w:val="center"/>
          </w:tcPr>
          <w:p w14:paraId="55763F35">
            <w:pPr>
              <w:adjustRightInd w:val="0"/>
              <w:snapToGrid w:val="0"/>
              <w:jc w:val="center"/>
              <w:rPr>
                <w:rFonts w:ascii="宋体" w:hAnsi="宋体" w:cs="宋体"/>
                <w:color w:val="auto"/>
                <w:sz w:val="24"/>
                <w:szCs w:val="24"/>
              </w:rPr>
            </w:pPr>
            <w:r>
              <w:rPr>
                <w:rFonts w:hint="eastAsia" w:ascii="宋体" w:hAnsi="宋体" w:cs="宋体"/>
                <w:color w:val="auto"/>
                <w:sz w:val="24"/>
                <w:szCs w:val="24"/>
              </w:rPr>
              <w:t>建设地点</w:t>
            </w:r>
          </w:p>
        </w:tc>
        <w:tc>
          <w:tcPr>
            <w:tcW w:w="7653" w:type="dxa"/>
            <w:gridSpan w:val="3"/>
            <w:noWrap w:val="0"/>
            <w:vAlign w:val="center"/>
          </w:tcPr>
          <w:p w14:paraId="38EB2EF6">
            <w:pPr>
              <w:adjustRightInd w:val="0"/>
              <w:snapToGrid w:val="0"/>
              <w:jc w:val="center"/>
              <w:rPr>
                <w:rFonts w:hint="eastAsia" w:ascii="宋体" w:hAnsi="宋体" w:eastAsia="宋体" w:cs="宋体"/>
                <w:color w:val="auto"/>
                <w:sz w:val="24"/>
                <w:szCs w:val="24"/>
                <w:lang w:eastAsia="zh-CN"/>
              </w:rPr>
            </w:pPr>
            <w:r>
              <w:rPr>
                <w:rFonts w:hint="eastAsia" w:cs="Times New Roman"/>
                <w:color w:val="auto"/>
                <w:sz w:val="24"/>
                <w:szCs w:val="24"/>
                <w:highlight w:val="none"/>
                <w:u w:val="none"/>
                <w:lang w:eastAsia="zh-CN"/>
              </w:rPr>
              <w:t>衡阳市雁峰区白沙洲工业园富强路11号</w:t>
            </w:r>
          </w:p>
        </w:tc>
      </w:tr>
      <w:tr w14:paraId="542027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764DEDA4">
            <w:pPr>
              <w:adjustRightInd w:val="0"/>
              <w:snapToGrid w:val="0"/>
              <w:jc w:val="center"/>
              <w:rPr>
                <w:rFonts w:ascii="宋体" w:hAnsi="宋体" w:cs="宋体"/>
                <w:color w:val="auto"/>
                <w:sz w:val="24"/>
                <w:szCs w:val="24"/>
              </w:rPr>
            </w:pPr>
            <w:r>
              <w:rPr>
                <w:rFonts w:hint="eastAsia" w:ascii="宋体" w:hAnsi="宋体" w:cs="宋体"/>
                <w:color w:val="auto"/>
                <w:sz w:val="24"/>
                <w:szCs w:val="24"/>
              </w:rPr>
              <w:t>地理坐标</w:t>
            </w:r>
          </w:p>
        </w:tc>
        <w:tc>
          <w:tcPr>
            <w:tcW w:w="7653" w:type="dxa"/>
            <w:gridSpan w:val="3"/>
            <w:noWrap w:val="0"/>
            <w:vAlign w:val="center"/>
          </w:tcPr>
          <w:p w14:paraId="59290AC8">
            <w:pPr>
              <w:jc w:val="center"/>
              <w:rPr>
                <w:rFonts w:hint="eastAsia" w:ascii="宋体" w:hAnsi="宋体" w:cs="宋体"/>
                <w:color w:val="auto"/>
                <w:sz w:val="24"/>
                <w:szCs w:val="24"/>
              </w:rPr>
            </w:pPr>
            <w:r>
              <w:rPr>
                <w:rFonts w:hint="eastAsia" w:ascii="宋体" w:hAnsi="宋体" w:cs="宋体"/>
                <w:color w:val="auto"/>
                <w:sz w:val="24"/>
                <w:szCs w:val="24"/>
              </w:rPr>
              <w:t>（</w:t>
            </w:r>
            <w:r>
              <w:rPr>
                <w:rFonts w:hint="default" w:ascii="Times New Roman" w:hAnsi="Times New Roman" w:cs="Times New Roman"/>
                <w:color w:val="auto"/>
                <w:sz w:val="24"/>
                <w:szCs w:val="24"/>
                <w:u w:val="single"/>
              </w:rPr>
              <w:t>112</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u w:val="single"/>
              </w:rPr>
              <w:t>3</w:t>
            </w:r>
            <w:r>
              <w:rPr>
                <w:rFonts w:hint="eastAsia" w:cs="Times New Roman"/>
                <w:color w:val="auto"/>
                <w:sz w:val="24"/>
                <w:szCs w:val="24"/>
                <w:u w:val="single"/>
                <w:lang w:val="en-US" w:eastAsia="zh-CN"/>
              </w:rPr>
              <w:t>5</w:t>
            </w:r>
            <w:r>
              <w:rPr>
                <w:rFonts w:hint="default" w:ascii="Times New Roman" w:hAnsi="Times New Roman" w:cs="Times New Roman"/>
                <w:color w:val="auto"/>
                <w:sz w:val="24"/>
                <w:szCs w:val="24"/>
              </w:rPr>
              <w:t>分</w:t>
            </w:r>
            <w:r>
              <w:rPr>
                <w:rFonts w:hint="eastAsia" w:cs="Times New Roman"/>
                <w:color w:val="auto"/>
                <w:sz w:val="24"/>
                <w:szCs w:val="24"/>
                <w:u w:val="single"/>
                <w:lang w:val="en-US" w:eastAsia="zh-CN"/>
              </w:rPr>
              <w:t>34.998</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u w:val="single"/>
              </w:rPr>
              <w:t>26</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u w:val="single"/>
              </w:rPr>
              <w:t>4</w:t>
            </w:r>
            <w:r>
              <w:rPr>
                <w:rFonts w:hint="eastAsia" w:cs="Times New Roman"/>
                <w:color w:val="auto"/>
                <w:sz w:val="24"/>
                <w:szCs w:val="24"/>
                <w:u w:val="single"/>
                <w:lang w:val="en-US" w:eastAsia="zh-CN"/>
              </w:rPr>
              <w:t>9</w:t>
            </w:r>
            <w:r>
              <w:rPr>
                <w:rFonts w:hint="default" w:ascii="Times New Roman" w:hAnsi="Times New Roman" w:cs="Times New Roman"/>
                <w:color w:val="auto"/>
                <w:sz w:val="24"/>
                <w:szCs w:val="24"/>
              </w:rPr>
              <w:t>分</w:t>
            </w:r>
            <w:r>
              <w:rPr>
                <w:rFonts w:hint="eastAsia" w:cs="Times New Roman"/>
                <w:color w:val="auto"/>
                <w:sz w:val="24"/>
                <w:szCs w:val="24"/>
                <w:u w:val="single"/>
                <w:lang w:val="en-US" w:eastAsia="zh-CN"/>
              </w:rPr>
              <w:t>37.130</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lang w:val="en-US" w:eastAsia="zh-CN"/>
              </w:rPr>
              <w:t>N</w:t>
            </w:r>
            <w:r>
              <w:rPr>
                <w:rFonts w:hint="eastAsia" w:ascii="宋体" w:hAnsi="宋体" w:cs="宋体"/>
                <w:color w:val="auto"/>
                <w:sz w:val="24"/>
                <w:szCs w:val="24"/>
              </w:rPr>
              <w:t>）</w:t>
            </w:r>
          </w:p>
        </w:tc>
      </w:tr>
      <w:tr w14:paraId="5181B7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217" w:type="dxa"/>
            <w:noWrap w:val="0"/>
            <w:tcMar>
              <w:top w:w="16" w:type="dxa"/>
              <w:left w:w="16" w:type="dxa"/>
              <w:right w:w="16" w:type="dxa"/>
            </w:tcMar>
            <w:vAlign w:val="center"/>
          </w:tcPr>
          <w:p w14:paraId="237DB3E2">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国民经济</w:t>
            </w:r>
          </w:p>
          <w:p w14:paraId="6E684F00">
            <w:pPr>
              <w:adjustRightInd w:val="0"/>
              <w:snapToGrid w:val="0"/>
              <w:jc w:val="center"/>
              <w:rPr>
                <w:rFonts w:ascii="宋体" w:hAnsi="宋体" w:cs="宋体"/>
                <w:color w:val="auto"/>
                <w:sz w:val="24"/>
                <w:szCs w:val="24"/>
              </w:rPr>
            </w:pPr>
            <w:r>
              <w:rPr>
                <w:rFonts w:hint="eastAsia" w:ascii="宋体" w:hAnsi="宋体" w:cs="宋体"/>
                <w:color w:val="auto"/>
                <w:sz w:val="24"/>
                <w:szCs w:val="24"/>
              </w:rPr>
              <w:t>行业类别</w:t>
            </w:r>
          </w:p>
        </w:tc>
        <w:tc>
          <w:tcPr>
            <w:tcW w:w="1803" w:type="dxa"/>
            <w:noWrap w:val="0"/>
            <w:vAlign w:val="center"/>
          </w:tcPr>
          <w:p w14:paraId="0462570B">
            <w:pPr>
              <w:adjustRightInd w:val="0"/>
              <w:snapToGrid w:val="0"/>
              <w:jc w:val="center"/>
              <w:rPr>
                <w:rFonts w:hint="eastAsia" w:ascii="宋体" w:hAnsi="宋体" w:eastAsia="宋体" w:cs="宋体"/>
                <w:color w:val="auto"/>
                <w:sz w:val="24"/>
                <w:szCs w:val="24"/>
                <w:lang w:eastAsia="zh-CN"/>
              </w:rPr>
            </w:pPr>
            <w:r>
              <w:rPr>
                <w:rFonts w:hint="eastAsia" w:cs="Times New Roman"/>
                <w:color w:val="auto"/>
                <w:sz w:val="24"/>
                <w:szCs w:val="24"/>
                <w:lang w:eastAsia="zh-CN"/>
              </w:rPr>
              <w:t>C3823 配电开关控制设备制造</w:t>
            </w:r>
          </w:p>
        </w:tc>
        <w:tc>
          <w:tcPr>
            <w:tcW w:w="2243" w:type="dxa"/>
            <w:noWrap w:val="0"/>
            <w:vAlign w:val="center"/>
          </w:tcPr>
          <w:p w14:paraId="1AB75AC7">
            <w:pPr>
              <w:adjustRightInd w:val="0"/>
              <w:snapToGrid w:val="0"/>
              <w:jc w:val="center"/>
              <w:rPr>
                <w:rFonts w:ascii="宋体" w:hAnsi="宋体" w:cs="宋体"/>
                <w:color w:val="auto"/>
                <w:sz w:val="24"/>
                <w:szCs w:val="24"/>
              </w:rPr>
            </w:pPr>
            <w:bookmarkStart w:id="2" w:name="_Hlk49843745"/>
            <w:r>
              <w:rPr>
                <w:rFonts w:hint="eastAsia" w:ascii="宋体" w:hAnsi="宋体" w:cs="宋体"/>
                <w:color w:val="auto"/>
                <w:sz w:val="24"/>
                <w:szCs w:val="24"/>
              </w:rPr>
              <w:t>建设项目</w:t>
            </w:r>
          </w:p>
          <w:p w14:paraId="7CC3CB3F">
            <w:pPr>
              <w:adjustRightInd w:val="0"/>
              <w:snapToGrid w:val="0"/>
              <w:jc w:val="center"/>
              <w:rPr>
                <w:rFonts w:ascii="宋体" w:hAnsi="宋体" w:cs="宋体"/>
                <w:color w:val="auto"/>
                <w:sz w:val="24"/>
                <w:szCs w:val="24"/>
              </w:rPr>
            </w:pPr>
            <w:r>
              <w:rPr>
                <w:rFonts w:hint="eastAsia" w:ascii="宋体" w:hAnsi="宋体" w:cs="宋体"/>
                <w:color w:val="auto"/>
                <w:sz w:val="24"/>
                <w:szCs w:val="24"/>
              </w:rPr>
              <w:t>行业类别</w:t>
            </w:r>
            <w:bookmarkEnd w:id="2"/>
          </w:p>
        </w:tc>
        <w:tc>
          <w:tcPr>
            <w:tcW w:w="3607" w:type="dxa"/>
            <w:noWrap w:val="0"/>
            <w:vAlign w:val="center"/>
          </w:tcPr>
          <w:p w14:paraId="347DB724">
            <w:pPr>
              <w:adjustRightInd w:val="0"/>
              <w:snapToGrid w:val="0"/>
              <w:rPr>
                <w:rFonts w:ascii="宋体" w:hAnsi="宋体" w:cs="宋体"/>
                <w:color w:val="auto"/>
                <w:sz w:val="24"/>
                <w:szCs w:val="24"/>
              </w:rPr>
            </w:pPr>
            <w:r>
              <w:rPr>
                <w:rFonts w:hint="eastAsia" w:cs="Times New Roman"/>
                <w:color w:val="auto"/>
                <w:sz w:val="24"/>
                <w:szCs w:val="24"/>
                <w:lang w:val="en-US" w:eastAsia="zh-CN"/>
              </w:rPr>
              <w:t>三十五</w:t>
            </w:r>
            <w:r>
              <w:rPr>
                <w:rFonts w:hint="default" w:ascii="Times New Roman" w:hAnsi="Times New Roman" w:cs="Times New Roman"/>
                <w:color w:val="auto"/>
                <w:sz w:val="24"/>
                <w:szCs w:val="24"/>
              </w:rPr>
              <w:t>、</w:t>
            </w:r>
            <w:r>
              <w:rPr>
                <w:rFonts w:hint="eastAsia" w:cs="Times New Roman"/>
                <w:color w:val="auto"/>
                <w:sz w:val="24"/>
                <w:szCs w:val="24"/>
                <w:lang w:val="en-US" w:eastAsia="zh-CN"/>
              </w:rPr>
              <w:t>电气机械和器材制造业</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输配电及控制设备制造382</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其他（</w:t>
            </w:r>
            <w:r>
              <w:rPr>
                <w:rFonts w:hint="eastAsia" w:cs="Times New Roman"/>
                <w:color w:val="auto"/>
                <w:sz w:val="24"/>
                <w:szCs w:val="24"/>
                <w:lang w:val="en-US" w:eastAsia="zh-CN"/>
              </w:rPr>
              <w:t>仅分割、焊接、组装的除外；</w:t>
            </w:r>
            <w:r>
              <w:rPr>
                <w:rFonts w:hint="default" w:ascii="Times New Roman" w:hAnsi="Times New Roman" w:cs="Times New Roman"/>
                <w:color w:val="auto"/>
                <w:sz w:val="24"/>
                <w:szCs w:val="24"/>
              </w:rPr>
              <w:t>年用非溶剂型低 VOCs 含量涂料10 吨以下的除外）</w:t>
            </w:r>
          </w:p>
        </w:tc>
      </w:tr>
      <w:tr w14:paraId="0ACCD0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217" w:type="dxa"/>
            <w:noWrap w:val="0"/>
            <w:tcMar>
              <w:top w:w="16" w:type="dxa"/>
              <w:left w:w="16" w:type="dxa"/>
              <w:right w:w="16" w:type="dxa"/>
            </w:tcMar>
            <w:vAlign w:val="center"/>
          </w:tcPr>
          <w:p w14:paraId="3005B56D">
            <w:pPr>
              <w:adjustRightInd w:val="0"/>
              <w:snapToGrid w:val="0"/>
              <w:jc w:val="center"/>
              <w:rPr>
                <w:rFonts w:ascii="宋体" w:hAnsi="宋体" w:cs="宋体"/>
                <w:color w:val="auto"/>
                <w:sz w:val="24"/>
                <w:szCs w:val="24"/>
              </w:rPr>
            </w:pPr>
            <w:r>
              <w:rPr>
                <w:rFonts w:hint="eastAsia" w:ascii="宋体" w:hAnsi="宋体" w:cs="宋体"/>
                <w:color w:val="auto"/>
                <w:sz w:val="24"/>
                <w:szCs w:val="24"/>
              </w:rPr>
              <w:t>建设性质</w:t>
            </w:r>
          </w:p>
        </w:tc>
        <w:tc>
          <w:tcPr>
            <w:tcW w:w="1803" w:type="dxa"/>
            <w:noWrap w:val="0"/>
            <w:vAlign w:val="center"/>
          </w:tcPr>
          <w:p w14:paraId="74CC42B0">
            <w:pPr>
              <w:jc w:val="left"/>
              <w:rPr>
                <w:rFonts w:ascii="宋体" w:hAnsi="宋体" w:cs="宋体"/>
                <w:color w:val="auto"/>
                <w:sz w:val="24"/>
                <w:szCs w:val="24"/>
              </w:rPr>
            </w:pPr>
            <w:r>
              <w:rPr>
                <w:rFonts w:hint="eastAsia" w:ascii="宋体" w:hAnsi="宋体" w:cs="宋体"/>
                <w:color w:val="auto"/>
                <w:sz w:val="24"/>
                <w:szCs w:val="24"/>
                <w:lang w:eastAsia="zh-CN"/>
              </w:rPr>
              <w:t>☑</w:t>
            </w:r>
            <w:r>
              <w:rPr>
                <w:rFonts w:hint="eastAsia" w:ascii="宋体" w:hAnsi="宋体" w:cs="宋体"/>
                <w:color w:val="auto"/>
                <w:sz w:val="24"/>
                <w:szCs w:val="24"/>
              </w:rPr>
              <w:t>新建（迁建）</w:t>
            </w:r>
          </w:p>
          <w:p w14:paraId="66BFF265">
            <w:pPr>
              <w:jc w:val="left"/>
              <w:rPr>
                <w:rFonts w:hint="eastAsia" w:ascii="宋体" w:hAnsi="宋体" w:cs="宋体"/>
                <w:color w:val="auto"/>
                <w:sz w:val="24"/>
                <w:szCs w:val="24"/>
              </w:rPr>
            </w:pPr>
            <w:r>
              <w:rPr>
                <w:rFonts w:hint="eastAsia" w:ascii="宋体" w:hAnsi="宋体" w:cs="宋体"/>
                <w:color w:val="auto"/>
                <w:sz w:val="24"/>
                <w:szCs w:val="24"/>
              </w:rPr>
              <w:t>□改建</w:t>
            </w:r>
          </w:p>
          <w:p w14:paraId="3B58FF33">
            <w:pPr>
              <w:jc w:val="left"/>
              <w:rPr>
                <w:rFonts w:hint="eastAsia" w:ascii="宋体" w:hAnsi="宋体" w:cs="宋体"/>
                <w:color w:val="auto"/>
                <w:sz w:val="24"/>
                <w:szCs w:val="24"/>
              </w:rPr>
            </w:pPr>
            <w:r>
              <w:rPr>
                <w:rFonts w:hint="eastAsia" w:ascii="宋体" w:hAnsi="宋体" w:cs="宋体"/>
                <w:color w:val="auto"/>
                <w:sz w:val="24"/>
                <w:szCs w:val="24"/>
              </w:rPr>
              <w:t>□扩建</w:t>
            </w:r>
          </w:p>
          <w:p w14:paraId="1D2CD3F2">
            <w:pPr>
              <w:jc w:val="left"/>
              <w:rPr>
                <w:rFonts w:ascii="宋体" w:hAnsi="宋体" w:cs="宋体"/>
                <w:color w:val="auto"/>
                <w:sz w:val="24"/>
                <w:szCs w:val="24"/>
              </w:rPr>
            </w:pPr>
            <w:r>
              <w:rPr>
                <w:rFonts w:hint="eastAsia" w:ascii="宋体" w:hAnsi="宋体" w:cs="宋体"/>
                <w:color w:val="auto"/>
                <w:sz w:val="24"/>
                <w:szCs w:val="24"/>
              </w:rPr>
              <w:t>□技术改造</w:t>
            </w:r>
          </w:p>
        </w:tc>
        <w:tc>
          <w:tcPr>
            <w:tcW w:w="2243" w:type="dxa"/>
            <w:noWrap w:val="0"/>
            <w:vAlign w:val="center"/>
          </w:tcPr>
          <w:p w14:paraId="6E496D93">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建设项目</w:t>
            </w:r>
          </w:p>
          <w:p w14:paraId="55BAC7F1">
            <w:pPr>
              <w:adjustRightInd w:val="0"/>
              <w:snapToGrid w:val="0"/>
              <w:jc w:val="center"/>
              <w:rPr>
                <w:rFonts w:ascii="宋体" w:hAnsi="宋体" w:cs="宋体"/>
                <w:color w:val="auto"/>
                <w:sz w:val="24"/>
                <w:szCs w:val="24"/>
              </w:rPr>
            </w:pPr>
            <w:r>
              <w:rPr>
                <w:rFonts w:hint="eastAsia" w:ascii="宋体" w:hAnsi="宋体" w:cs="宋体"/>
                <w:color w:val="auto"/>
                <w:sz w:val="24"/>
                <w:szCs w:val="24"/>
              </w:rPr>
              <w:t>申报情形</w:t>
            </w:r>
          </w:p>
        </w:tc>
        <w:tc>
          <w:tcPr>
            <w:tcW w:w="3607" w:type="dxa"/>
            <w:noWrap w:val="0"/>
            <w:vAlign w:val="center"/>
          </w:tcPr>
          <w:p w14:paraId="213EA847">
            <w:pPr>
              <w:jc w:val="left"/>
              <w:rPr>
                <w:rFonts w:ascii="宋体" w:hAnsi="宋体" w:cs="宋体"/>
                <w:color w:val="auto"/>
                <w:sz w:val="24"/>
                <w:szCs w:val="24"/>
              </w:rPr>
            </w:pPr>
            <w:r>
              <w:rPr>
                <w:rFonts w:hint="eastAsia" w:ascii="宋体" w:hAnsi="宋体" w:cs="宋体"/>
                <w:color w:val="auto"/>
                <w:sz w:val="24"/>
                <w:szCs w:val="24"/>
              </w:rPr>
              <w:sym w:font="Wingdings 2" w:char="0052"/>
            </w:r>
            <w:r>
              <w:rPr>
                <w:rFonts w:hint="eastAsia" w:ascii="宋体" w:hAnsi="宋体" w:cs="宋体"/>
                <w:color w:val="auto"/>
                <w:sz w:val="24"/>
                <w:szCs w:val="24"/>
              </w:rPr>
              <w:t>首次申报项目</w:t>
            </w:r>
            <w:r>
              <w:rPr>
                <w:rFonts w:ascii="宋体" w:hAnsi="宋体" w:cs="宋体"/>
                <w:color w:val="auto"/>
                <w:sz w:val="24"/>
                <w:szCs w:val="24"/>
              </w:rPr>
              <w:t xml:space="preserve">             </w:t>
            </w:r>
          </w:p>
          <w:p w14:paraId="229D60D0">
            <w:pPr>
              <w:jc w:val="left"/>
              <w:rPr>
                <w:rFonts w:ascii="宋体" w:hAnsi="宋体" w:cs="宋体"/>
                <w:color w:val="auto"/>
                <w:sz w:val="24"/>
                <w:szCs w:val="24"/>
              </w:rPr>
            </w:pPr>
            <w:r>
              <w:rPr>
                <w:rFonts w:hint="eastAsia" w:ascii="宋体" w:hAnsi="宋体" w:cs="宋体"/>
                <w:color w:val="auto"/>
                <w:sz w:val="24"/>
                <w:szCs w:val="24"/>
              </w:rPr>
              <w:t>□不予批准后再次申报项目</w:t>
            </w:r>
          </w:p>
          <w:p w14:paraId="37830FBA">
            <w:pPr>
              <w:jc w:val="left"/>
              <w:rPr>
                <w:rFonts w:ascii="宋体" w:hAnsi="宋体" w:cs="宋体"/>
                <w:color w:val="auto"/>
                <w:sz w:val="24"/>
                <w:szCs w:val="24"/>
              </w:rPr>
            </w:pPr>
            <w:r>
              <w:rPr>
                <w:rFonts w:hint="eastAsia" w:ascii="宋体" w:hAnsi="宋体" w:cs="宋体"/>
                <w:color w:val="auto"/>
                <w:sz w:val="24"/>
                <w:szCs w:val="24"/>
              </w:rPr>
              <w:sym w:font="Wingdings 2" w:char="00A3"/>
            </w:r>
            <w:r>
              <w:rPr>
                <w:rFonts w:hint="eastAsia" w:ascii="宋体" w:hAnsi="宋体" w:cs="宋体"/>
                <w:color w:val="auto"/>
                <w:sz w:val="24"/>
                <w:szCs w:val="24"/>
              </w:rPr>
              <w:t>超五年重新审核项目</w:t>
            </w:r>
            <w:r>
              <w:rPr>
                <w:rFonts w:ascii="宋体" w:hAnsi="宋体" w:cs="宋体"/>
                <w:color w:val="auto"/>
                <w:sz w:val="24"/>
                <w:szCs w:val="24"/>
              </w:rPr>
              <w:t xml:space="preserve">     </w:t>
            </w:r>
          </w:p>
          <w:p w14:paraId="3E94BDEC">
            <w:pPr>
              <w:jc w:val="left"/>
              <w:rPr>
                <w:rFonts w:ascii="宋体" w:hAnsi="宋体" w:cs="宋体"/>
                <w:color w:val="auto"/>
                <w:sz w:val="24"/>
                <w:szCs w:val="24"/>
              </w:rPr>
            </w:pPr>
            <w:r>
              <w:rPr>
                <w:rFonts w:hint="eastAsia" w:ascii="宋体" w:hAnsi="宋体" w:cs="宋体"/>
                <w:color w:val="auto"/>
                <w:sz w:val="24"/>
                <w:szCs w:val="24"/>
              </w:rPr>
              <w:t>□重大变动重新报批项目</w:t>
            </w:r>
          </w:p>
        </w:tc>
      </w:tr>
      <w:tr w14:paraId="6FE305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217" w:type="dxa"/>
            <w:noWrap w:val="0"/>
            <w:tcMar>
              <w:top w:w="16" w:type="dxa"/>
              <w:left w:w="16" w:type="dxa"/>
              <w:right w:w="16" w:type="dxa"/>
            </w:tcMar>
            <w:vAlign w:val="center"/>
          </w:tcPr>
          <w:p w14:paraId="4CB66BF4">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项目审批（核准</w:t>
            </w:r>
            <w:r>
              <w:rPr>
                <w:rFonts w:ascii="宋体" w:hAnsi="宋体" w:cs="宋体"/>
                <w:color w:val="auto"/>
                <w:sz w:val="24"/>
                <w:szCs w:val="24"/>
              </w:rPr>
              <w:t>/</w:t>
            </w:r>
          </w:p>
          <w:p w14:paraId="5F1097FC">
            <w:pPr>
              <w:adjustRightInd w:val="0"/>
              <w:snapToGrid w:val="0"/>
              <w:jc w:val="center"/>
              <w:rPr>
                <w:rFonts w:ascii="宋体" w:hAnsi="宋体" w:cs="宋体"/>
                <w:color w:val="auto"/>
                <w:sz w:val="24"/>
                <w:szCs w:val="24"/>
              </w:rPr>
            </w:pPr>
            <w:r>
              <w:rPr>
                <w:rFonts w:hint="eastAsia" w:ascii="宋体" w:hAnsi="宋体" w:cs="宋体"/>
                <w:color w:val="auto"/>
                <w:sz w:val="24"/>
                <w:szCs w:val="24"/>
              </w:rPr>
              <w:t>备案）部门（选填）</w:t>
            </w:r>
          </w:p>
        </w:tc>
        <w:tc>
          <w:tcPr>
            <w:tcW w:w="1803" w:type="dxa"/>
            <w:noWrap w:val="0"/>
            <w:vAlign w:val="center"/>
          </w:tcPr>
          <w:p w14:paraId="7E639156">
            <w:pPr>
              <w:adjustRightInd w:val="0"/>
              <w:snapToGrid w:val="0"/>
              <w:jc w:val="center"/>
              <w:rPr>
                <w:rFonts w:hint="eastAsia" w:ascii="宋体" w:hAnsi="宋体" w:eastAsia="宋体" w:cs="宋体"/>
                <w:color w:val="auto"/>
                <w:sz w:val="24"/>
                <w:szCs w:val="24"/>
                <w:lang w:val="en-US" w:eastAsia="zh-CN"/>
              </w:rPr>
            </w:pPr>
          </w:p>
        </w:tc>
        <w:tc>
          <w:tcPr>
            <w:tcW w:w="2243" w:type="dxa"/>
            <w:noWrap w:val="0"/>
            <w:vAlign w:val="center"/>
          </w:tcPr>
          <w:p w14:paraId="4CB707F1">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项目审批（核准</w:t>
            </w:r>
            <w:r>
              <w:rPr>
                <w:rFonts w:ascii="宋体" w:hAnsi="宋体" w:cs="宋体"/>
                <w:color w:val="auto"/>
                <w:sz w:val="24"/>
                <w:szCs w:val="24"/>
              </w:rPr>
              <w:t>/</w:t>
            </w:r>
          </w:p>
          <w:p w14:paraId="7DFDB2C0">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备案）文号（选填）</w:t>
            </w:r>
          </w:p>
        </w:tc>
        <w:tc>
          <w:tcPr>
            <w:tcW w:w="3607" w:type="dxa"/>
            <w:noWrap w:val="0"/>
            <w:vAlign w:val="center"/>
          </w:tcPr>
          <w:p w14:paraId="11417A4B">
            <w:pPr>
              <w:adjustRightInd w:val="0"/>
              <w:snapToGrid w:val="0"/>
              <w:jc w:val="center"/>
              <w:rPr>
                <w:rFonts w:hint="eastAsia" w:ascii="宋体" w:hAnsi="宋体" w:eastAsia="宋体" w:cs="宋体"/>
                <w:color w:val="auto"/>
                <w:sz w:val="24"/>
                <w:szCs w:val="24"/>
                <w:lang w:val="en-US" w:eastAsia="zh-CN"/>
              </w:rPr>
            </w:pPr>
          </w:p>
        </w:tc>
      </w:tr>
      <w:tr w14:paraId="72893D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05E7EF40">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803" w:type="dxa"/>
            <w:noWrap w:val="0"/>
            <w:vAlign w:val="center"/>
          </w:tcPr>
          <w:p w14:paraId="45F3C22C">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500</w:t>
            </w:r>
          </w:p>
        </w:tc>
        <w:tc>
          <w:tcPr>
            <w:tcW w:w="2243" w:type="dxa"/>
            <w:noWrap w:val="0"/>
            <w:tcMar>
              <w:top w:w="16" w:type="dxa"/>
              <w:left w:w="16" w:type="dxa"/>
              <w:right w:w="16" w:type="dxa"/>
            </w:tcMar>
            <w:vAlign w:val="center"/>
          </w:tcPr>
          <w:p w14:paraId="110BC29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3607" w:type="dxa"/>
            <w:noWrap w:val="0"/>
            <w:vAlign w:val="center"/>
          </w:tcPr>
          <w:p w14:paraId="3967E0D0">
            <w:pPr>
              <w:adjustRightInd w:val="0"/>
              <w:snapToGrid w:val="0"/>
              <w:jc w:val="center"/>
              <w:rPr>
                <w:rFonts w:hint="default" w:ascii="Times New Roman" w:hAnsi="Times New Roman" w:cs="Times New Roman"/>
                <w:color w:val="auto"/>
                <w:sz w:val="24"/>
                <w:szCs w:val="24"/>
                <w:highlight w:val="none"/>
                <w:lang w:val="en-US"/>
              </w:rPr>
            </w:pPr>
            <w:r>
              <w:rPr>
                <w:rFonts w:hint="eastAsia" w:cs="Times New Roman"/>
                <w:color w:val="auto"/>
                <w:sz w:val="24"/>
                <w:szCs w:val="24"/>
                <w:highlight w:val="none"/>
                <w:lang w:val="en-US" w:eastAsia="zh-CN"/>
              </w:rPr>
              <w:t>67.5</w:t>
            </w:r>
          </w:p>
        </w:tc>
      </w:tr>
      <w:tr w14:paraId="35012D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17" w:type="dxa"/>
            <w:noWrap w:val="0"/>
            <w:tcMar>
              <w:top w:w="16" w:type="dxa"/>
              <w:left w:w="16" w:type="dxa"/>
              <w:right w:w="16" w:type="dxa"/>
            </w:tcMar>
            <w:vAlign w:val="center"/>
          </w:tcPr>
          <w:p w14:paraId="37178B5C">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803" w:type="dxa"/>
            <w:noWrap w:val="0"/>
            <w:vAlign w:val="center"/>
          </w:tcPr>
          <w:p w14:paraId="155E6FB9">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13.5</w:t>
            </w:r>
          </w:p>
        </w:tc>
        <w:tc>
          <w:tcPr>
            <w:tcW w:w="2243" w:type="dxa"/>
            <w:noWrap w:val="0"/>
            <w:tcMar>
              <w:top w:w="16" w:type="dxa"/>
              <w:left w:w="16" w:type="dxa"/>
              <w:right w:w="16" w:type="dxa"/>
            </w:tcMar>
            <w:vAlign w:val="center"/>
          </w:tcPr>
          <w:p w14:paraId="6CC2F80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3607" w:type="dxa"/>
            <w:noWrap w:val="0"/>
            <w:vAlign w:val="center"/>
          </w:tcPr>
          <w:p w14:paraId="0DE5534A">
            <w:pPr>
              <w:adjustRightInd w:val="0"/>
              <w:snapToGrid w:val="0"/>
              <w:jc w:val="center"/>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1个月</w:t>
            </w:r>
          </w:p>
        </w:tc>
      </w:tr>
      <w:tr w14:paraId="6FCA0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17" w:type="dxa"/>
            <w:noWrap w:val="0"/>
            <w:tcMar>
              <w:top w:w="16" w:type="dxa"/>
              <w:left w:w="16" w:type="dxa"/>
              <w:right w:w="16" w:type="dxa"/>
            </w:tcMar>
            <w:vAlign w:val="center"/>
          </w:tcPr>
          <w:p w14:paraId="15D0377A">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是否开工建设</w:t>
            </w:r>
          </w:p>
        </w:tc>
        <w:tc>
          <w:tcPr>
            <w:tcW w:w="1803" w:type="dxa"/>
            <w:noWrap w:val="0"/>
            <w:vAlign w:val="center"/>
          </w:tcPr>
          <w:p w14:paraId="561BB727">
            <w:pPr>
              <w:adjustRightInd w:val="0"/>
              <w:snapToGrid w:val="0"/>
              <w:rPr>
                <w:rFonts w:ascii="宋体" w:hAnsi="宋体" w:cs="宋体"/>
                <w:color w:val="auto"/>
                <w:sz w:val="24"/>
                <w:szCs w:val="24"/>
              </w:rPr>
            </w:pPr>
            <w:r>
              <w:rPr>
                <w:rFonts w:hint="eastAsia" w:ascii="宋体" w:hAnsi="宋体" w:cs="宋体"/>
                <w:color w:val="auto"/>
                <w:sz w:val="24"/>
                <w:szCs w:val="24"/>
              </w:rPr>
              <w:sym w:font="Wingdings 2" w:char="0052"/>
            </w:r>
            <w:r>
              <w:rPr>
                <w:rFonts w:hint="eastAsia" w:ascii="宋体" w:hAnsi="宋体" w:cs="宋体"/>
                <w:color w:val="auto"/>
                <w:sz w:val="24"/>
                <w:szCs w:val="24"/>
              </w:rPr>
              <w:t>否</w:t>
            </w:r>
          </w:p>
          <w:p w14:paraId="7DDAD9CC">
            <w:pPr>
              <w:adjustRightInd w:val="0"/>
              <w:snapToGrid w:val="0"/>
              <w:rPr>
                <w:rFonts w:ascii="宋体" w:hAnsi="宋体" w:cs="宋体"/>
                <w:color w:val="auto"/>
                <w:sz w:val="24"/>
                <w:szCs w:val="24"/>
              </w:rPr>
            </w:pPr>
            <w:r>
              <w:rPr>
                <w:rFonts w:hint="eastAsia" w:ascii="宋体" w:hAnsi="宋体" w:cs="宋体"/>
                <w:color w:val="auto"/>
                <w:sz w:val="24"/>
                <w:szCs w:val="24"/>
              </w:rPr>
              <w:sym w:font="Wingdings 2" w:char="00A3"/>
            </w:r>
            <w:r>
              <w:rPr>
                <w:rFonts w:hint="eastAsia" w:ascii="宋体" w:hAnsi="宋体" w:cs="宋体"/>
                <w:color w:val="auto"/>
                <w:sz w:val="24"/>
                <w:szCs w:val="24"/>
              </w:rPr>
              <w:t>是：</w:t>
            </w:r>
            <w:r>
              <w:rPr>
                <w:rFonts w:hint="eastAsia" w:ascii="宋体" w:hAnsi="宋体" w:cs="宋体"/>
                <w:color w:val="auto"/>
                <w:sz w:val="24"/>
                <w:szCs w:val="24"/>
                <w:u w:val="single"/>
              </w:rPr>
              <w:t xml:space="preserve">             </w:t>
            </w:r>
          </w:p>
        </w:tc>
        <w:tc>
          <w:tcPr>
            <w:tcW w:w="2243" w:type="dxa"/>
            <w:noWrap w:val="0"/>
            <w:tcMar>
              <w:top w:w="16" w:type="dxa"/>
              <w:left w:w="16" w:type="dxa"/>
              <w:right w:w="16" w:type="dxa"/>
            </w:tcMar>
            <w:vAlign w:val="center"/>
          </w:tcPr>
          <w:p w14:paraId="54CFB246">
            <w:pPr>
              <w:adjustRightInd w:val="0"/>
              <w:snapToGrid w:val="0"/>
              <w:jc w:val="center"/>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用地（用海）</w:t>
            </w:r>
          </w:p>
          <w:p w14:paraId="16FA01B8">
            <w:pPr>
              <w:adjustRightInd w:val="0"/>
              <w:snapToGrid w:val="0"/>
              <w:jc w:val="center"/>
              <w:rPr>
                <w:rFonts w:hint="eastAsia" w:ascii="宋体" w:hAnsi="宋体" w:cs="宋体"/>
                <w:color w:val="auto"/>
                <w:sz w:val="24"/>
                <w:szCs w:val="24"/>
                <w:highlight w:val="yellow"/>
              </w:rPr>
            </w:pPr>
            <w:r>
              <w:rPr>
                <w:rFonts w:hint="eastAsia" w:ascii="Times New Roman" w:hAnsi="Times New Roman" w:cs="Times New Roman"/>
                <w:color w:val="auto"/>
                <w:sz w:val="24"/>
                <w:szCs w:val="24"/>
                <w:highlight w:val="none"/>
              </w:rPr>
              <w:t>面积（</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eastAsia" w:ascii="Times New Roman" w:hAnsi="Times New Roman" w:cs="Times New Roman"/>
                <w:color w:val="auto"/>
                <w:sz w:val="24"/>
                <w:szCs w:val="24"/>
                <w:highlight w:val="none"/>
              </w:rPr>
              <w:t>）</w:t>
            </w:r>
          </w:p>
        </w:tc>
        <w:tc>
          <w:tcPr>
            <w:tcW w:w="3607" w:type="dxa"/>
            <w:noWrap w:val="0"/>
            <w:vAlign w:val="center"/>
          </w:tcPr>
          <w:p w14:paraId="6A6F5E6B">
            <w:pPr>
              <w:adjustRightInd w:val="0"/>
              <w:snapToGrid w:val="0"/>
              <w:jc w:val="center"/>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2800</w:t>
            </w:r>
          </w:p>
        </w:tc>
      </w:tr>
      <w:tr w14:paraId="5B0F92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0" w:hRule="atLeast"/>
          <w:jc w:val="center"/>
        </w:trPr>
        <w:tc>
          <w:tcPr>
            <w:tcW w:w="1217" w:type="dxa"/>
            <w:noWrap w:val="0"/>
            <w:vAlign w:val="center"/>
          </w:tcPr>
          <w:p w14:paraId="7EACF522">
            <w:pPr>
              <w:autoSpaceDE w:val="0"/>
              <w:autoSpaceDN w:val="0"/>
              <w:adjustRightInd w:val="0"/>
              <w:snapToGrid w:val="0"/>
              <w:jc w:val="center"/>
              <w:rPr>
                <w:rFonts w:ascii="宋体" w:hAnsi="宋体" w:cs="宋体"/>
                <w:color w:val="auto"/>
                <w:kern w:val="0"/>
                <w:sz w:val="24"/>
                <w:szCs w:val="24"/>
              </w:rPr>
            </w:pPr>
            <w:r>
              <w:rPr>
                <w:rFonts w:hint="eastAsia" w:ascii="宋体" w:hAnsi="宋体" w:cs="宋体"/>
                <w:color w:val="auto"/>
                <w:kern w:val="0"/>
                <w:sz w:val="24"/>
                <w:szCs w:val="24"/>
              </w:rPr>
              <w:t>专项评价设置情况</w:t>
            </w:r>
          </w:p>
        </w:tc>
        <w:tc>
          <w:tcPr>
            <w:tcW w:w="7653" w:type="dxa"/>
            <w:gridSpan w:val="3"/>
            <w:noWrap w:val="0"/>
            <w:vAlign w:val="top"/>
          </w:tcPr>
          <w:p w14:paraId="10A987EE">
            <w:pPr>
              <w:pStyle w:val="29"/>
              <w:bidi w:val="0"/>
              <w:rPr>
                <w:rFonts w:hint="default" w:ascii="Times New Roman" w:hAnsi="Times New Roman" w:cs="Times New Roman"/>
                <w:color w:val="auto"/>
              </w:rPr>
            </w:pPr>
            <w:r>
              <w:rPr>
                <w:rFonts w:hint="eastAsia" w:ascii="Times New Roman" w:hAnsi="Times New Roman" w:cs="Times New Roman"/>
                <w:color w:val="auto"/>
                <w:lang w:val="en-US" w:eastAsia="zh-CN"/>
              </w:rPr>
              <w:t>依据</w:t>
            </w:r>
            <w:r>
              <w:rPr>
                <w:rFonts w:hint="default" w:ascii="Times New Roman" w:hAnsi="Times New Roman" w:cs="Times New Roman"/>
                <w:color w:val="auto"/>
              </w:rPr>
              <w:t>《建设项目环境影响报告表编制技术指南（污染影响类）》（试行）表1内容，本项目专项评价设置判定结果见表1-1。</w:t>
            </w:r>
          </w:p>
          <w:p w14:paraId="740F1952">
            <w:pPr>
              <w:pStyle w:val="31"/>
              <w:bidi w:val="0"/>
              <w:rPr>
                <w:rFonts w:hint="default" w:ascii="Times New Roman" w:hAnsi="Times New Roman" w:cs="Times New Roman"/>
                <w:color w:val="auto"/>
              </w:rPr>
            </w:pPr>
            <w:r>
              <w:rPr>
                <w:rFonts w:hint="default" w:ascii="Times New Roman" w:hAnsi="Times New Roman" w:cs="Times New Roman"/>
                <w:color w:val="auto"/>
              </w:rPr>
              <w:t>表1-1  项目专项评价设置判定结果</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94"/>
              <w:gridCol w:w="3821"/>
              <w:gridCol w:w="2165"/>
              <w:gridCol w:w="657"/>
            </w:tblGrid>
            <w:tr w14:paraId="0C28C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12" w:space="0"/>
                    <w:left w:val="nil"/>
                    <w:bottom w:val="single" w:color="auto" w:sz="4" w:space="0"/>
                    <w:right w:val="single" w:color="auto" w:sz="4" w:space="0"/>
                    <w:tl2br w:val="nil"/>
                    <w:tr2bl w:val="nil"/>
                  </w:tcBorders>
                  <w:noWrap w:val="0"/>
                  <w:vAlign w:val="center"/>
                </w:tcPr>
                <w:p w14:paraId="4F0CE683">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专项评</w:t>
                  </w:r>
                </w:p>
                <w:p w14:paraId="7DF57FCA">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价类别</w:t>
                  </w:r>
                </w:p>
              </w:tc>
              <w:tc>
                <w:tcPr>
                  <w:tcW w:w="382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B85FAFF">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设置原则</w:t>
                  </w:r>
                </w:p>
              </w:tc>
              <w:tc>
                <w:tcPr>
                  <w:tcW w:w="216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0857633">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本项目情况</w:t>
                  </w:r>
                </w:p>
              </w:tc>
              <w:tc>
                <w:tcPr>
                  <w:tcW w:w="657" w:type="dxa"/>
                  <w:tcBorders>
                    <w:top w:val="single" w:color="auto" w:sz="12" w:space="0"/>
                    <w:left w:val="single" w:color="auto" w:sz="4" w:space="0"/>
                    <w:bottom w:val="single" w:color="auto" w:sz="4" w:space="0"/>
                    <w:right w:val="nil"/>
                    <w:tl2br w:val="nil"/>
                    <w:tr2bl w:val="nil"/>
                  </w:tcBorders>
                  <w:noWrap w:val="0"/>
                  <w:vAlign w:val="center"/>
                </w:tcPr>
                <w:p w14:paraId="66ABDD3C">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是否设置</w:t>
                  </w:r>
                </w:p>
              </w:tc>
            </w:tr>
            <w:tr w14:paraId="47395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4" w:space="0"/>
                    <w:left w:val="nil"/>
                    <w:bottom w:val="single" w:color="auto" w:sz="4" w:space="0"/>
                    <w:right w:val="single" w:color="auto" w:sz="4" w:space="0"/>
                    <w:tl2br w:val="nil"/>
                    <w:tr2bl w:val="nil"/>
                  </w:tcBorders>
                  <w:noWrap w:val="0"/>
                  <w:vAlign w:val="center"/>
                </w:tcPr>
                <w:p w14:paraId="2D8E70A9">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大气</w:t>
                  </w:r>
                </w:p>
              </w:tc>
              <w:tc>
                <w:tcPr>
                  <w:tcW w:w="38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68180CC">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排放废气含有毒有害污染物、二噁英、苯并[α]芘、氰化物、氯气且厂界外500米范围内有环境空气保护目标的建设项目</w:t>
                  </w:r>
                </w:p>
              </w:tc>
              <w:tc>
                <w:tcPr>
                  <w:tcW w:w="21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375F8EF">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项目废气不涉及</w:t>
                  </w:r>
                  <w:r>
                    <w:rPr>
                      <w:rFonts w:hint="eastAsia" w:ascii="Times New Roman" w:hAnsi="Times New Roman" w:cs="Times New Roman"/>
                      <w:color w:val="auto"/>
                      <w:sz w:val="21"/>
                      <w:szCs w:val="24"/>
                      <w:highlight w:val="none"/>
                      <w:lang w:val="en-US" w:eastAsia="zh-CN"/>
                    </w:rPr>
                    <w:t>有毒有害左列等</w:t>
                  </w:r>
                  <w:r>
                    <w:rPr>
                      <w:rFonts w:hint="default" w:ascii="Times New Roman" w:hAnsi="Times New Roman" w:cs="Times New Roman"/>
                      <w:color w:val="auto"/>
                      <w:sz w:val="21"/>
                      <w:szCs w:val="24"/>
                      <w:highlight w:val="none"/>
                    </w:rPr>
                    <w:t>相关污染物</w:t>
                  </w:r>
                </w:p>
              </w:tc>
              <w:tc>
                <w:tcPr>
                  <w:tcW w:w="657" w:type="dxa"/>
                  <w:tcBorders>
                    <w:top w:val="single" w:color="auto" w:sz="4" w:space="0"/>
                    <w:left w:val="single" w:color="auto" w:sz="4" w:space="0"/>
                    <w:bottom w:val="single" w:color="auto" w:sz="4" w:space="0"/>
                    <w:right w:val="nil"/>
                    <w:tl2br w:val="nil"/>
                    <w:tr2bl w:val="nil"/>
                  </w:tcBorders>
                  <w:noWrap w:val="0"/>
                  <w:vAlign w:val="center"/>
                </w:tcPr>
                <w:p w14:paraId="710B32A6">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否</w:t>
                  </w:r>
                </w:p>
              </w:tc>
            </w:tr>
            <w:tr w14:paraId="0138B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4" w:space="0"/>
                    <w:left w:val="nil"/>
                    <w:bottom w:val="single" w:color="auto" w:sz="4" w:space="0"/>
                    <w:right w:val="single" w:color="auto" w:sz="4" w:space="0"/>
                    <w:tl2br w:val="nil"/>
                    <w:tr2bl w:val="nil"/>
                  </w:tcBorders>
                  <w:noWrap w:val="0"/>
                  <w:vAlign w:val="center"/>
                </w:tcPr>
                <w:p w14:paraId="6CB95685">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地表水</w:t>
                  </w:r>
                </w:p>
              </w:tc>
              <w:tc>
                <w:tcPr>
                  <w:tcW w:w="38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3F5E50">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新增工业废水直排建设项目（槽罐车外送污水处理厂的除外）；新增废水直排的污水集中处理厂</w:t>
                  </w:r>
                </w:p>
              </w:tc>
              <w:tc>
                <w:tcPr>
                  <w:tcW w:w="21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EEA08B">
                  <w:pPr>
                    <w:pStyle w:val="30"/>
                    <w:spacing w:beforeLines="0" w:afterLines="0"/>
                    <w:rPr>
                      <w:rFonts w:hint="eastAsia" w:ascii="Times New Roman" w:hAnsi="Times New Roman" w:eastAsia="宋体" w:cs="Times New Roman"/>
                      <w:color w:val="auto"/>
                      <w:sz w:val="21"/>
                      <w:szCs w:val="24"/>
                      <w:highlight w:val="none"/>
                      <w:lang w:eastAsia="zh-CN"/>
                    </w:rPr>
                  </w:pPr>
                  <w:r>
                    <w:rPr>
                      <w:rFonts w:hint="default" w:ascii="Times New Roman" w:hAnsi="Times New Roman" w:cs="Times New Roman"/>
                      <w:color w:val="auto"/>
                      <w:sz w:val="21"/>
                      <w:szCs w:val="24"/>
                      <w:highlight w:val="none"/>
                    </w:rPr>
                    <w:t>本项目生产废水不外排；生活污水经化粪池处理后经市政污水管网进入</w:t>
                  </w:r>
                  <w:r>
                    <w:rPr>
                      <w:rFonts w:hint="eastAsia" w:ascii="Times New Roman" w:hAnsi="Times New Roman" w:cs="Times New Roman"/>
                      <w:color w:val="auto"/>
                      <w:sz w:val="21"/>
                      <w:szCs w:val="24"/>
                      <w:highlight w:val="none"/>
                      <w:lang w:eastAsia="zh-CN"/>
                    </w:rPr>
                    <w:t>铜桥港污水处理厂</w:t>
                  </w:r>
                </w:p>
              </w:tc>
              <w:tc>
                <w:tcPr>
                  <w:tcW w:w="657" w:type="dxa"/>
                  <w:tcBorders>
                    <w:top w:val="single" w:color="auto" w:sz="4" w:space="0"/>
                    <w:left w:val="single" w:color="auto" w:sz="4" w:space="0"/>
                    <w:bottom w:val="single" w:color="auto" w:sz="4" w:space="0"/>
                    <w:right w:val="nil"/>
                    <w:tl2br w:val="nil"/>
                    <w:tr2bl w:val="nil"/>
                  </w:tcBorders>
                  <w:noWrap w:val="0"/>
                  <w:vAlign w:val="center"/>
                </w:tcPr>
                <w:p w14:paraId="5736292B">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否</w:t>
                  </w:r>
                </w:p>
              </w:tc>
            </w:tr>
            <w:tr w14:paraId="5BECB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4" w:space="0"/>
                    <w:left w:val="nil"/>
                    <w:bottom w:val="single" w:color="auto" w:sz="4" w:space="0"/>
                    <w:right w:val="single" w:color="auto" w:sz="4" w:space="0"/>
                    <w:tl2br w:val="nil"/>
                    <w:tr2bl w:val="nil"/>
                  </w:tcBorders>
                  <w:noWrap w:val="0"/>
                  <w:vAlign w:val="center"/>
                </w:tcPr>
                <w:p w14:paraId="005E998F">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环境风险</w:t>
                  </w:r>
                </w:p>
              </w:tc>
              <w:tc>
                <w:tcPr>
                  <w:tcW w:w="38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6733B4">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有毒有害和易燃易爆危险物质存储量超过临界量的建设项目</w:t>
                  </w:r>
                </w:p>
              </w:tc>
              <w:tc>
                <w:tcPr>
                  <w:tcW w:w="21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C988F4">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项目危险物质存储量未超过临界量</w:t>
                  </w:r>
                </w:p>
              </w:tc>
              <w:tc>
                <w:tcPr>
                  <w:tcW w:w="657" w:type="dxa"/>
                  <w:tcBorders>
                    <w:top w:val="single" w:color="auto" w:sz="4" w:space="0"/>
                    <w:left w:val="single" w:color="auto" w:sz="4" w:space="0"/>
                    <w:bottom w:val="single" w:color="auto" w:sz="4" w:space="0"/>
                    <w:right w:val="nil"/>
                    <w:tl2br w:val="nil"/>
                    <w:tr2bl w:val="nil"/>
                  </w:tcBorders>
                  <w:noWrap w:val="0"/>
                  <w:vAlign w:val="center"/>
                </w:tcPr>
                <w:p w14:paraId="7926BCAE">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否</w:t>
                  </w:r>
                </w:p>
              </w:tc>
            </w:tr>
            <w:tr w14:paraId="1C9BF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4" w:space="0"/>
                    <w:left w:val="nil"/>
                    <w:bottom w:val="single" w:color="auto" w:sz="4" w:space="0"/>
                    <w:right w:val="single" w:color="auto" w:sz="4" w:space="0"/>
                    <w:tl2br w:val="nil"/>
                    <w:tr2bl w:val="nil"/>
                  </w:tcBorders>
                  <w:noWrap w:val="0"/>
                  <w:vAlign w:val="center"/>
                </w:tcPr>
                <w:p w14:paraId="005E81CB">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生态</w:t>
                  </w:r>
                </w:p>
              </w:tc>
              <w:tc>
                <w:tcPr>
                  <w:tcW w:w="38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A752A1">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取水口下游500米范围内有重要水生生物的自然产卵场、索饵场、越冬场和洄游通道的新增河道取水的污染类建设项目</w:t>
                  </w:r>
                </w:p>
              </w:tc>
              <w:tc>
                <w:tcPr>
                  <w:tcW w:w="21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7F38F1">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不涉及</w:t>
                  </w:r>
                </w:p>
              </w:tc>
              <w:tc>
                <w:tcPr>
                  <w:tcW w:w="657" w:type="dxa"/>
                  <w:tcBorders>
                    <w:top w:val="single" w:color="auto" w:sz="4" w:space="0"/>
                    <w:left w:val="single" w:color="auto" w:sz="4" w:space="0"/>
                    <w:bottom w:val="single" w:color="auto" w:sz="4" w:space="0"/>
                    <w:right w:val="nil"/>
                    <w:tl2br w:val="nil"/>
                    <w:tr2bl w:val="nil"/>
                  </w:tcBorders>
                  <w:noWrap w:val="0"/>
                  <w:vAlign w:val="center"/>
                </w:tcPr>
                <w:p w14:paraId="4BCD58B5">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否</w:t>
                  </w:r>
                </w:p>
              </w:tc>
            </w:tr>
            <w:tr w14:paraId="63C0F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95" w:type="dxa"/>
                  <w:tcBorders>
                    <w:top w:val="single" w:color="auto" w:sz="4" w:space="0"/>
                    <w:left w:val="nil"/>
                    <w:bottom w:val="single" w:color="auto" w:sz="4" w:space="0"/>
                    <w:right w:val="single" w:color="auto" w:sz="4" w:space="0"/>
                    <w:tl2br w:val="nil"/>
                    <w:tr2bl w:val="nil"/>
                  </w:tcBorders>
                  <w:noWrap w:val="0"/>
                  <w:vAlign w:val="center"/>
                </w:tcPr>
                <w:p w14:paraId="5513DD5F">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海洋</w:t>
                  </w:r>
                </w:p>
              </w:tc>
              <w:tc>
                <w:tcPr>
                  <w:tcW w:w="38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F46D51">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直接向海排放污染物的海洋工程建设项目</w:t>
                  </w:r>
                </w:p>
              </w:tc>
              <w:tc>
                <w:tcPr>
                  <w:tcW w:w="21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984FA0">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不涉及</w:t>
                  </w:r>
                </w:p>
              </w:tc>
              <w:tc>
                <w:tcPr>
                  <w:tcW w:w="657" w:type="dxa"/>
                  <w:tcBorders>
                    <w:top w:val="single" w:color="auto" w:sz="4" w:space="0"/>
                    <w:left w:val="single" w:color="auto" w:sz="4" w:space="0"/>
                    <w:bottom w:val="single" w:color="auto" w:sz="4" w:space="0"/>
                    <w:right w:val="nil"/>
                    <w:tl2br w:val="nil"/>
                    <w:tr2bl w:val="nil"/>
                  </w:tcBorders>
                  <w:noWrap w:val="0"/>
                  <w:vAlign w:val="center"/>
                </w:tcPr>
                <w:p w14:paraId="7129D5A1">
                  <w:pPr>
                    <w:pStyle w:val="30"/>
                    <w:spacing w:beforeLines="0" w:afterLines="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否</w:t>
                  </w:r>
                </w:p>
              </w:tc>
            </w:tr>
            <w:tr w14:paraId="313F5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7439" w:type="dxa"/>
                  <w:gridSpan w:val="4"/>
                  <w:tcBorders>
                    <w:top w:val="single" w:color="auto" w:sz="4" w:space="0"/>
                    <w:left w:val="nil"/>
                    <w:bottom w:val="single" w:color="auto" w:sz="12" w:space="0"/>
                    <w:right w:val="nil"/>
                    <w:tl2br w:val="nil"/>
                    <w:tr2bl w:val="nil"/>
                  </w:tcBorders>
                  <w:noWrap w:val="0"/>
                  <w:vAlign w:val="top"/>
                </w:tcPr>
                <w:p w14:paraId="546B5562">
                  <w:pPr>
                    <w:pStyle w:val="30"/>
                    <w:spacing w:beforeLines="0" w:afterLines="0"/>
                    <w:jc w:val="both"/>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注：</w:t>
                  </w:r>
                </w:p>
                <w:p w14:paraId="13CD2481">
                  <w:pPr>
                    <w:pStyle w:val="30"/>
                    <w:spacing w:beforeLines="0" w:afterLines="0"/>
                    <w:jc w:val="both"/>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1.废气中有毒有害污染物指纳入《有毒有害大气污染物名录》的污染物（不包括无排放标准的污染物）。</w:t>
                  </w:r>
                </w:p>
                <w:p w14:paraId="550C0A0C">
                  <w:pPr>
                    <w:pStyle w:val="30"/>
                    <w:spacing w:beforeLines="0" w:afterLines="0"/>
                    <w:jc w:val="both"/>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2.环境空气保护目标指自然保护区、风景名胜区、居住区、文化区和农村地区中人群较集中的区域。</w:t>
                  </w:r>
                </w:p>
                <w:p w14:paraId="501348EA">
                  <w:pPr>
                    <w:pStyle w:val="30"/>
                    <w:spacing w:beforeLines="0" w:afterLines="0"/>
                    <w:jc w:val="both"/>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3.临界量及其计算方法可参考《建设项目环境风险评价技术导则》（HJ169）附录B、附录C。</w:t>
                  </w:r>
                </w:p>
              </w:tc>
            </w:tr>
          </w:tbl>
          <w:p w14:paraId="32DAEA1D">
            <w:pPr>
              <w:pStyle w:val="29"/>
              <w:bidi w:val="0"/>
              <w:rPr>
                <w:rFonts w:hint="default" w:ascii="Times New Roman" w:hAnsi="Times New Roman" w:cs="Times New Roman"/>
                <w:color w:val="auto"/>
              </w:rPr>
            </w:pPr>
          </w:p>
        </w:tc>
      </w:tr>
      <w:tr w14:paraId="2F5041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4" w:hRule="atLeast"/>
          <w:jc w:val="center"/>
        </w:trPr>
        <w:tc>
          <w:tcPr>
            <w:tcW w:w="1217" w:type="dxa"/>
            <w:noWrap w:val="0"/>
            <w:vAlign w:val="center"/>
          </w:tcPr>
          <w:p w14:paraId="13C3FCBB">
            <w:pPr>
              <w:autoSpaceDE w:val="0"/>
              <w:autoSpaceDN w:val="0"/>
              <w:adjustRightInd w:val="0"/>
              <w:snapToGrid w:val="0"/>
              <w:jc w:val="center"/>
              <w:rPr>
                <w:rFonts w:hint="eastAsia" w:ascii="宋体" w:hAnsi="宋体" w:cs="宋体"/>
                <w:color w:val="auto"/>
                <w:kern w:val="0"/>
                <w:sz w:val="24"/>
                <w:szCs w:val="24"/>
              </w:rPr>
            </w:pPr>
            <w:r>
              <w:rPr>
                <w:rFonts w:hint="eastAsia" w:ascii="宋体" w:hAnsi="宋体" w:cs="宋体"/>
                <w:color w:val="auto"/>
                <w:sz w:val="24"/>
                <w:szCs w:val="24"/>
              </w:rPr>
              <w:t>规划情况</w:t>
            </w:r>
          </w:p>
        </w:tc>
        <w:tc>
          <w:tcPr>
            <w:tcW w:w="7653" w:type="dxa"/>
            <w:gridSpan w:val="3"/>
            <w:noWrap w:val="0"/>
            <w:vAlign w:val="top"/>
          </w:tcPr>
          <w:p w14:paraId="1194A77D">
            <w:pPr>
              <w:pStyle w:val="29"/>
              <w:bidi w:val="0"/>
              <w:rPr>
                <w:rFonts w:hint="default" w:ascii="Times New Roman" w:hAnsi="Times New Roman" w:cs="Times New Roman"/>
                <w:color w:val="auto"/>
              </w:rPr>
            </w:pPr>
            <w:r>
              <w:rPr>
                <w:rFonts w:hint="default" w:ascii="Times New Roman" w:hAnsi="Times New Roman" w:cs="Times New Roman"/>
                <w:color w:val="auto"/>
              </w:rPr>
              <w:t>规划名称：《衡阳高新技术产业开发区控制性详细规划》（湘政办函〔2022〕 75 号）；</w:t>
            </w:r>
          </w:p>
          <w:p w14:paraId="39E4D425">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审批机关：湖南省人民政府办公厅。</w:t>
            </w:r>
          </w:p>
        </w:tc>
      </w:tr>
      <w:tr w14:paraId="52FD3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217" w:type="dxa"/>
            <w:noWrap w:val="0"/>
            <w:vAlign w:val="center"/>
          </w:tcPr>
          <w:p w14:paraId="2C787C2A">
            <w:pPr>
              <w:adjustRightInd w:val="0"/>
              <w:snapToGrid w:val="0"/>
              <w:jc w:val="center"/>
              <w:rPr>
                <w:rFonts w:hint="eastAsia" w:ascii="宋体" w:hAnsi="宋体" w:cs="宋体"/>
                <w:color w:val="auto"/>
                <w:kern w:val="0"/>
                <w:sz w:val="24"/>
                <w:szCs w:val="24"/>
              </w:rPr>
            </w:pPr>
            <w:r>
              <w:rPr>
                <w:rFonts w:hint="eastAsia" w:ascii="宋体" w:hAnsi="宋体" w:cs="宋体"/>
                <w:color w:val="auto"/>
                <w:sz w:val="24"/>
                <w:szCs w:val="24"/>
              </w:rPr>
              <w:t>规划环境影响评价情况</w:t>
            </w:r>
          </w:p>
        </w:tc>
        <w:tc>
          <w:tcPr>
            <w:tcW w:w="7653" w:type="dxa"/>
            <w:gridSpan w:val="3"/>
            <w:noWrap w:val="0"/>
            <w:vAlign w:val="top"/>
          </w:tcPr>
          <w:p w14:paraId="170F1296">
            <w:pPr>
              <w:pStyle w:val="2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规划环境影响评价文件：《衡阳高新技术产业开发区调区扩区规划环境影响报告书》；</w:t>
            </w:r>
          </w:p>
          <w:p w14:paraId="08835676">
            <w:pPr>
              <w:pStyle w:val="2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审查机关：湖南省生态环境厅；</w:t>
            </w:r>
          </w:p>
          <w:p w14:paraId="770B3363">
            <w:pPr>
              <w:pStyle w:val="29"/>
              <w:bidi w:val="0"/>
              <w:rPr>
                <w:rFonts w:hint="default" w:ascii="Times New Roman" w:hAnsi="Times New Roman" w:cs="Times New Roman"/>
                <w:color w:val="FF0000"/>
              </w:rPr>
            </w:pPr>
            <w:r>
              <w:rPr>
                <w:rFonts w:hint="default" w:ascii="Times New Roman" w:hAnsi="Times New Roman" w:cs="Times New Roman"/>
                <w:color w:val="000000"/>
                <w:highlight w:val="none"/>
              </w:rPr>
              <w:t>审批文件名称及文号：湖南省生态环境厅关于《衡阳高新技术产业开发区调区扩区规划环境影响报告书》审查意见的函（湘环评函〔2024〕 34 号）。</w:t>
            </w:r>
          </w:p>
        </w:tc>
      </w:tr>
      <w:tr w14:paraId="34DE01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217" w:type="dxa"/>
            <w:noWrap w:val="0"/>
            <w:vAlign w:val="center"/>
          </w:tcPr>
          <w:p w14:paraId="6D6A9A2C">
            <w:pPr>
              <w:autoSpaceDE w:val="0"/>
              <w:autoSpaceDN w:val="0"/>
              <w:adjustRightInd w:val="0"/>
              <w:snapToGrid w:val="0"/>
              <w:jc w:val="center"/>
              <w:rPr>
                <w:rFonts w:ascii="宋体" w:hAnsi="宋体" w:cs="宋体"/>
                <w:color w:val="auto"/>
                <w:kern w:val="0"/>
                <w:sz w:val="24"/>
                <w:szCs w:val="24"/>
              </w:rPr>
            </w:pPr>
            <w:r>
              <w:rPr>
                <w:rFonts w:hint="eastAsia" w:ascii="宋体" w:hAnsi="宋体" w:cs="宋体"/>
                <w:color w:val="auto"/>
                <w:kern w:val="0"/>
                <w:sz w:val="24"/>
                <w:szCs w:val="24"/>
              </w:rPr>
              <w:t>规划及规划环境影响评价符合性分析</w:t>
            </w:r>
          </w:p>
        </w:tc>
        <w:tc>
          <w:tcPr>
            <w:tcW w:w="7653" w:type="dxa"/>
            <w:gridSpan w:val="3"/>
            <w:noWrap w:val="0"/>
            <w:vAlign w:val="top"/>
          </w:tcPr>
          <w:p w14:paraId="6382F167">
            <w:pPr>
              <w:widowControl w:val="0"/>
              <w:bidi w:val="0"/>
              <w:adjustRightInd/>
              <w:snapToGrid/>
              <w:spacing w:after="2" w:line="360" w:lineRule="auto"/>
              <w:ind w:firstLine="482"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b/>
                <w:bCs/>
                <w:color w:val="000000"/>
                <w:kern w:val="2"/>
                <w:sz w:val="24"/>
                <w:szCs w:val="22"/>
                <w:highlight w:val="none"/>
                <w:lang w:val="en-US" w:eastAsia="zh-CN" w:bidi="ar-SA"/>
              </w:rPr>
              <w:t>1、衡阳市高新技术产业开发区白沙片区概况</w:t>
            </w:r>
          </w:p>
          <w:p w14:paraId="5D3B4379">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u w:val="single"/>
                <w:lang w:val="en-US" w:eastAsia="zh-CN" w:bidi="ar-SA"/>
              </w:rPr>
            </w:pPr>
            <w:r>
              <w:rPr>
                <w:rFonts w:hint="default" w:ascii="Times New Roman" w:hAnsi="Times New Roman" w:eastAsia="宋体" w:cs="Times New Roman"/>
                <w:color w:val="000000"/>
                <w:kern w:val="2"/>
                <w:sz w:val="24"/>
                <w:szCs w:val="22"/>
                <w:highlight w:val="none"/>
                <w:u w:val="single"/>
                <w:lang w:val="en-US" w:eastAsia="zh-CN" w:bidi="ar-SA"/>
              </w:rPr>
              <w:t>衡阳市高新技术产业开发区白沙片区位于衡阳市城区南部，规划范围被南外环路分为两部分：其中南外环路以南区域南临湘江、北靠南外环路、东抵湘江、西至外环西路，面积 12.67</w:t>
            </w:r>
            <w:r>
              <w:rPr>
                <w:rFonts w:hint="eastAsia" w:ascii="Times New Roman" w:hAnsi="Times New Roman" w:eastAsia="宋体" w:cs="Times New Roman"/>
                <w:color w:val="000000"/>
                <w:kern w:val="2"/>
                <w:sz w:val="24"/>
                <w:szCs w:val="22"/>
                <w:highlight w:val="none"/>
                <w:u w:val="single"/>
                <w:lang w:val="en-US" w:eastAsia="zh-CN" w:bidi="ar-SA"/>
              </w:rPr>
              <w:t xml:space="preserve"> </w:t>
            </w:r>
            <w:r>
              <w:rPr>
                <w:rFonts w:hint="default" w:ascii="Times New Roman" w:hAnsi="Times New Roman" w:eastAsia="宋体" w:cs="Times New Roman"/>
                <w:color w:val="000000"/>
                <w:kern w:val="2"/>
                <w:sz w:val="24"/>
                <w:szCs w:val="22"/>
                <w:highlight w:val="none"/>
                <w:u w:val="single"/>
                <w:lang w:val="en-US" w:eastAsia="zh-CN" w:bidi="ar-SA"/>
              </w:rPr>
              <w:t>km</w:t>
            </w:r>
            <w:r>
              <w:rPr>
                <w:rFonts w:hint="default" w:ascii="Times New Roman" w:hAnsi="Times New Roman" w:eastAsia="宋体" w:cs="Times New Roman"/>
                <w:color w:val="000000"/>
                <w:kern w:val="2"/>
                <w:sz w:val="24"/>
                <w:szCs w:val="22"/>
                <w:highlight w:val="none"/>
                <w:u w:val="single"/>
                <w:vertAlign w:val="superscript"/>
                <w:lang w:val="en-US" w:eastAsia="zh-CN" w:bidi="ar-SA"/>
              </w:rPr>
              <w:t>2</w:t>
            </w:r>
            <w:r>
              <w:rPr>
                <w:rFonts w:hint="default" w:ascii="Times New Roman" w:hAnsi="Times New Roman" w:eastAsia="宋体" w:cs="Times New Roman"/>
                <w:color w:val="000000"/>
                <w:kern w:val="2"/>
                <w:sz w:val="24"/>
                <w:szCs w:val="22"/>
                <w:highlight w:val="none"/>
                <w:u w:val="single"/>
                <w:lang w:val="en-US" w:eastAsia="zh-CN" w:bidi="ar-SA"/>
              </w:rPr>
              <w:t>，南外环路以北区域为铜桥路以南、南外环路以北、蒸湘南路以东、白沙大道以西，面积1.33km</w:t>
            </w:r>
            <w:r>
              <w:rPr>
                <w:rFonts w:hint="default" w:ascii="Times New Roman" w:hAnsi="Times New Roman" w:eastAsia="宋体" w:cs="Times New Roman"/>
                <w:color w:val="000000"/>
                <w:kern w:val="2"/>
                <w:sz w:val="24"/>
                <w:szCs w:val="22"/>
                <w:highlight w:val="none"/>
                <w:u w:val="single"/>
                <w:vertAlign w:val="superscript"/>
                <w:lang w:val="en-US" w:eastAsia="zh-CN" w:bidi="ar-SA"/>
              </w:rPr>
              <w:t>2</w:t>
            </w:r>
            <w:r>
              <w:rPr>
                <w:rFonts w:hint="default" w:ascii="Times New Roman" w:hAnsi="Times New Roman" w:eastAsia="宋体" w:cs="Times New Roman"/>
                <w:color w:val="000000"/>
                <w:kern w:val="2"/>
                <w:sz w:val="24"/>
                <w:szCs w:val="22"/>
                <w:highlight w:val="none"/>
                <w:u w:val="single"/>
                <w:lang w:val="en-US" w:eastAsia="zh-CN" w:bidi="ar-SA"/>
              </w:rPr>
              <w:t>，共计14km</w:t>
            </w:r>
            <w:r>
              <w:rPr>
                <w:rFonts w:hint="default" w:ascii="Times New Roman" w:hAnsi="Times New Roman" w:eastAsia="宋体" w:cs="Times New Roman"/>
                <w:color w:val="000000"/>
                <w:kern w:val="2"/>
                <w:sz w:val="24"/>
                <w:szCs w:val="22"/>
                <w:highlight w:val="none"/>
                <w:u w:val="single"/>
                <w:vertAlign w:val="superscript"/>
                <w:lang w:val="en-US" w:eastAsia="zh-CN" w:bidi="ar-SA"/>
              </w:rPr>
              <w:t>2</w:t>
            </w:r>
            <w:r>
              <w:rPr>
                <w:rFonts w:hint="default" w:ascii="Times New Roman" w:hAnsi="Times New Roman" w:eastAsia="宋体" w:cs="Times New Roman"/>
                <w:color w:val="000000"/>
                <w:kern w:val="2"/>
                <w:sz w:val="24"/>
                <w:szCs w:val="22"/>
                <w:highlight w:val="none"/>
                <w:u w:val="single"/>
                <w:lang w:val="en-US" w:eastAsia="zh-CN" w:bidi="ar-SA"/>
              </w:rPr>
              <w:t>。衡阳市高新区与白沙片区于2022年2月进行合并，即2022年2月起白沙片区由衡阳市高新技术产业开发区管理委员会实行统一管理。</w:t>
            </w:r>
          </w:p>
          <w:p w14:paraId="01833C1F">
            <w:pPr>
              <w:widowControl w:val="0"/>
              <w:bidi w:val="0"/>
              <w:adjustRightInd/>
              <w:snapToGrid/>
              <w:spacing w:after="2" w:line="360" w:lineRule="auto"/>
              <w:ind w:firstLine="482"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b/>
                <w:bCs/>
                <w:color w:val="000000"/>
                <w:kern w:val="2"/>
                <w:sz w:val="24"/>
                <w:szCs w:val="22"/>
                <w:highlight w:val="none"/>
                <w:lang w:val="en-US" w:eastAsia="zh-CN" w:bidi="ar-SA"/>
              </w:rPr>
              <w:t>2、与《衡阳高新技术产业开发区调区扩区规划环境影响报告书》符合性</w:t>
            </w:r>
            <w:r>
              <w:rPr>
                <w:rFonts w:hint="eastAsia" w:ascii="Times New Roman" w:hAnsi="Times New Roman" w:eastAsia="宋体" w:cs="Times New Roman"/>
                <w:b/>
                <w:bCs/>
                <w:color w:val="000000"/>
                <w:kern w:val="2"/>
                <w:sz w:val="24"/>
                <w:szCs w:val="22"/>
                <w:highlight w:val="none"/>
                <w:lang w:val="en-US" w:eastAsia="zh-CN" w:bidi="ar-SA"/>
              </w:rPr>
              <w:t>分析</w:t>
            </w:r>
          </w:p>
          <w:p w14:paraId="1F2E49F4">
            <w:pPr>
              <w:pStyle w:val="29"/>
              <w:bidi w:val="0"/>
              <w:rPr>
                <w:rFonts w:hint="eastAsia"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本项目</w:t>
            </w:r>
            <w:r>
              <w:rPr>
                <w:rFonts w:hint="eastAsia" w:ascii="Times New Roman" w:hAnsi="Times New Roman" w:eastAsia="宋体" w:cs="Times New Roman"/>
                <w:color w:val="000000"/>
                <w:kern w:val="2"/>
                <w:sz w:val="24"/>
                <w:szCs w:val="22"/>
                <w:highlight w:val="none"/>
                <w:lang w:val="en-US" w:eastAsia="zh-CN" w:bidi="ar-SA"/>
              </w:rPr>
              <w:t>位于衡阳市衡阳高新技术产业开发区白沙工业大道以北、兴业路以西、南三环路以南，湖南新岳电力设备有限公司（富强路11号）内，属于</w:t>
            </w:r>
            <w:r>
              <w:rPr>
                <w:rFonts w:hint="default" w:ascii="Times New Roman" w:hAnsi="Times New Roman" w:eastAsia="宋体" w:cs="Times New Roman"/>
                <w:color w:val="000000"/>
                <w:kern w:val="2"/>
                <w:sz w:val="24"/>
                <w:szCs w:val="22"/>
                <w:highlight w:val="none"/>
                <w:lang w:val="en-US" w:eastAsia="zh-CN" w:bidi="ar-SA"/>
              </w:rPr>
              <w:t>衡阳高新技术产业开发区白沙片区。对照湖南省生态环境厅关于《衡阳高新技术产业开发区调区扩区规划环境影响报告书》审查意见的函（湘环评函〔2024〕34号），本项目与《衡阳高新技术产业开发区调区扩区规划环境影响报告书》中衡阳高新技术产业开发区白沙片区的环境准入清单的符合性</w:t>
            </w:r>
            <w:r>
              <w:rPr>
                <w:rFonts w:hint="eastAsia" w:ascii="Times New Roman" w:hAnsi="Times New Roman" w:eastAsia="宋体" w:cs="Times New Roman"/>
                <w:color w:val="000000"/>
                <w:kern w:val="2"/>
                <w:sz w:val="24"/>
                <w:szCs w:val="22"/>
                <w:highlight w:val="none"/>
                <w:lang w:val="en-US" w:eastAsia="zh-CN" w:bidi="ar-SA"/>
              </w:rPr>
              <w:t>分析情况</w:t>
            </w:r>
            <w:r>
              <w:rPr>
                <w:rFonts w:hint="default" w:ascii="Times New Roman" w:hAnsi="Times New Roman" w:eastAsia="宋体" w:cs="Times New Roman"/>
                <w:color w:val="000000"/>
                <w:kern w:val="2"/>
                <w:sz w:val="24"/>
                <w:szCs w:val="22"/>
                <w:highlight w:val="none"/>
                <w:lang w:val="en-US" w:eastAsia="zh-CN" w:bidi="ar-SA"/>
              </w:rPr>
              <w:t>见</w:t>
            </w:r>
            <w:r>
              <w:rPr>
                <w:rFonts w:hint="eastAsia" w:ascii="Times New Roman" w:hAnsi="Times New Roman" w:eastAsia="宋体" w:cs="Times New Roman"/>
                <w:color w:val="000000"/>
                <w:kern w:val="2"/>
                <w:sz w:val="24"/>
                <w:szCs w:val="22"/>
                <w:highlight w:val="none"/>
                <w:lang w:val="en-US" w:eastAsia="zh-CN" w:bidi="ar-SA"/>
              </w:rPr>
              <w:t>表1-2。</w:t>
            </w:r>
          </w:p>
          <w:p w14:paraId="10F2B20F">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表1-2与《衡阳高新技术产业开发区调区扩区规划环境影响报告书》符合性分析情况</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186"/>
              <w:gridCol w:w="3256"/>
              <w:gridCol w:w="2266"/>
            </w:tblGrid>
            <w:tr w14:paraId="46883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tcBorders>
                    <w:tl2br w:val="nil"/>
                    <w:tr2bl w:val="nil"/>
                  </w:tcBorders>
                  <w:noWrap w:val="0"/>
                  <w:vAlign w:val="center"/>
                </w:tcPr>
                <w:p w14:paraId="0FD41E5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片区</w:t>
                  </w:r>
                </w:p>
              </w:tc>
              <w:tc>
                <w:tcPr>
                  <w:tcW w:w="1233" w:type="dxa"/>
                  <w:tcBorders>
                    <w:tl2br w:val="nil"/>
                    <w:tr2bl w:val="nil"/>
                  </w:tcBorders>
                  <w:noWrap w:val="0"/>
                  <w:vAlign w:val="center"/>
                </w:tcPr>
                <w:p w14:paraId="0A2B604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环境准入</w:t>
                  </w:r>
                </w:p>
              </w:tc>
              <w:tc>
                <w:tcPr>
                  <w:tcW w:w="3396" w:type="dxa"/>
                  <w:tcBorders>
                    <w:tl2br w:val="nil"/>
                    <w:tr2bl w:val="nil"/>
                  </w:tcBorders>
                  <w:noWrap w:val="0"/>
                  <w:vAlign w:val="center"/>
                </w:tcPr>
                <w:p w14:paraId="0D5795A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环境准入行业清单</w:t>
                  </w:r>
                </w:p>
              </w:tc>
              <w:tc>
                <w:tcPr>
                  <w:tcW w:w="2361" w:type="dxa"/>
                  <w:tcBorders>
                    <w:tl2br w:val="nil"/>
                    <w:tr2bl w:val="nil"/>
                  </w:tcBorders>
                  <w:noWrap w:val="0"/>
                  <w:vAlign w:val="center"/>
                </w:tcPr>
                <w:p w14:paraId="01BE3F6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项目实际情况</w:t>
                  </w:r>
                </w:p>
              </w:tc>
            </w:tr>
            <w:tr w14:paraId="14350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restart"/>
                  <w:tcBorders>
                    <w:tl2br w:val="nil"/>
                    <w:tr2bl w:val="nil"/>
                  </w:tcBorders>
                  <w:noWrap w:val="0"/>
                  <w:vAlign w:val="center"/>
                </w:tcPr>
                <w:p w14:paraId="492C30F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白沙片区</w:t>
                  </w:r>
                </w:p>
              </w:tc>
              <w:tc>
                <w:tcPr>
                  <w:tcW w:w="1233" w:type="dxa"/>
                  <w:tcBorders>
                    <w:tl2br w:val="nil"/>
                    <w:tr2bl w:val="nil"/>
                  </w:tcBorders>
                  <w:noWrap w:val="0"/>
                  <w:vAlign w:val="center"/>
                </w:tcPr>
                <w:p w14:paraId="119383D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产业定位</w:t>
                  </w:r>
                </w:p>
              </w:tc>
              <w:tc>
                <w:tcPr>
                  <w:tcW w:w="3396" w:type="dxa"/>
                  <w:tcBorders>
                    <w:tl2br w:val="nil"/>
                    <w:tr2bl w:val="nil"/>
                  </w:tcBorders>
                  <w:noWrap w:val="0"/>
                  <w:vAlign w:val="center"/>
                </w:tcPr>
                <w:p w14:paraId="370C216C">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新材料（先进结构与复合材料、电工材料）、电子信息（消费电子、5G芯片封装等）、先进装备制造（输变电装备、车辆装备）、钢管深加工、生命健康、现代物流。</w:t>
                  </w:r>
                </w:p>
              </w:tc>
              <w:tc>
                <w:tcPr>
                  <w:tcW w:w="2361" w:type="dxa"/>
                  <w:vMerge w:val="restart"/>
                  <w:tcBorders>
                    <w:tl2br w:val="nil"/>
                    <w:tr2bl w:val="nil"/>
                  </w:tcBorders>
                  <w:noWrap w:val="0"/>
                  <w:vAlign w:val="center"/>
                </w:tcPr>
                <w:p w14:paraId="02F85EB0">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本项目属于C3823配电开关控制设备制造，且项目建设内容、所选用的工艺、设备以及生产的产品等均不在《产业结构调整指导目录（2024年本）》中限制类和淘汰类范围内；</w:t>
                  </w:r>
                </w:p>
                <w:p w14:paraId="2B05C6FF">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本项目生产废水不外排，生活污水经处理后进入铜桥港污水处理厂，处理达标后外排至湘江；</w:t>
                  </w:r>
                </w:p>
                <w:p w14:paraId="58E1F8A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本项目不属于危化品物流仓储项目，且项目原辅材料及产品均不属于构成重大危险源。</w:t>
                  </w:r>
                </w:p>
              </w:tc>
            </w:tr>
            <w:tr w14:paraId="44B5FF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continue"/>
                  <w:tcBorders>
                    <w:tl2br w:val="nil"/>
                    <w:tr2bl w:val="nil"/>
                  </w:tcBorders>
                  <w:noWrap w:val="0"/>
                  <w:vAlign w:val="center"/>
                </w:tcPr>
                <w:p w14:paraId="089FA18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233" w:type="dxa"/>
                  <w:vMerge w:val="restart"/>
                  <w:tcBorders>
                    <w:tl2br w:val="nil"/>
                    <w:tr2bl w:val="nil"/>
                  </w:tcBorders>
                  <w:noWrap w:val="0"/>
                  <w:vAlign w:val="center"/>
                </w:tcPr>
                <w:p w14:paraId="2A8A86C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限制类</w:t>
                  </w:r>
                </w:p>
              </w:tc>
              <w:tc>
                <w:tcPr>
                  <w:tcW w:w="3396" w:type="dxa"/>
                  <w:tcBorders>
                    <w:tl2br w:val="nil"/>
                    <w:tr2bl w:val="nil"/>
                  </w:tcBorders>
                  <w:noWrap w:val="0"/>
                  <w:vAlign w:val="center"/>
                </w:tcPr>
                <w:p w14:paraId="7EF8BCC4">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1.《产业结构调整指导目录》规定的限制类项目；</w:t>
                  </w:r>
                </w:p>
              </w:tc>
              <w:tc>
                <w:tcPr>
                  <w:tcW w:w="2361" w:type="dxa"/>
                  <w:vMerge w:val="continue"/>
                  <w:tcBorders>
                    <w:tl2br w:val="nil"/>
                    <w:tr2bl w:val="nil"/>
                  </w:tcBorders>
                  <w:noWrap w:val="0"/>
                  <w:vAlign w:val="center"/>
                </w:tcPr>
                <w:p w14:paraId="7B4BC94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r w14:paraId="67E96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continue"/>
                  <w:tcBorders>
                    <w:tl2br w:val="nil"/>
                    <w:tr2bl w:val="nil"/>
                  </w:tcBorders>
                  <w:noWrap w:val="0"/>
                  <w:vAlign w:val="center"/>
                </w:tcPr>
                <w:p w14:paraId="3507687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233" w:type="dxa"/>
                  <w:vMerge w:val="continue"/>
                  <w:tcBorders>
                    <w:tl2br w:val="nil"/>
                    <w:tr2bl w:val="nil"/>
                  </w:tcBorders>
                  <w:noWrap w:val="0"/>
                  <w:vAlign w:val="center"/>
                </w:tcPr>
                <w:p w14:paraId="00B94B2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3396" w:type="dxa"/>
                  <w:tcBorders>
                    <w:tl2br w:val="nil"/>
                    <w:tr2bl w:val="nil"/>
                  </w:tcBorders>
                  <w:noWrap w:val="0"/>
                  <w:vAlign w:val="center"/>
                </w:tcPr>
                <w:p w14:paraId="3C0A9F1A">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2.区域环境治理和截污工程完成前，严格限制规划范围内排水总量；</w:t>
                  </w:r>
                </w:p>
              </w:tc>
              <w:tc>
                <w:tcPr>
                  <w:tcW w:w="2361" w:type="dxa"/>
                  <w:vMerge w:val="continue"/>
                  <w:tcBorders>
                    <w:tl2br w:val="nil"/>
                    <w:tr2bl w:val="nil"/>
                  </w:tcBorders>
                  <w:noWrap w:val="0"/>
                  <w:vAlign w:val="center"/>
                </w:tcPr>
                <w:p w14:paraId="5BBA008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r w14:paraId="4D873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continue"/>
                  <w:tcBorders>
                    <w:tl2br w:val="nil"/>
                    <w:tr2bl w:val="nil"/>
                  </w:tcBorders>
                  <w:noWrap w:val="0"/>
                  <w:vAlign w:val="center"/>
                </w:tcPr>
                <w:p w14:paraId="1EDDEE7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233" w:type="dxa"/>
                  <w:vMerge w:val="continue"/>
                  <w:tcBorders>
                    <w:tl2br w:val="nil"/>
                    <w:tr2bl w:val="nil"/>
                  </w:tcBorders>
                  <w:noWrap w:val="0"/>
                  <w:vAlign w:val="center"/>
                </w:tcPr>
                <w:p w14:paraId="54C25AF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3396" w:type="dxa"/>
                  <w:tcBorders>
                    <w:tl2br w:val="nil"/>
                    <w:tr2bl w:val="nil"/>
                  </w:tcBorders>
                  <w:noWrap w:val="0"/>
                  <w:vAlign w:val="center"/>
                </w:tcPr>
                <w:p w14:paraId="61DAC51C">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3.限制引入根据《危险化学品重大危险源辨识》，构成重大危险源的危化品物流仓储项目。</w:t>
                  </w:r>
                </w:p>
              </w:tc>
              <w:tc>
                <w:tcPr>
                  <w:tcW w:w="2361" w:type="dxa"/>
                  <w:vMerge w:val="continue"/>
                  <w:tcBorders>
                    <w:tl2br w:val="nil"/>
                    <w:tr2bl w:val="nil"/>
                  </w:tcBorders>
                  <w:noWrap w:val="0"/>
                  <w:vAlign w:val="center"/>
                </w:tcPr>
                <w:p w14:paraId="78D1C30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r w14:paraId="6AD537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continue"/>
                  <w:tcBorders>
                    <w:tl2br w:val="nil"/>
                    <w:tr2bl w:val="nil"/>
                  </w:tcBorders>
                  <w:noWrap w:val="0"/>
                  <w:vAlign w:val="center"/>
                </w:tcPr>
                <w:p w14:paraId="42697CE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233" w:type="dxa"/>
                  <w:vMerge w:val="restart"/>
                  <w:tcBorders>
                    <w:tl2br w:val="nil"/>
                    <w:tr2bl w:val="nil"/>
                  </w:tcBorders>
                  <w:noWrap w:val="0"/>
                  <w:vAlign w:val="center"/>
                </w:tcPr>
                <w:p w14:paraId="59EC8DA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禁止类</w:t>
                  </w:r>
                </w:p>
              </w:tc>
              <w:tc>
                <w:tcPr>
                  <w:tcW w:w="3396" w:type="dxa"/>
                  <w:tcBorders>
                    <w:tl2br w:val="nil"/>
                    <w:tr2bl w:val="nil"/>
                  </w:tcBorders>
                  <w:noWrap w:val="0"/>
                  <w:vAlign w:val="center"/>
                </w:tcPr>
                <w:p w14:paraId="410E6599">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1.禁止引进《产业结构调整指导目录》淘汰类工艺和设备的项目；</w:t>
                  </w:r>
                </w:p>
              </w:tc>
              <w:tc>
                <w:tcPr>
                  <w:tcW w:w="2361" w:type="dxa"/>
                  <w:vMerge w:val="continue"/>
                  <w:tcBorders>
                    <w:tl2br w:val="nil"/>
                    <w:tr2bl w:val="nil"/>
                  </w:tcBorders>
                  <w:noWrap w:val="0"/>
                  <w:vAlign w:val="center"/>
                </w:tcPr>
                <w:p w14:paraId="46E9776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r w14:paraId="4BA4C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4" w:type="dxa"/>
                  <w:vMerge w:val="continue"/>
                  <w:tcBorders>
                    <w:tl2br w:val="nil"/>
                    <w:tr2bl w:val="nil"/>
                  </w:tcBorders>
                  <w:noWrap w:val="0"/>
                  <w:vAlign w:val="center"/>
                </w:tcPr>
                <w:p w14:paraId="5FBC5E5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233" w:type="dxa"/>
                  <w:vMerge w:val="continue"/>
                  <w:tcBorders>
                    <w:tl2br w:val="nil"/>
                    <w:tr2bl w:val="nil"/>
                  </w:tcBorders>
                  <w:noWrap w:val="0"/>
                  <w:vAlign w:val="center"/>
                </w:tcPr>
                <w:p w14:paraId="53259D8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3396" w:type="dxa"/>
                  <w:tcBorders>
                    <w:tl2br w:val="nil"/>
                    <w:tr2bl w:val="nil"/>
                  </w:tcBorders>
                  <w:noWrap w:val="0"/>
                  <w:vAlign w:val="center"/>
                </w:tcPr>
                <w:p w14:paraId="5B5DEFF9">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2.禁止新引进涉有害重金属废水排放的项目。</w:t>
                  </w:r>
                </w:p>
              </w:tc>
              <w:tc>
                <w:tcPr>
                  <w:tcW w:w="2361" w:type="dxa"/>
                  <w:vMerge w:val="continue"/>
                  <w:tcBorders>
                    <w:tl2br w:val="nil"/>
                    <w:tr2bl w:val="nil"/>
                  </w:tcBorders>
                  <w:noWrap w:val="0"/>
                  <w:vAlign w:val="center"/>
                </w:tcPr>
                <w:p w14:paraId="1408715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bl>
          <w:p w14:paraId="6D9736C9">
            <w:pPr>
              <w:pStyle w:val="29"/>
              <w:bidi w:val="0"/>
              <w:rPr>
                <w:rFonts w:hint="default" w:ascii="Times New Roman" w:hAnsi="Times New Roman" w:eastAsia="宋体" w:cs="Times New Roman"/>
                <w:color w:val="FF0000"/>
                <w:lang w:val="en-US" w:eastAsia="zh-CN"/>
              </w:rPr>
            </w:pPr>
            <w:r>
              <w:rPr>
                <w:rFonts w:hint="eastAsia" w:ascii="Times New Roman" w:hAnsi="Times New Roman" w:cs="Times New Roman"/>
                <w:color w:val="000000"/>
                <w:highlight w:val="none"/>
                <w:lang w:val="en-US" w:eastAsia="zh-CN"/>
              </w:rPr>
              <w:t>根据上述内容可知，本项目符合《衡阳高新技术产业开发区调区扩区规划环境影响报告书》中白沙片区环境准入相关要求。</w:t>
            </w:r>
          </w:p>
          <w:p w14:paraId="044CB998">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3、</w:t>
            </w:r>
            <w:r>
              <w:rPr>
                <w:rFonts w:hint="default" w:ascii="Times New Roman" w:hAnsi="Times New Roman" w:cs="Times New Roman"/>
                <w:b/>
                <w:bCs/>
                <w:color w:val="000000"/>
                <w:highlight w:val="none"/>
                <w:lang w:val="en-US" w:eastAsia="zh-CN"/>
              </w:rPr>
              <w:t>与湘环评函〔2024〕34号符合性</w:t>
            </w:r>
            <w:r>
              <w:rPr>
                <w:rFonts w:hint="eastAsia" w:ascii="Times New Roman" w:hAnsi="Times New Roman" w:cs="Times New Roman"/>
                <w:b/>
                <w:bCs/>
                <w:color w:val="000000"/>
                <w:highlight w:val="none"/>
                <w:lang w:val="en-US" w:eastAsia="zh-CN"/>
              </w:rPr>
              <w:t>分析</w:t>
            </w:r>
          </w:p>
          <w:p w14:paraId="6861C3A1">
            <w:pPr>
              <w:pStyle w:val="29"/>
              <w:bidi w:val="0"/>
              <w:rPr>
                <w:rFonts w:hint="default" w:ascii="Times New Roman" w:hAnsi="Times New Roman" w:cs="Times New Roman"/>
                <w:color w:val="auto"/>
              </w:rPr>
            </w:pPr>
            <w:r>
              <w:rPr>
                <w:rFonts w:hint="default" w:ascii="Times New Roman" w:hAnsi="Times New Roman" w:cs="Times New Roman"/>
                <w:color w:val="auto"/>
              </w:rPr>
              <w:t>本项目与湘环评函〔2024〕34号符合性分析情况见表1-3。</w:t>
            </w:r>
          </w:p>
          <w:p w14:paraId="398D92E7">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表1-3项目与湘环评函〔2024〕34号符合性分析情况</w:t>
            </w:r>
          </w:p>
          <w:tbl>
            <w:tblPr>
              <w:tblStyle w:val="19"/>
              <w:tblW w:w="774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4189"/>
              <w:gridCol w:w="1768"/>
              <w:gridCol w:w="738"/>
            </w:tblGrid>
            <w:tr w14:paraId="63A7B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38" w:type="dxa"/>
                  <w:gridSpan w:val="2"/>
                  <w:tcBorders>
                    <w:tl2br w:val="nil"/>
                    <w:tr2bl w:val="nil"/>
                  </w:tcBorders>
                  <w:noWrap w:val="0"/>
                  <w:vAlign w:val="center"/>
                </w:tcPr>
                <w:p w14:paraId="495DC7F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湘环评函〔2024〕34号</w:t>
                  </w:r>
                  <w:r>
                    <w:rPr>
                      <w:rFonts w:hint="eastAsia" w:ascii="Times New Roman" w:hAnsi="Times New Roman" w:eastAsia="宋体" w:cs="Times New Roman"/>
                      <w:color w:val="000000"/>
                      <w:kern w:val="2"/>
                      <w:sz w:val="21"/>
                      <w:szCs w:val="24"/>
                      <w:highlight w:val="none"/>
                      <w:lang w:val="en-US" w:eastAsia="zh-CN" w:bidi="ar-SA"/>
                    </w:rPr>
                    <w:t>要求</w:t>
                  </w:r>
                </w:p>
              </w:tc>
              <w:tc>
                <w:tcPr>
                  <w:tcW w:w="1768" w:type="dxa"/>
                  <w:tcBorders>
                    <w:tl2br w:val="nil"/>
                    <w:tr2bl w:val="nil"/>
                  </w:tcBorders>
                  <w:noWrap w:val="0"/>
                  <w:vAlign w:val="center"/>
                </w:tcPr>
                <w:p w14:paraId="3CEA729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项目实际情况</w:t>
                  </w:r>
                </w:p>
              </w:tc>
              <w:tc>
                <w:tcPr>
                  <w:tcW w:w="738" w:type="dxa"/>
                  <w:tcBorders>
                    <w:tl2br w:val="nil"/>
                    <w:tr2bl w:val="nil"/>
                  </w:tcBorders>
                  <w:noWrap w:val="0"/>
                  <w:vAlign w:val="center"/>
                </w:tcPr>
                <w:p w14:paraId="3AC45D6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是否符合</w:t>
                  </w:r>
                </w:p>
              </w:tc>
            </w:tr>
            <w:tr w14:paraId="477B9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49" w:type="dxa"/>
                  <w:tcBorders>
                    <w:tl2br w:val="nil"/>
                    <w:tr2bl w:val="nil"/>
                  </w:tcBorders>
                  <w:noWrap w:val="0"/>
                  <w:vAlign w:val="center"/>
                </w:tcPr>
                <w:p w14:paraId="6FD4659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（一）做好功能布局，严格执行准入要求</w:t>
                  </w:r>
                </w:p>
              </w:tc>
              <w:tc>
                <w:tcPr>
                  <w:tcW w:w="4189" w:type="dxa"/>
                  <w:tcBorders>
                    <w:tl2br w:val="nil"/>
                    <w:tr2bl w:val="nil"/>
                  </w:tcBorders>
                  <w:noWrap w:val="0"/>
                  <w:vAlign w:val="center"/>
                </w:tcPr>
                <w:p w14:paraId="2A5F9FC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w:t>
                  </w:r>
                  <w:r>
                    <w:rPr>
                      <w:rFonts w:hint="default" w:ascii="Times New Roman" w:hAnsi="Times New Roman" w:eastAsia="宋体" w:cs="Times New Roman"/>
                      <w:b/>
                      <w:bCs/>
                      <w:color w:val="000000"/>
                      <w:kern w:val="2"/>
                      <w:sz w:val="21"/>
                      <w:szCs w:val="24"/>
                      <w:highlight w:val="none"/>
                      <w:lang w:val="en-US" w:eastAsia="zh-CN" w:bidi="ar-SA"/>
                    </w:rPr>
                    <w:t>白沙片区因依托的铜桥港污水处理厂受纳水体较为敏感，且现状运行负荷已接近设计规模，该片区应限制废水量排放大的项目，并禁止新引进涉有害重金属废水排放的项目。</w:t>
                  </w:r>
                  <w:r>
                    <w:rPr>
                      <w:rFonts w:hint="default" w:ascii="Times New Roman" w:hAnsi="Times New Roman" w:eastAsia="宋体" w:cs="Times New Roman"/>
                      <w:color w:val="000000"/>
                      <w:kern w:val="2"/>
                      <w:sz w:val="21"/>
                      <w:szCs w:val="24"/>
                      <w:highlight w:val="none"/>
                      <w:lang w:val="en-US" w:eastAsia="zh-CN" w:bidi="ar-SA"/>
                    </w:rPr>
                    <w:t>东部片区污水纳入集中式污水处理厂之前，不得引进新增工业废水排放的项目。</w:t>
                  </w:r>
                </w:p>
              </w:tc>
              <w:tc>
                <w:tcPr>
                  <w:tcW w:w="1768" w:type="dxa"/>
                  <w:tcBorders>
                    <w:tl2br w:val="nil"/>
                    <w:tr2bl w:val="nil"/>
                  </w:tcBorders>
                  <w:noWrap w:val="0"/>
                  <w:vAlign w:val="center"/>
                </w:tcPr>
                <w:p w14:paraId="148E690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本项目位于衡阳高新技术产业开发区-白沙片区，生产废水不外排，生活污水经处理后进入铜桥港污水处理厂，处理达标后外排至湘江。</w:t>
                  </w:r>
                </w:p>
              </w:tc>
              <w:tc>
                <w:tcPr>
                  <w:tcW w:w="738" w:type="dxa"/>
                  <w:tcBorders>
                    <w:tl2br w:val="nil"/>
                    <w:tr2bl w:val="nil"/>
                  </w:tcBorders>
                  <w:noWrap w:val="0"/>
                  <w:vAlign w:val="center"/>
                </w:tcPr>
                <w:p w14:paraId="73F86F47">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符合</w:t>
                  </w:r>
                </w:p>
              </w:tc>
            </w:tr>
            <w:tr w14:paraId="02EE4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49" w:type="dxa"/>
                  <w:tcBorders>
                    <w:tl2br w:val="nil"/>
                    <w:tr2bl w:val="nil"/>
                  </w:tcBorders>
                  <w:noWrap w:val="0"/>
                  <w:vAlign w:val="center"/>
                </w:tcPr>
                <w:p w14:paraId="544E444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（二）落实管控措施，加强园区污染治理</w:t>
                  </w:r>
                </w:p>
              </w:tc>
              <w:tc>
                <w:tcPr>
                  <w:tcW w:w="4189" w:type="dxa"/>
                  <w:tcBorders>
                    <w:tl2br w:val="nil"/>
                    <w:tr2bl w:val="nil"/>
                  </w:tcBorders>
                  <w:noWrap w:val="0"/>
                  <w:vAlign w:val="center"/>
                </w:tcPr>
                <w:p w14:paraId="6AEEFA6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园区应切实抓好污水处理设施及配套管网的建设和运维，做好雨污分流、污污分流，确保园区各片区生产生活废水应收尽收，全部送至污水处理厂集中处理，并满足污水处理厂进水接纳标准。</w:t>
                  </w:r>
                  <w:r>
                    <w:rPr>
                      <w:rFonts w:hint="default" w:ascii="Times New Roman" w:hAnsi="Times New Roman" w:eastAsia="宋体" w:cs="Times New Roman"/>
                      <w:b/>
                      <w:bCs/>
                      <w:color w:val="000000"/>
                      <w:kern w:val="2"/>
                      <w:sz w:val="21"/>
                      <w:szCs w:val="24"/>
                      <w:highlight w:val="none"/>
                      <w:lang w:val="en-US" w:eastAsia="zh-CN" w:bidi="ar-SA"/>
                    </w:rPr>
                    <w:t>白沙片区应从加快流域区域雨污分流、环境整治工程进度，优化提升废水处理能力，本次规划期内铜桥港污水处理厂排放规模原则上不增加。</w:t>
                  </w:r>
                  <w:r>
                    <w:rPr>
                      <w:rFonts w:hint="default" w:ascii="Times New Roman" w:hAnsi="Times New Roman" w:eastAsia="宋体" w:cs="Times New Roman"/>
                      <w:color w:val="000000"/>
                      <w:kern w:val="2"/>
                      <w:sz w:val="21"/>
                      <w:szCs w:val="24"/>
                      <w:highlight w:val="none"/>
                      <w:lang w:val="en-US" w:eastAsia="zh-CN" w:bidi="ar-SA"/>
                    </w:rPr>
                    <w:t>加强对废气重点排放企业的监管，督促企业重点做好VOCs及恶臭</w:t>
                  </w:r>
                  <w:r>
                    <w:rPr>
                      <w:rFonts w:hint="eastAsia" w:ascii="Times New Roman" w:hAnsi="Times New Roman" w:eastAsia="宋体" w:cs="Times New Roman"/>
                      <w:color w:val="000000"/>
                      <w:kern w:val="2"/>
                      <w:sz w:val="21"/>
                      <w:szCs w:val="24"/>
                      <w:highlight w:val="none"/>
                      <w:lang w:val="en-US" w:eastAsia="zh-CN" w:bidi="ar-SA"/>
                    </w:rPr>
                    <w:t>/</w:t>
                  </w:r>
                  <w:r>
                    <w:rPr>
                      <w:rFonts w:hint="default" w:ascii="Times New Roman" w:hAnsi="Times New Roman" w:eastAsia="宋体" w:cs="Times New Roman"/>
                      <w:color w:val="000000"/>
                      <w:kern w:val="2"/>
                      <w:sz w:val="21"/>
                      <w:szCs w:val="24"/>
                      <w:highlight w:val="none"/>
                      <w:lang w:val="en-US" w:eastAsia="zh-CN" w:bidi="ar-SA"/>
                    </w:rPr>
                    <w:t>异味治理，对重点排放的生产设施予以严格监管，采用适宜的高效污染防治设施并确保持续、稳定运行。做好工业固体废物和生活垃圾的分类收集、转运、综合利用和无害化处理，建立完善的固废管理体系。严格按照国家有关规定对危险废物综合利用或妥善处置，对危险废物产生企业和经营单位，应强化日常环境监管</w:t>
                  </w:r>
                  <w:r>
                    <w:rPr>
                      <w:rFonts w:hint="eastAsia" w:ascii="Times New Roman" w:hAnsi="Times New Roman" w:eastAsia="宋体" w:cs="Times New Roman"/>
                      <w:color w:val="000000"/>
                      <w:kern w:val="2"/>
                      <w:sz w:val="21"/>
                      <w:szCs w:val="24"/>
                      <w:highlight w:val="none"/>
                      <w:lang w:val="en-US" w:eastAsia="zh-CN" w:bidi="ar-SA"/>
                    </w:rPr>
                    <w:t>。</w:t>
                  </w:r>
                  <w:r>
                    <w:rPr>
                      <w:rFonts w:hint="default" w:ascii="Times New Roman" w:hAnsi="Times New Roman" w:eastAsia="宋体" w:cs="Times New Roman"/>
                      <w:color w:val="000000"/>
                      <w:kern w:val="2"/>
                      <w:sz w:val="21"/>
                      <w:szCs w:val="24"/>
                      <w:highlight w:val="none"/>
                      <w:lang w:val="en-US" w:eastAsia="zh-CN" w:bidi="ar-SA"/>
                    </w:rPr>
                    <w:t>园区须严格落实排污许可制度和污染物排放总量控制，推动入园企业按规定要求开展清洁生产审核，减少污染物的排放量。</w:t>
                  </w:r>
                </w:p>
              </w:tc>
              <w:tc>
                <w:tcPr>
                  <w:tcW w:w="1768" w:type="dxa"/>
                  <w:tcBorders>
                    <w:tl2br w:val="nil"/>
                    <w:tr2bl w:val="nil"/>
                  </w:tcBorders>
                  <w:noWrap w:val="0"/>
                  <w:vAlign w:val="center"/>
                </w:tcPr>
                <w:p w14:paraId="7EB2563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本项目生产废水不外排，生活污水经处理后进入铜桥港污水处理厂，处理达标后外排至湘江；</w:t>
                  </w:r>
                </w:p>
                <w:p w14:paraId="2C217CC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本项目废气经收集处理后，均为达标排放；</w:t>
                  </w:r>
                </w:p>
                <w:p w14:paraId="5A6101F7">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本项目固体废物均能得到妥善处置；</w:t>
                  </w:r>
                </w:p>
                <w:p w14:paraId="3358E65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本环评要求建设单位取得批复后，积极落实排污许可制度和污染物排放总量控制等工作。</w:t>
                  </w:r>
                </w:p>
              </w:tc>
              <w:tc>
                <w:tcPr>
                  <w:tcW w:w="738" w:type="dxa"/>
                  <w:tcBorders>
                    <w:tl2br w:val="nil"/>
                    <w:tr2bl w:val="nil"/>
                  </w:tcBorders>
                  <w:noWrap w:val="0"/>
                  <w:vAlign w:val="center"/>
                </w:tcPr>
                <w:p w14:paraId="6546C32F">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符合</w:t>
                  </w:r>
                </w:p>
              </w:tc>
            </w:tr>
            <w:tr w14:paraId="184E2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49" w:type="dxa"/>
                  <w:tcBorders>
                    <w:tl2br w:val="nil"/>
                    <w:tr2bl w:val="nil"/>
                  </w:tcBorders>
                  <w:noWrap w:val="0"/>
                  <w:vAlign w:val="center"/>
                </w:tcPr>
                <w:p w14:paraId="6BF5927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(五)做好周边控规，落实搬迁安置计划</w:t>
                  </w:r>
                </w:p>
              </w:tc>
              <w:tc>
                <w:tcPr>
                  <w:tcW w:w="4189" w:type="dxa"/>
                  <w:tcBorders>
                    <w:tl2br w:val="nil"/>
                    <w:tr2bl w:val="nil"/>
                  </w:tcBorders>
                  <w:noWrap w:val="0"/>
                  <w:vAlign w:val="center"/>
                </w:tcPr>
                <w:p w14:paraId="71C2B1F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园区应杜绝在规划的工业用地上新增环境敏感目标，确保园区开发过程中的居民搬迁安置到位，防止发生居民再次安置和次生环境问题，对于具体项目环评设置防护距离和提出搬迁要求的，要确保予以落实。</w:t>
                  </w:r>
                </w:p>
              </w:tc>
              <w:tc>
                <w:tcPr>
                  <w:tcW w:w="1768" w:type="dxa"/>
                  <w:tcBorders>
                    <w:tl2br w:val="nil"/>
                    <w:tr2bl w:val="nil"/>
                  </w:tcBorders>
                  <w:noWrap w:val="0"/>
                  <w:vAlign w:val="center"/>
                </w:tcPr>
                <w:p w14:paraId="700BC21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本项目用地为工业用地，且不涉及居民搬迁问题。</w:t>
                  </w:r>
                </w:p>
              </w:tc>
              <w:tc>
                <w:tcPr>
                  <w:tcW w:w="738" w:type="dxa"/>
                  <w:tcBorders>
                    <w:tl2br w:val="nil"/>
                    <w:tr2bl w:val="nil"/>
                  </w:tcBorders>
                  <w:noWrap w:val="0"/>
                  <w:vAlign w:val="center"/>
                </w:tcPr>
                <w:p w14:paraId="226F910F">
                  <w:pPr>
                    <w:widowControl w:val="0"/>
                    <w:bidi w:val="0"/>
                    <w:adjustRightInd/>
                    <w:snapToGrid/>
                    <w:spacing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符合</w:t>
                  </w:r>
                </w:p>
              </w:tc>
            </w:tr>
          </w:tbl>
          <w:p w14:paraId="0FB449E0">
            <w:pPr>
              <w:pStyle w:val="29"/>
              <w:bidi w:val="0"/>
              <w:rPr>
                <w:rFonts w:hint="default" w:ascii="Times New Roman" w:hAnsi="Times New Roman" w:cs="Times New Roman"/>
                <w:color w:val="FF0000"/>
              </w:rPr>
            </w:pPr>
            <w:r>
              <w:rPr>
                <w:rFonts w:hint="eastAsia" w:ascii="Times New Roman" w:hAnsi="Times New Roman" w:eastAsia="宋体" w:cs="Times New Roman"/>
                <w:color w:val="000000"/>
                <w:kern w:val="2"/>
                <w:sz w:val="24"/>
                <w:szCs w:val="22"/>
                <w:highlight w:val="none"/>
                <w:lang w:val="en-US" w:eastAsia="zh-CN" w:bidi="ar-SA"/>
              </w:rPr>
              <w:t>根据上述内容可知，本项目符合《衡阳高新技术产业开发区调区扩区规划环境影响报告书》审查意见的函（湘环评函〔2024〕34号）相关要求。</w:t>
            </w:r>
          </w:p>
        </w:tc>
      </w:tr>
      <w:tr w14:paraId="07B2E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7" w:type="dxa"/>
            <w:noWrap w:val="0"/>
            <w:vAlign w:val="center"/>
          </w:tcPr>
          <w:p w14:paraId="4E867BA4">
            <w:pPr>
              <w:autoSpaceDE w:val="0"/>
              <w:autoSpaceDN w:val="0"/>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其他符合性分析</w:t>
            </w:r>
          </w:p>
        </w:tc>
        <w:tc>
          <w:tcPr>
            <w:tcW w:w="7653" w:type="dxa"/>
            <w:gridSpan w:val="3"/>
            <w:noWrap w:val="0"/>
            <w:vAlign w:val="top"/>
          </w:tcPr>
          <w:p w14:paraId="4CD6E71F">
            <w:pPr>
              <w:pStyle w:val="29"/>
              <w:bidi w:val="0"/>
              <w:rPr>
                <w:rFonts w:hint="default" w:ascii="Times New Roman" w:hAnsi="Times New Roman" w:cs="Times New Roman"/>
                <w:color w:val="auto"/>
              </w:rPr>
            </w:pPr>
            <w:r>
              <w:rPr>
                <w:rFonts w:hint="default" w:ascii="Times New Roman" w:hAnsi="Times New Roman" w:cs="Times New Roman"/>
                <w:b/>
                <w:bCs/>
                <w:color w:val="auto"/>
              </w:rPr>
              <w:t>1、产业政策符合性分析</w:t>
            </w:r>
          </w:p>
          <w:p w14:paraId="19F3996B">
            <w:pPr>
              <w:pStyle w:val="29"/>
              <w:bidi w:val="0"/>
              <w:rPr>
                <w:rFonts w:hint="eastAsia" w:ascii="Times New Roman" w:hAnsi="Times New Roman" w:eastAsia="宋体" w:cs="Times New Roman"/>
                <w:color w:val="auto"/>
                <w:lang w:eastAsia="zh-CN"/>
              </w:rPr>
            </w:pPr>
            <w:r>
              <w:rPr>
                <w:rFonts w:hint="default" w:ascii="Times New Roman" w:hAnsi="Times New Roman" w:cs="Times New Roman"/>
                <w:color w:val="auto"/>
                <w:highlight w:val="none"/>
              </w:rPr>
              <w:t>本项目为</w:t>
            </w:r>
            <w:r>
              <w:rPr>
                <w:rFonts w:hint="eastAsia" w:ascii="Times New Roman" w:hAnsi="Times New Roman" w:cs="Times New Roman"/>
                <w:color w:val="auto"/>
                <w:highlight w:val="none"/>
                <w:lang w:eastAsia="zh-CN"/>
              </w:rPr>
              <w:t>配电开关控制设备制造业，经对照《产业结构调整指导目录（2024年本）》，本项目不属于</w:t>
            </w:r>
            <w:r>
              <w:rPr>
                <w:rFonts w:hint="eastAsia" w:ascii="Times New Roman" w:hAnsi="Times New Roman" w:cs="Times New Roman"/>
                <w:color w:val="auto"/>
                <w:highlight w:val="none"/>
                <w:lang w:val="en-US" w:eastAsia="zh-CN"/>
              </w:rPr>
              <w:t>其中</w:t>
            </w:r>
            <w:r>
              <w:rPr>
                <w:rFonts w:hint="eastAsia" w:ascii="Times New Roman" w:hAnsi="Times New Roman" w:cs="Times New Roman"/>
                <w:color w:val="auto"/>
                <w:highlight w:val="none"/>
                <w:lang w:eastAsia="zh-CN"/>
              </w:rPr>
              <w:t>鼓励类、限制类和淘汰类，</w:t>
            </w:r>
            <w:r>
              <w:rPr>
                <w:rFonts w:hint="eastAsia" w:ascii="Times New Roman" w:hAnsi="Times New Roman" w:cs="Times New Roman"/>
                <w:color w:val="auto"/>
                <w:highlight w:val="none"/>
                <w:lang w:val="en-US" w:eastAsia="zh-CN"/>
              </w:rPr>
              <w:t>故</w:t>
            </w:r>
            <w:r>
              <w:rPr>
                <w:rFonts w:hint="eastAsia" w:ascii="Times New Roman" w:hAnsi="Times New Roman" w:cs="Times New Roman"/>
                <w:color w:val="auto"/>
                <w:highlight w:val="none"/>
                <w:lang w:eastAsia="zh-CN"/>
              </w:rPr>
              <w:t>为允许类。</w:t>
            </w:r>
          </w:p>
          <w:p w14:paraId="10A1EB29">
            <w:pPr>
              <w:pStyle w:val="29"/>
              <w:bidi w:val="0"/>
              <w:rPr>
                <w:rFonts w:hint="eastAsia" w:ascii="Times New Roman" w:hAnsi="Times New Roman" w:eastAsia="宋体" w:cs="Times New Roman"/>
                <w:color w:val="auto"/>
                <w:lang w:eastAsia="zh-CN"/>
              </w:rPr>
            </w:pPr>
            <w:r>
              <w:rPr>
                <w:rFonts w:hint="default" w:ascii="Times New Roman" w:hAnsi="Times New Roman" w:cs="Times New Roman"/>
                <w:color w:val="auto"/>
              </w:rPr>
              <w:t>同时对照《环境保护综合名录（2021年版）》、中华人民共和国工业和信息化部颁布的《部分工业行业淘汰落后生产工艺装备和产品指导目录（2010年本）》（工产业[2010]第122号）</w:t>
            </w:r>
            <w:r>
              <w:rPr>
                <w:rFonts w:hint="eastAsia" w:ascii="Times New Roman" w:hAnsi="Times New Roman" w:cs="Times New Roman"/>
                <w:color w:val="auto"/>
                <w:lang w:val="en-US" w:eastAsia="zh-CN"/>
              </w:rPr>
              <w:t>可知</w:t>
            </w:r>
            <w:r>
              <w:rPr>
                <w:rFonts w:hint="default" w:ascii="Times New Roman" w:hAnsi="Times New Roman" w:cs="Times New Roman"/>
                <w:color w:val="auto"/>
              </w:rPr>
              <w:t>，本项目不属于“高污染、高环境风险”产品名录</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涉及</w:t>
            </w:r>
            <w:r>
              <w:rPr>
                <w:rFonts w:hint="eastAsia" w:ascii="Times New Roman" w:hAnsi="Times New Roman" w:cs="Times New Roman"/>
                <w:color w:val="auto"/>
                <w:lang w:eastAsia="zh-CN"/>
              </w:rPr>
              <w:t>工艺、设备和产品</w:t>
            </w:r>
            <w:r>
              <w:rPr>
                <w:rFonts w:hint="eastAsia" w:ascii="Times New Roman" w:hAnsi="Times New Roman" w:cs="Times New Roman"/>
                <w:color w:val="auto"/>
                <w:lang w:val="en-US" w:eastAsia="zh-CN"/>
              </w:rPr>
              <w:t>均</w:t>
            </w:r>
            <w:r>
              <w:rPr>
                <w:rFonts w:hint="eastAsia" w:ascii="Times New Roman" w:hAnsi="Times New Roman" w:cs="Times New Roman"/>
                <w:color w:val="auto"/>
                <w:lang w:eastAsia="zh-CN"/>
              </w:rPr>
              <w:t>不在淘汰落后生产工艺装备目录中。</w:t>
            </w:r>
          </w:p>
          <w:p w14:paraId="2304939B">
            <w:pPr>
              <w:pStyle w:val="29"/>
              <w:bidi w:val="0"/>
              <w:rPr>
                <w:rFonts w:hint="default" w:ascii="Times New Roman" w:hAnsi="Times New Roman" w:cs="Times New Roman"/>
                <w:color w:val="auto"/>
              </w:rPr>
            </w:pPr>
            <w:r>
              <w:rPr>
                <w:rFonts w:hint="default" w:ascii="Times New Roman" w:hAnsi="Times New Roman" w:cs="Times New Roman"/>
                <w:color w:val="auto"/>
              </w:rPr>
              <w:t>综上所述，本项目符合国家产业政策。</w:t>
            </w:r>
          </w:p>
          <w:p w14:paraId="0CE1AA92">
            <w:pPr>
              <w:pStyle w:val="29"/>
              <w:bidi w:val="0"/>
              <w:rPr>
                <w:rFonts w:hint="default" w:ascii="Times New Roman" w:hAnsi="Times New Roman" w:cs="Times New Roman"/>
                <w:b/>
                <w:bCs/>
                <w:color w:val="auto"/>
              </w:rPr>
            </w:pPr>
            <w:r>
              <w:rPr>
                <w:rFonts w:hint="default" w:ascii="Times New Roman" w:hAnsi="Times New Roman" w:cs="Times New Roman"/>
                <w:b/>
                <w:bCs/>
                <w:color w:val="auto"/>
              </w:rPr>
              <w:t>2、生态环境分区管控符合性分析</w:t>
            </w:r>
          </w:p>
          <w:p w14:paraId="5DCD42F9">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（1）生态保护红线</w:t>
            </w:r>
          </w:p>
          <w:p w14:paraId="056B3B29">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本项目位于衡阳市衡阳高新技术产业开发区白沙工业大道以北、兴业路以西、南三环路以南，湖南新岳电力设备有限公司内（富强路11号），其属于衡阳高新技术产业开发区白沙片区，故不在</w:t>
            </w:r>
            <w:r>
              <w:rPr>
                <w:rFonts w:hint="eastAsia" w:cs="Times New Roman"/>
                <w:color w:val="000000"/>
                <w:kern w:val="2"/>
                <w:sz w:val="24"/>
                <w:szCs w:val="22"/>
                <w:highlight w:val="none"/>
                <w:lang w:val="en-US" w:eastAsia="zh-CN" w:bidi="ar-SA"/>
              </w:rPr>
              <w:t>生态保护红线</w:t>
            </w:r>
            <w:r>
              <w:rPr>
                <w:rFonts w:hint="eastAsia" w:ascii="Times New Roman" w:hAnsi="Times New Roman" w:eastAsia="宋体" w:cs="Times New Roman"/>
                <w:color w:val="000000"/>
                <w:kern w:val="2"/>
                <w:sz w:val="24"/>
                <w:szCs w:val="22"/>
                <w:highlight w:val="none"/>
                <w:lang w:val="en-US" w:eastAsia="zh-CN" w:bidi="ar-SA"/>
              </w:rPr>
              <w:t>范围内，符合生态保护红线要求。</w:t>
            </w:r>
          </w:p>
          <w:p w14:paraId="2B334245">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（2）环境质量底线</w:t>
            </w:r>
          </w:p>
          <w:p w14:paraId="6568BA14">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本项目位于衡阳市衡阳高新技术产业开发区白沙工业大道以北、兴业路以西、南三环路以南，</w:t>
            </w:r>
            <w:r>
              <w:rPr>
                <w:rFonts w:hint="eastAsia" w:ascii="Times New Roman" w:hAnsi="Times New Roman" w:eastAsia="宋体" w:cs="Times New Roman"/>
                <w:color w:val="000000"/>
                <w:kern w:val="2"/>
                <w:sz w:val="24"/>
                <w:szCs w:val="22"/>
                <w:highlight w:val="none"/>
                <w:lang w:val="en-US" w:eastAsia="zh-CN" w:bidi="ar-SA"/>
              </w:rPr>
              <w:t>湖南新岳电力设备有限公司内（富强路11号）。</w:t>
            </w:r>
            <w:r>
              <w:rPr>
                <w:rFonts w:hint="default" w:ascii="Times New Roman" w:hAnsi="Times New Roman" w:eastAsia="宋体" w:cs="Times New Roman"/>
                <w:color w:val="000000"/>
                <w:kern w:val="2"/>
                <w:sz w:val="24"/>
                <w:szCs w:val="22"/>
                <w:highlight w:val="none"/>
                <w:lang w:val="en-US" w:eastAsia="zh-CN" w:bidi="ar-SA"/>
              </w:rPr>
              <w:t>区域环境空气属于《环境空气质量标准》（GB3095-20</w:t>
            </w:r>
            <w:r>
              <w:rPr>
                <w:rFonts w:hint="eastAsia" w:cs="Times New Roman"/>
                <w:color w:val="000000"/>
                <w:kern w:val="2"/>
                <w:sz w:val="24"/>
                <w:szCs w:val="22"/>
                <w:highlight w:val="none"/>
                <w:lang w:val="en-US" w:eastAsia="zh-CN" w:bidi="ar-SA"/>
              </w:rPr>
              <w:t>26</w:t>
            </w:r>
            <w:r>
              <w:rPr>
                <w:rFonts w:hint="default" w:ascii="Times New Roman" w:hAnsi="Times New Roman" w:eastAsia="宋体" w:cs="Times New Roman"/>
                <w:color w:val="000000"/>
                <w:kern w:val="2"/>
                <w:sz w:val="24"/>
                <w:szCs w:val="22"/>
                <w:highlight w:val="none"/>
                <w:lang w:val="en-US" w:eastAsia="zh-CN" w:bidi="ar-SA"/>
              </w:rPr>
              <w:t>）中二类功能区、地表水水环境功能属于《地表水环境质量标准》（GB3838-2002）中Ⅲ类功能区、区域声环境属于《声环境质量标准》（GB3096-2008）</w:t>
            </w:r>
            <w:r>
              <w:rPr>
                <w:rFonts w:hint="eastAsia" w:ascii="Times New Roman" w:hAnsi="Times New Roman" w:eastAsia="宋体" w:cs="Times New Roman"/>
                <w:color w:val="000000"/>
                <w:kern w:val="2"/>
                <w:sz w:val="24"/>
                <w:szCs w:val="22"/>
                <w:highlight w:val="none"/>
                <w:lang w:val="en-US" w:eastAsia="zh-CN" w:bidi="ar-SA"/>
              </w:rPr>
              <w:t>表1</w:t>
            </w:r>
            <w:r>
              <w:rPr>
                <w:rFonts w:hint="default" w:ascii="Times New Roman" w:hAnsi="Times New Roman" w:eastAsia="宋体" w:cs="Times New Roman"/>
                <w:color w:val="000000"/>
                <w:kern w:val="2"/>
                <w:sz w:val="24"/>
                <w:szCs w:val="22"/>
                <w:highlight w:val="none"/>
                <w:lang w:val="en-US" w:eastAsia="zh-CN" w:bidi="ar-SA"/>
              </w:rPr>
              <w:t>中3类功能区。</w:t>
            </w:r>
          </w:p>
          <w:p w14:paraId="2AE130BA">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本项目产生的</w:t>
            </w:r>
            <w:r>
              <w:rPr>
                <w:rFonts w:hint="eastAsia" w:ascii="Times New Roman" w:hAnsi="Times New Roman" w:eastAsia="宋体" w:cs="Times New Roman"/>
                <w:color w:val="000000"/>
                <w:kern w:val="2"/>
                <w:sz w:val="24"/>
                <w:szCs w:val="22"/>
                <w:highlight w:val="none"/>
                <w:lang w:val="en-US" w:eastAsia="zh-CN" w:bidi="ar-SA"/>
              </w:rPr>
              <w:t>废气、废水、噪声</w:t>
            </w:r>
            <w:r>
              <w:rPr>
                <w:rFonts w:hint="default" w:ascii="Times New Roman" w:hAnsi="Times New Roman" w:eastAsia="宋体" w:cs="Times New Roman"/>
                <w:color w:val="000000"/>
                <w:kern w:val="2"/>
                <w:sz w:val="24"/>
                <w:szCs w:val="22"/>
                <w:highlight w:val="none"/>
                <w:lang w:val="en-US" w:eastAsia="zh-CN" w:bidi="ar-SA"/>
              </w:rPr>
              <w:t>均能有效处理，采取相应治理措施后可达标排放</w:t>
            </w:r>
            <w:r>
              <w:rPr>
                <w:rFonts w:hint="eastAsia" w:ascii="Times New Roman" w:hAnsi="Times New Roman" w:eastAsia="宋体" w:cs="Times New Roman"/>
                <w:color w:val="000000"/>
                <w:kern w:val="2"/>
                <w:sz w:val="24"/>
                <w:szCs w:val="22"/>
                <w:highlight w:val="none"/>
                <w:lang w:val="en-US" w:eastAsia="zh-CN" w:bidi="ar-SA"/>
              </w:rPr>
              <w:t>，固体废物均能得到妥善处置</w:t>
            </w:r>
            <w:r>
              <w:rPr>
                <w:rFonts w:hint="default" w:ascii="Times New Roman" w:hAnsi="Times New Roman" w:eastAsia="宋体" w:cs="Times New Roman"/>
                <w:color w:val="000000"/>
                <w:kern w:val="2"/>
                <w:sz w:val="24"/>
                <w:szCs w:val="22"/>
                <w:highlight w:val="none"/>
                <w:lang w:val="en-US" w:eastAsia="zh-CN" w:bidi="ar-SA"/>
              </w:rPr>
              <w:t>。因此本项目建设不会对当地环境质量底线造成冲击。</w:t>
            </w:r>
          </w:p>
          <w:p w14:paraId="1E3E262E">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（3）资源利用上线</w:t>
            </w:r>
          </w:p>
          <w:p w14:paraId="0DCBE65D">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本项目属于</w:t>
            </w:r>
            <w:r>
              <w:rPr>
                <w:rFonts w:hint="eastAsia" w:ascii="Times New Roman" w:hAnsi="Times New Roman" w:eastAsia="宋体" w:cs="Times New Roman"/>
                <w:color w:val="000000"/>
                <w:kern w:val="2"/>
                <w:sz w:val="24"/>
                <w:szCs w:val="22"/>
                <w:highlight w:val="none"/>
                <w:lang w:val="en-US" w:eastAsia="zh-CN" w:bidi="ar-SA"/>
              </w:rPr>
              <w:t>C3823配电开关控制设备制造</w:t>
            </w:r>
            <w:r>
              <w:rPr>
                <w:rFonts w:hint="default" w:ascii="Times New Roman" w:hAnsi="Times New Roman" w:eastAsia="宋体" w:cs="Times New Roman"/>
                <w:color w:val="000000"/>
                <w:kern w:val="2"/>
                <w:sz w:val="24"/>
                <w:szCs w:val="22"/>
                <w:highlight w:val="none"/>
                <w:lang w:val="en-US" w:eastAsia="zh-CN" w:bidi="ar-SA"/>
              </w:rPr>
              <w:t>，</w:t>
            </w:r>
            <w:r>
              <w:rPr>
                <w:rFonts w:hint="eastAsia" w:ascii="Times New Roman" w:hAnsi="Times New Roman" w:eastAsia="宋体" w:cs="Times New Roman"/>
                <w:color w:val="000000"/>
                <w:kern w:val="2"/>
                <w:sz w:val="24"/>
                <w:szCs w:val="22"/>
                <w:highlight w:val="none"/>
                <w:lang w:val="en-US" w:eastAsia="zh-CN" w:bidi="ar-SA"/>
              </w:rPr>
              <w:t>运营过程主要消耗水资源、电资源，水资源由当地市政供水管网提供，电资源主要依托当地电网。</w:t>
            </w:r>
          </w:p>
          <w:p w14:paraId="253F6296">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项目资源消耗相对区域资源利用总量较小，符合资源利用</w:t>
            </w:r>
            <w:r>
              <w:rPr>
                <w:rFonts w:hint="eastAsia" w:cs="Times New Roman"/>
                <w:color w:val="000000"/>
                <w:kern w:val="2"/>
                <w:sz w:val="24"/>
                <w:szCs w:val="22"/>
                <w:highlight w:val="none"/>
                <w:lang w:val="en-US" w:eastAsia="zh-CN" w:bidi="ar-SA"/>
              </w:rPr>
              <w:t>上限</w:t>
            </w:r>
            <w:r>
              <w:rPr>
                <w:rFonts w:hint="default" w:ascii="Times New Roman" w:hAnsi="Times New Roman" w:eastAsia="宋体" w:cs="Times New Roman"/>
                <w:color w:val="000000"/>
                <w:kern w:val="2"/>
                <w:sz w:val="24"/>
                <w:szCs w:val="22"/>
                <w:highlight w:val="none"/>
                <w:lang w:val="en-US" w:eastAsia="zh-CN" w:bidi="ar-SA"/>
              </w:rPr>
              <w:t>要求。</w:t>
            </w:r>
          </w:p>
          <w:p w14:paraId="4E27B1DF">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（4）生态环境准入清单</w:t>
            </w:r>
          </w:p>
          <w:p w14:paraId="1D0804BF">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本项目位于衡阳市衡阳高新技术产业开发区白沙工业大道以北、兴业路以西、南三环路以南，湖南新岳电力设备有限公司内（富强路11号），其属于衡阳高新技术产业开发区白沙片区（详见附图</w:t>
            </w:r>
            <w:r>
              <w:rPr>
                <w:rFonts w:hint="eastAsia" w:cs="Times New Roman"/>
                <w:color w:val="000000"/>
                <w:kern w:val="2"/>
                <w:sz w:val="24"/>
                <w:szCs w:val="22"/>
                <w:highlight w:val="none"/>
                <w:lang w:val="en-US" w:eastAsia="zh-CN" w:bidi="ar-SA"/>
              </w:rPr>
              <w:t>5</w:t>
            </w:r>
            <w:r>
              <w:rPr>
                <w:rFonts w:hint="eastAsia" w:ascii="Times New Roman" w:hAnsi="Times New Roman" w:eastAsia="宋体" w:cs="Times New Roman"/>
                <w:color w:val="000000"/>
                <w:kern w:val="2"/>
                <w:sz w:val="24"/>
                <w:szCs w:val="22"/>
                <w:highlight w:val="none"/>
                <w:lang w:val="en-US" w:eastAsia="zh-CN" w:bidi="ar-SA"/>
              </w:rPr>
              <w:t>）。根据《湖南省生态环境分区管控总体管控要求暨省级以上产业园区生态环境准入清单》（湘环函〔2024〕26号）内容，环境管控单元编码为ZH43040820003，属于重点管控单元。衡阳高新技术产业开发区基本内容情况见表1-4，项目与衡阳高新技术产业开发区管控要求符合性分析见表1-5。</w:t>
            </w:r>
          </w:p>
          <w:p w14:paraId="1BE4A1E7">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表1-4衡阳高新技术产业开发区基本内容情况</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740"/>
              <w:gridCol w:w="5023"/>
            </w:tblGrid>
            <w:tr w14:paraId="06632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5DD5E16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环境管控单元编码</w:t>
                  </w:r>
                </w:p>
              </w:tc>
              <w:tc>
                <w:tcPr>
                  <w:tcW w:w="5231" w:type="dxa"/>
                  <w:tcBorders>
                    <w:tl2br w:val="nil"/>
                    <w:tr2bl w:val="nil"/>
                  </w:tcBorders>
                  <w:noWrap w:val="0"/>
                  <w:vAlign w:val="center"/>
                </w:tcPr>
                <w:p w14:paraId="07D3224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ZH43040820003</w:t>
                  </w:r>
                </w:p>
              </w:tc>
            </w:tr>
            <w:tr w14:paraId="3F08A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2677302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单元名称</w:t>
                  </w:r>
                </w:p>
              </w:tc>
              <w:tc>
                <w:tcPr>
                  <w:tcW w:w="5231" w:type="dxa"/>
                  <w:tcBorders>
                    <w:tl2br w:val="nil"/>
                    <w:tr2bl w:val="nil"/>
                  </w:tcBorders>
                  <w:noWrap w:val="0"/>
                  <w:vAlign w:val="center"/>
                </w:tcPr>
                <w:p w14:paraId="2612C81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衡阳高新技术产业开发区</w:t>
                  </w:r>
                </w:p>
              </w:tc>
            </w:tr>
            <w:tr w14:paraId="6EF9A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vMerge w:val="restart"/>
                  <w:tcBorders>
                    <w:tl2br w:val="nil"/>
                    <w:tr2bl w:val="nil"/>
                  </w:tcBorders>
                  <w:noWrap w:val="0"/>
                  <w:vAlign w:val="center"/>
                </w:tcPr>
                <w:p w14:paraId="0A4CC67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行政区划</w:t>
                  </w:r>
                </w:p>
              </w:tc>
              <w:tc>
                <w:tcPr>
                  <w:tcW w:w="1811" w:type="dxa"/>
                  <w:tcBorders>
                    <w:tl2br w:val="nil"/>
                    <w:tr2bl w:val="nil"/>
                  </w:tcBorders>
                  <w:noWrap w:val="0"/>
                  <w:vAlign w:val="center"/>
                </w:tcPr>
                <w:p w14:paraId="7637382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省</w:t>
                  </w:r>
                </w:p>
              </w:tc>
              <w:tc>
                <w:tcPr>
                  <w:tcW w:w="5231" w:type="dxa"/>
                  <w:tcBorders>
                    <w:tl2br w:val="nil"/>
                    <w:tr2bl w:val="nil"/>
                  </w:tcBorders>
                  <w:noWrap w:val="0"/>
                  <w:vAlign w:val="center"/>
                </w:tcPr>
                <w:p w14:paraId="7D92D9A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湖南省</w:t>
                  </w:r>
                </w:p>
              </w:tc>
            </w:tr>
            <w:tr w14:paraId="066DE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vMerge w:val="continue"/>
                  <w:tcBorders>
                    <w:tl2br w:val="nil"/>
                    <w:tr2bl w:val="nil"/>
                  </w:tcBorders>
                  <w:noWrap w:val="0"/>
                  <w:vAlign w:val="center"/>
                </w:tcPr>
                <w:p w14:paraId="467CBA5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811" w:type="dxa"/>
                  <w:tcBorders>
                    <w:tl2br w:val="nil"/>
                    <w:tr2bl w:val="nil"/>
                  </w:tcBorders>
                  <w:noWrap w:val="0"/>
                  <w:vAlign w:val="center"/>
                </w:tcPr>
                <w:p w14:paraId="14C5DFB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市</w:t>
                  </w:r>
                </w:p>
              </w:tc>
              <w:tc>
                <w:tcPr>
                  <w:tcW w:w="5231" w:type="dxa"/>
                  <w:tcBorders>
                    <w:tl2br w:val="nil"/>
                    <w:tr2bl w:val="nil"/>
                  </w:tcBorders>
                  <w:noWrap w:val="0"/>
                  <w:vAlign w:val="center"/>
                </w:tcPr>
                <w:p w14:paraId="1FB4F61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衡阳市</w:t>
                  </w:r>
                </w:p>
              </w:tc>
            </w:tr>
            <w:tr w14:paraId="5636C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vMerge w:val="continue"/>
                  <w:tcBorders>
                    <w:tl2br w:val="nil"/>
                    <w:tr2bl w:val="nil"/>
                  </w:tcBorders>
                  <w:noWrap w:val="0"/>
                  <w:vAlign w:val="center"/>
                </w:tcPr>
                <w:p w14:paraId="045A36A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c>
                <w:tcPr>
                  <w:tcW w:w="1811" w:type="dxa"/>
                  <w:tcBorders>
                    <w:tl2br w:val="nil"/>
                    <w:tr2bl w:val="nil"/>
                  </w:tcBorders>
                  <w:noWrap w:val="0"/>
                  <w:vAlign w:val="center"/>
                </w:tcPr>
                <w:p w14:paraId="0EDAE17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县</w:t>
                  </w:r>
                </w:p>
              </w:tc>
              <w:tc>
                <w:tcPr>
                  <w:tcW w:w="5231" w:type="dxa"/>
                  <w:tcBorders>
                    <w:tl2br w:val="nil"/>
                    <w:tr2bl w:val="nil"/>
                  </w:tcBorders>
                  <w:noWrap w:val="0"/>
                  <w:vAlign w:val="center"/>
                </w:tcPr>
                <w:p w14:paraId="3928445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蒸湘区、</w:t>
                  </w:r>
                  <w:r>
                    <w:rPr>
                      <w:rFonts w:hint="default" w:ascii="Times New Roman" w:hAnsi="Times New Roman" w:eastAsia="宋体" w:cs="Times New Roman"/>
                      <w:b/>
                      <w:bCs/>
                      <w:color w:val="000000"/>
                      <w:kern w:val="2"/>
                      <w:sz w:val="21"/>
                      <w:szCs w:val="24"/>
                      <w:highlight w:val="none"/>
                      <w:lang w:val="en-US" w:eastAsia="zh-CN" w:bidi="ar-SA"/>
                    </w:rPr>
                    <w:t>雁峰区</w:t>
                  </w:r>
                  <w:r>
                    <w:rPr>
                      <w:rFonts w:hint="default" w:ascii="Times New Roman" w:hAnsi="Times New Roman" w:eastAsia="宋体" w:cs="Times New Roman"/>
                      <w:color w:val="000000"/>
                      <w:kern w:val="2"/>
                      <w:sz w:val="21"/>
                      <w:szCs w:val="24"/>
                      <w:highlight w:val="none"/>
                      <w:lang w:val="en-US" w:eastAsia="zh-CN" w:bidi="ar-SA"/>
                    </w:rPr>
                    <w:t>、珠晖区</w:t>
                  </w:r>
                </w:p>
              </w:tc>
            </w:tr>
            <w:tr w14:paraId="7AF27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5BD6D8C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单元分类</w:t>
                  </w:r>
                </w:p>
              </w:tc>
              <w:tc>
                <w:tcPr>
                  <w:tcW w:w="5231" w:type="dxa"/>
                  <w:tcBorders>
                    <w:tl2br w:val="nil"/>
                    <w:tr2bl w:val="nil"/>
                  </w:tcBorders>
                  <w:noWrap w:val="0"/>
                  <w:vAlign w:val="center"/>
                </w:tcPr>
                <w:p w14:paraId="3327897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重点管控单元</w:t>
                  </w:r>
                </w:p>
              </w:tc>
            </w:tr>
            <w:tr w14:paraId="4EFEB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1250F17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单元面积（km</w:t>
                  </w:r>
                  <w:r>
                    <w:rPr>
                      <w:rFonts w:hint="default" w:ascii="Times New Roman" w:hAnsi="Times New Roman" w:eastAsia="宋体" w:cs="Times New Roman"/>
                      <w:color w:val="000000"/>
                      <w:kern w:val="2"/>
                      <w:sz w:val="21"/>
                      <w:szCs w:val="24"/>
                      <w:highlight w:val="none"/>
                      <w:vertAlign w:val="superscript"/>
                      <w:lang w:val="en-US" w:eastAsia="zh-CN" w:bidi="ar-SA"/>
                    </w:rPr>
                    <w:t>2</w:t>
                  </w:r>
                  <w:r>
                    <w:rPr>
                      <w:rFonts w:hint="default" w:ascii="Times New Roman" w:hAnsi="Times New Roman" w:eastAsia="宋体" w:cs="Times New Roman"/>
                      <w:color w:val="000000"/>
                      <w:kern w:val="2"/>
                      <w:sz w:val="21"/>
                      <w:szCs w:val="24"/>
                      <w:highlight w:val="none"/>
                      <w:lang w:val="en-US" w:eastAsia="zh-CN" w:bidi="ar-SA"/>
                    </w:rPr>
                    <w:t>）</w:t>
                  </w:r>
                </w:p>
              </w:tc>
              <w:tc>
                <w:tcPr>
                  <w:tcW w:w="5231" w:type="dxa"/>
                  <w:tcBorders>
                    <w:tl2br w:val="nil"/>
                    <w:tr2bl w:val="nil"/>
                  </w:tcBorders>
                  <w:noWrap w:val="0"/>
                  <w:vAlign w:val="center"/>
                </w:tcPr>
                <w:p w14:paraId="62CCC94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核准范围：18.3653。</w:t>
                  </w:r>
                </w:p>
              </w:tc>
            </w:tr>
            <w:tr w14:paraId="7D90F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045229A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涉及乡镇（街道）</w:t>
                  </w:r>
                </w:p>
              </w:tc>
              <w:tc>
                <w:tcPr>
                  <w:tcW w:w="5231" w:type="dxa"/>
                  <w:tcBorders>
                    <w:tl2br w:val="nil"/>
                    <w:tr2bl w:val="nil"/>
                  </w:tcBorders>
                  <w:noWrap w:val="0"/>
                  <w:vAlign w:val="center"/>
                </w:tcPr>
                <w:p w14:paraId="2A9A5DC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核准范围：区块一（高新片区）涉及华兴街道、蒸水办事处、高岭办事处；区块二、区块三涉及蒸水办事处；区块四涉及联合街道；</w:t>
                  </w:r>
                  <w:r>
                    <w:rPr>
                      <w:rFonts w:hint="default" w:ascii="Times New Roman" w:hAnsi="Times New Roman" w:eastAsia="宋体" w:cs="Times New Roman"/>
                      <w:b w:val="0"/>
                      <w:bCs w:val="0"/>
                      <w:color w:val="000000"/>
                      <w:kern w:val="2"/>
                      <w:sz w:val="21"/>
                      <w:szCs w:val="24"/>
                      <w:highlight w:val="none"/>
                      <w:lang w:val="en-US" w:eastAsia="zh-CN" w:bidi="ar-SA"/>
                    </w:rPr>
                    <w:t>区块五至区块九（白沙洲工业园）涉及金龙坪街道；</w:t>
                  </w:r>
                  <w:r>
                    <w:rPr>
                      <w:rFonts w:hint="default" w:ascii="Times New Roman" w:hAnsi="Times New Roman" w:eastAsia="宋体" w:cs="Times New Roman"/>
                      <w:color w:val="000000"/>
                      <w:kern w:val="2"/>
                      <w:sz w:val="21"/>
                      <w:szCs w:val="24"/>
                      <w:highlight w:val="none"/>
                      <w:lang w:val="en-US" w:eastAsia="zh-CN" w:bidi="ar-SA"/>
                    </w:rPr>
                    <w:t>区块十至区块十二涉及白沙洲街道；区块十三至区块十五（东部片区）涉及东阳渡镇；衡山产业开发区涉及岳屏镇</w:t>
                  </w:r>
                </w:p>
              </w:tc>
            </w:tr>
            <w:tr w14:paraId="2EDEC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65D02DF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区域主体功能定位</w:t>
                  </w:r>
                </w:p>
              </w:tc>
              <w:tc>
                <w:tcPr>
                  <w:tcW w:w="5231" w:type="dxa"/>
                  <w:tcBorders>
                    <w:tl2br w:val="nil"/>
                    <w:tr2bl w:val="nil"/>
                  </w:tcBorders>
                  <w:noWrap w:val="0"/>
                  <w:vAlign w:val="center"/>
                </w:tcPr>
                <w:p w14:paraId="25127C0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城市化地区</w:t>
                  </w:r>
                </w:p>
              </w:tc>
            </w:tr>
            <w:tr w14:paraId="2EE30C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50F9146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主导产业</w:t>
                  </w:r>
                </w:p>
              </w:tc>
              <w:tc>
                <w:tcPr>
                  <w:tcW w:w="5231" w:type="dxa"/>
                  <w:tcBorders>
                    <w:tl2br w:val="nil"/>
                    <w:tr2bl w:val="nil"/>
                  </w:tcBorders>
                  <w:noWrap w:val="0"/>
                  <w:vAlign w:val="top"/>
                </w:tcPr>
                <w:p w14:paraId="5D599FDE">
                  <w:pPr>
                    <w:widowControl w:val="0"/>
                    <w:bidi w:val="0"/>
                    <w:adjustRightInd/>
                    <w:snapToGrid/>
                    <w:spacing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区块一（高新片区）：</w:t>
                  </w:r>
                </w:p>
                <w:p w14:paraId="70233761">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湘环评〔2011〕8号：</w:t>
                  </w:r>
                  <w:r>
                    <w:rPr>
                      <w:rFonts w:hint="default" w:ascii="Times New Roman" w:hAnsi="Times New Roman" w:eastAsia="宋体" w:cs="Times New Roman"/>
                      <w:color w:val="000000"/>
                      <w:kern w:val="2"/>
                      <w:sz w:val="21"/>
                      <w:szCs w:val="24"/>
                      <w:highlight w:val="none"/>
                      <w:lang w:val="en-US" w:eastAsia="zh-CN" w:bidi="ar-SA"/>
                    </w:rPr>
                    <w:t>新材料、汽车零部件制造、先进制造、电子信息、生物医药。</w:t>
                  </w:r>
                </w:p>
                <w:p w14:paraId="69D52844">
                  <w:pPr>
                    <w:widowControl w:val="0"/>
                    <w:bidi w:val="0"/>
                    <w:adjustRightInd/>
                    <w:snapToGrid/>
                    <w:spacing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区块五至区块九（白沙洲工业园）：</w:t>
                  </w:r>
                </w:p>
                <w:p w14:paraId="0EF0953C">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湘环评〔2011〕151号：</w:t>
                  </w:r>
                  <w:r>
                    <w:rPr>
                      <w:rFonts w:hint="default" w:ascii="Times New Roman" w:hAnsi="Times New Roman" w:eastAsia="宋体" w:cs="Times New Roman"/>
                      <w:color w:val="000000"/>
                      <w:kern w:val="2"/>
                      <w:sz w:val="21"/>
                      <w:szCs w:val="24"/>
                      <w:highlight w:val="none"/>
                      <w:lang w:val="en-US" w:eastAsia="zh-CN" w:bidi="ar-SA"/>
                    </w:rPr>
                    <w:t>输变电设备、汽车配件、电子和机电一体化设备制造。</w:t>
                  </w:r>
                </w:p>
                <w:p w14:paraId="08291648">
                  <w:pPr>
                    <w:widowControl w:val="0"/>
                    <w:bidi w:val="0"/>
                    <w:adjustRightInd/>
                    <w:snapToGrid/>
                    <w:spacing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衡山产业开发区：</w:t>
                  </w:r>
                </w:p>
                <w:p w14:paraId="7541C812">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湘环评函〔2020〕31号：</w:t>
                  </w:r>
                  <w:r>
                    <w:rPr>
                      <w:rFonts w:hint="default" w:ascii="Times New Roman" w:hAnsi="Times New Roman" w:eastAsia="宋体" w:cs="Times New Roman"/>
                      <w:color w:val="000000"/>
                      <w:kern w:val="2"/>
                      <w:sz w:val="21"/>
                      <w:szCs w:val="24"/>
                      <w:highlight w:val="none"/>
                      <w:lang w:val="en-US" w:eastAsia="zh-CN" w:bidi="ar-SA"/>
                    </w:rPr>
                    <w:t>以通用设备制造、专用设备制造为主导产业；以计算机、通信和其他电子设备制造业（不含印刷线路板制造）为特色产业；以信息传输、软件和信息技术服务业为辅导产业。</w:t>
                  </w:r>
                </w:p>
                <w:p w14:paraId="727FB585">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六部委公告2018年第4号：</w:t>
                  </w:r>
                  <w:r>
                    <w:rPr>
                      <w:rFonts w:hint="default" w:ascii="Times New Roman" w:hAnsi="Times New Roman" w:eastAsia="宋体" w:cs="Times New Roman"/>
                      <w:color w:val="000000"/>
                      <w:kern w:val="2"/>
                      <w:sz w:val="21"/>
                      <w:szCs w:val="24"/>
                      <w:highlight w:val="none"/>
                      <w:lang w:val="en-US" w:eastAsia="zh-CN" w:bidi="ar-SA"/>
                    </w:rPr>
                    <w:t>电子信息、电气机械器材、通用设备。</w:t>
                  </w:r>
                </w:p>
                <w:p w14:paraId="0EDE863C">
                  <w:pPr>
                    <w:widowControl w:val="0"/>
                    <w:bidi w:val="0"/>
                    <w:adjustRightInd/>
                    <w:snapToGrid/>
                    <w:spacing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湘发改地区〔2021〕394号：</w:t>
                  </w:r>
                </w:p>
                <w:p w14:paraId="47970A81">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主导产业：移动互联网、电子信息、装备制造；特色产业：生物医药、文化创意、智能制造。</w:t>
                  </w:r>
                </w:p>
              </w:tc>
            </w:tr>
            <w:tr w14:paraId="79C9F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2" w:type="dxa"/>
                  <w:gridSpan w:val="2"/>
                  <w:tcBorders>
                    <w:tl2br w:val="nil"/>
                    <w:tr2bl w:val="nil"/>
                  </w:tcBorders>
                  <w:noWrap w:val="0"/>
                  <w:vAlign w:val="center"/>
                </w:tcPr>
                <w:p w14:paraId="684FE43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主要环境问题和重要敏感目标</w:t>
                  </w:r>
                </w:p>
              </w:tc>
              <w:tc>
                <w:tcPr>
                  <w:tcW w:w="5231" w:type="dxa"/>
                  <w:tcBorders>
                    <w:tl2br w:val="nil"/>
                    <w:tr2bl w:val="nil"/>
                  </w:tcBorders>
                  <w:noWrap w:val="0"/>
                  <w:vAlign w:val="top"/>
                </w:tcPr>
                <w:p w14:paraId="19FF4300">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1、区块一内有居民区，北面东面紧邻居民区。</w:t>
                  </w:r>
                </w:p>
                <w:p w14:paraId="39611FBF">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2、高新区依托的铜桥港污水处理厂排放口在衡阳市湘江段四大家鱼国家级水产种质资源保护区核心区内，下游2km有江东水厂饮用水源保护区。衡山产业开发区内有夕阳红老年公寓。</w:t>
                  </w:r>
                </w:p>
              </w:tc>
            </w:tr>
          </w:tbl>
          <w:p w14:paraId="0E9BA5A0">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p>
          <w:p w14:paraId="3102E32B">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表1-5项目与衡阳高新技术产业开发区管控要求符合性分析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5"/>
              <w:gridCol w:w="3645"/>
              <w:gridCol w:w="2447"/>
              <w:gridCol w:w="570"/>
            </w:tblGrid>
            <w:tr w14:paraId="6BAF5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08" w:type="dxa"/>
                  <w:tcBorders>
                    <w:top w:val="single" w:color="auto" w:sz="12" w:space="0"/>
                    <w:left w:val="nil"/>
                    <w:bottom w:val="single" w:color="auto" w:sz="4" w:space="0"/>
                    <w:right w:val="single" w:color="auto" w:sz="4" w:space="0"/>
                    <w:tl2br w:val="nil"/>
                    <w:tr2bl w:val="nil"/>
                  </w:tcBorders>
                  <w:noWrap w:val="0"/>
                  <w:vAlign w:val="center"/>
                </w:tcPr>
                <w:p w14:paraId="24EE899A">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内容</w:t>
                  </w:r>
                </w:p>
              </w:tc>
              <w:tc>
                <w:tcPr>
                  <w:tcW w:w="379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6782DE3">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管控要求</w:t>
                  </w:r>
                </w:p>
              </w:tc>
              <w:tc>
                <w:tcPr>
                  <w:tcW w:w="254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C712E4F">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项目符合情况</w:t>
                  </w:r>
                </w:p>
              </w:tc>
              <w:tc>
                <w:tcPr>
                  <w:tcW w:w="593" w:type="dxa"/>
                  <w:tcBorders>
                    <w:top w:val="single" w:color="auto" w:sz="12" w:space="0"/>
                    <w:left w:val="single" w:color="auto" w:sz="4" w:space="0"/>
                    <w:bottom w:val="single" w:color="auto" w:sz="4" w:space="0"/>
                    <w:right w:val="nil"/>
                    <w:tl2br w:val="nil"/>
                    <w:tr2bl w:val="nil"/>
                  </w:tcBorders>
                  <w:noWrap w:val="0"/>
                  <w:vAlign w:val="center"/>
                </w:tcPr>
                <w:p w14:paraId="6AD7E7F0">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是否符合</w:t>
                  </w:r>
                </w:p>
              </w:tc>
            </w:tr>
            <w:tr w14:paraId="7C550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08" w:type="dxa"/>
                  <w:tcBorders>
                    <w:top w:val="single" w:color="auto" w:sz="4" w:space="0"/>
                    <w:left w:val="nil"/>
                    <w:bottom w:val="single" w:color="auto" w:sz="4" w:space="0"/>
                    <w:right w:val="single" w:color="auto" w:sz="4" w:space="0"/>
                    <w:tl2br w:val="nil"/>
                    <w:tr2bl w:val="nil"/>
                  </w:tcBorders>
                  <w:noWrap w:val="0"/>
                  <w:vAlign w:val="center"/>
                </w:tcPr>
                <w:p w14:paraId="6B5D038E">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空间布局约束</w:t>
                  </w:r>
                </w:p>
              </w:tc>
              <w:tc>
                <w:tcPr>
                  <w:tcW w:w="3797" w:type="dxa"/>
                  <w:tcBorders>
                    <w:top w:val="single" w:color="auto" w:sz="4" w:space="0"/>
                    <w:left w:val="single" w:color="auto" w:sz="4" w:space="0"/>
                    <w:bottom w:val="single" w:color="auto" w:sz="4" w:space="0"/>
                    <w:right w:val="single" w:color="auto" w:sz="4" w:space="0"/>
                    <w:tl2br w:val="nil"/>
                    <w:tr2bl w:val="nil"/>
                  </w:tcBorders>
                  <w:noWrap w:val="0"/>
                  <w:vAlign w:val="top"/>
                </w:tcPr>
                <w:p w14:paraId="31240CE6">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（1.1）优化区域产业布局。遏制高耗能高排放项目，进一步优化产业结构和能源结构，积极引导低消耗、低排放和高效率的现代产业发展。</w:t>
                  </w:r>
                </w:p>
                <w:p w14:paraId="62953A14">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区块一（高新片区）：</w:t>
                  </w:r>
                </w:p>
                <w:p w14:paraId="75B97100">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（1.2）将气型污染为主的项目布置在高新区南部。</w:t>
                  </w:r>
                </w:p>
                <w:p w14:paraId="2D22078F">
                  <w:pPr>
                    <w:widowControl w:val="0"/>
                    <w:adjustRightInd/>
                    <w:snapToGrid/>
                    <w:spacing w:beforeLines="0" w:afterLines="0"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区块五至区块九（白沙洲工业园）：</w:t>
                  </w:r>
                </w:p>
                <w:p w14:paraId="57F66F8C">
                  <w:pPr>
                    <w:widowControl w:val="0"/>
                    <w:adjustRightInd/>
                    <w:snapToGrid/>
                    <w:spacing w:beforeLines="0" w:afterLines="0"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（1.3）禁止引入国家明令淘汰和禁止发展的能耗物耗高、环境污染严重、不符合产业政策的建设项目。</w:t>
                  </w:r>
                </w:p>
                <w:p w14:paraId="0EA3A5E2">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（1.4）对于已存在的夕阳红老年公寓，其与周边工业用地之间应按要求做好绿化隔离，老年公寓周边工业用地应避免布置排放工业废气和噪声较大的企业。</w:t>
                  </w:r>
                </w:p>
              </w:tc>
              <w:tc>
                <w:tcPr>
                  <w:tcW w:w="254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4567E8">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本项目属于C3823 配电开关控制设备制造，不属于国家明令淘汰和禁止发展的能耗物耗高、环境污染严重、不符合产业政策的建设项目；</w:t>
                  </w:r>
                </w:p>
                <w:p w14:paraId="420A213E">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本项目位于衡阳市衡阳高新技术产业开发区白沙工业大道以北、兴业路以西、南三环路以南，湖南新岳电力设备有限公司内（富强路11号），项目周边敏感点较少，且项目不属于排放工业废气和噪声较大的企业。</w:t>
                  </w:r>
                </w:p>
              </w:tc>
              <w:tc>
                <w:tcPr>
                  <w:tcW w:w="593" w:type="dxa"/>
                  <w:tcBorders>
                    <w:top w:val="single" w:color="auto" w:sz="4" w:space="0"/>
                    <w:left w:val="single" w:color="auto" w:sz="4" w:space="0"/>
                    <w:bottom w:val="single" w:color="auto" w:sz="4" w:space="0"/>
                    <w:right w:val="nil"/>
                    <w:tl2br w:val="nil"/>
                    <w:tr2bl w:val="nil"/>
                  </w:tcBorders>
                  <w:noWrap w:val="0"/>
                  <w:vAlign w:val="center"/>
                </w:tcPr>
                <w:p w14:paraId="231472FC">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57720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08" w:type="dxa"/>
                  <w:tcBorders>
                    <w:top w:val="single" w:color="auto" w:sz="4" w:space="0"/>
                    <w:left w:val="nil"/>
                    <w:bottom w:val="single" w:color="auto" w:sz="4" w:space="0"/>
                    <w:right w:val="single" w:color="auto" w:sz="4" w:space="0"/>
                    <w:tl2br w:val="nil"/>
                    <w:tr2bl w:val="nil"/>
                  </w:tcBorders>
                  <w:noWrap w:val="0"/>
                  <w:vAlign w:val="center"/>
                </w:tcPr>
                <w:p w14:paraId="752C62EA">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污染物排放管控</w:t>
                  </w:r>
                </w:p>
              </w:tc>
              <w:tc>
                <w:tcPr>
                  <w:tcW w:w="3797" w:type="dxa"/>
                  <w:tcBorders>
                    <w:top w:val="single" w:color="auto" w:sz="4" w:space="0"/>
                    <w:left w:val="single" w:color="auto" w:sz="4" w:space="0"/>
                    <w:bottom w:val="single" w:color="auto" w:sz="4" w:space="0"/>
                    <w:right w:val="single" w:color="auto" w:sz="4" w:space="0"/>
                    <w:tl2br w:val="nil"/>
                    <w:tr2bl w:val="nil"/>
                  </w:tcBorders>
                  <w:noWrap w:val="0"/>
                  <w:vAlign w:val="top"/>
                </w:tcPr>
                <w:p w14:paraId="20F2748C">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2.1）废水：高新区废水排水实行雨污分流。以企业和工业聚集区为重点，推进工业园区污水处理设施分类管理、分期升级改造，园区污水管网全覆盖、污水全收集、污水集中处理设施稳定达标运行、在线监控联网正常，规范设置园区集中污水处理设施排污口，建立园区水环境管理“一园一档”。夯实工业园区基础设施建设，进一步完善高新技术开发区污水处理厂及配套管网建设和提质改造。</w:t>
                  </w:r>
                </w:p>
                <w:p w14:paraId="6DD65BA0">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区块一（高新片区）：工业废水、生活污水经城西污水处理厂处理达标后外排至蒸水。</w:t>
                  </w:r>
                </w:p>
                <w:p w14:paraId="774026C0">
                  <w:pPr>
                    <w:widowControl w:val="0"/>
                    <w:adjustRightInd/>
                    <w:snapToGrid/>
                    <w:spacing w:beforeLines="0" w:afterLines="0" w:line="240" w:lineRule="auto"/>
                    <w:ind w:firstLine="0" w:firstLineChars="0"/>
                    <w:jc w:val="both"/>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区块五至区块九（白沙洲工业园）：污水进入铜桥港污水处理厂集中处理；各企业单位外排废水应处理满足污水处理厂进水水质要求后进入污水处理厂处理。</w:t>
                  </w:r>
                </w:p>
                <w:p w14:paraId="3A74F8E4">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（2.2）废气：加强高新区内企业管理，确保企业废气经处理达到相应排放标准。强化末端治理，加快推进包装印刷等行业企业VOCs 治理，确保达标排放。加大低 VOCs 含量原辅材料的推广使用力度，从源头减少 VOCs 产生。推进使用先进生产工艺设备，减少无组织排放。</w:t>
                  </w:r>
                </w:p>
                <w:p w14:paraId="5FF49EEE">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2.3）固废：做好工业固体废物和生活垃圾的分类收集、转运、综合利用和无害化处理。推行清洁生产，减少固体废物产生量；加强固体废物的资源化进程，提高综合利用率；规范固体废物处理措施，对工业固废特别是危险固废应按国家有关规定综合利用或妥善处置，不得造成二次污染；生活垃圾集中由环卫部门及时清运处理。</w:t>
                  </w:r>
                </w:p>
              </w:tc>
              <w:tc>
                <w:tcPr>
                  <w:tcW w:w="254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7092DB">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本项目排水实施雨污分流</w:t>
                  </w:r>
                  <w:r>
                    <w:rPr>
                      <w:rFonts w:hint="eastAsia" w:ascii="Times New Roman" w:hAnsi="Times New Roman" w:eastAsia="宋体" w:cs="Times New Roman"/>
                      <w:color w:val="000000"/>
                      <w:kern w:val="2"/>
                      <w:sz w:val="21"/>
                      <w:szCs w:val="24"/>
                      <w:highlight w:val="none"/>
                      <w:lang w:val="en-US" w:eastAsia="zh-CN" w:bidi="ar-SA"/>
                    </w:rPr>
                    <w:t>，生产废水不外排，生活污水经处理后进入铜桥港污水处理厂，处理达标后外排至湘江；</w:t>
                  </w:r>
                </w:p>
                <w:p w14:paraId="1D70C508">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p>
                <w:p w14:paraId="13975316">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本项目废气按要求收集处理后，均为达标排放；</w:t>
                  </w:r>
                </w:p>
                <w:p w14:paraId="2953E04A">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p>
                <w:p w14:paraId="0EEC590E">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 xml:space="preserve">本项目运营期产生的固体废物均能得到妥善处置，不会对外部环境造成影响。 </w:t>
                  </w:r>
                </w:p>
              </w:tc>
              <w:tc>
                <w:tcPr>
                  <w:tcW w:w="593" w:type="dxa"/>
                  <w:tcBorders>
                    <w:top w:val="single" w:color="auto" w:sz="4" w:space="0"/>
                    <w:left w:val="single" w:color="auto" w:sz="4" w:space="0"/>
                    <w:bottom w:val="single" w:color="auto" w:sz="4" w:space="0"/>
                    <w:right w:val="nil"/>
                    <w:tl2br w:val="nil"/>
                    <w:tr2bl w:val="nil"/>
                  </w:tcBorders>
                  <w:noWrap w:val="0"/>
                  <w:vAlign w:val="center"/>
                </w:tcPr>
                <w:p w14:paraId="5FBCEA46">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10F16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08" w:type="dxa"/>
                  <w:tcBorders>
                    <w:top w:val="single" w:color="auto" w:sz="4" w:space="0"/>
                    <w:left w:val="nil"/>
                    <w:bottom w:val="single" w:color="auto" w:sz="4" w:space="0"/>
                    <w:right w:val="single" w:color="auto" w:sz="4" w:space="0"/>
                    <w:tl2br w:val="nil"/>
                    <w:tr2bl w:val="nil"/>
                  </w:tcBorders>
                  <w:noWrap w:val="0"/>
                  <w:vAlign w:val="center"/>
                </w:tcPr>
                <w:p w14:paraId="79EBC0B7">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环境风险防控</w:t>
                  </w:r>
                </w:p>
              </w:tc>
              <w:tc>
                <w:tcPr>
                  <w:tcW w:w="3797" w:type="dxa"/>
                  <w:tcBorders>
                    <w:top w:val="single" w:color="auto" w:sz="4" w:space="0"/>
                    <w:left w:val="single" w:color="auto" w:sz="4" w:space="0"/>
                    <w:bottom w:val="single" w:color="auto" w:sz="4" w:space="0"/>
                    <w:right w:val="single" w:color="auto" w:sz="4" w:space="0"/>
                    <w:tl2br w:val="nil"/>
                    <w:tr2bl w:val="nil"/>
                  </w:tcBorders>
                  <w:noWrap w:val="0"/>
                  <w:vAlign w:val="top"/>
                </w:tcPr>
                <w:p w14:paraId="15187BE8">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3.2）高新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121ADBD6">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p>
              </w:tc>
              <w:tc>
                <w:tcPr>
                  <w:tcW w:w="254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CE9D28F">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项目</w:t>
                  </w:r>
                  <w:r>
                    <w:rPr>
                      <w:rFonts w:hint="default" w:ascii="Times New Roman" w:hAnsi="Times New Roman" w:eastAsia="宋体" w:cs="Times New Roman"/>
                      <w:color w:val="000000"/>
                      <w:kern w:val="2"/>
                      <w:sz w:val="21"/>
                      <w:szCs w:val="24"/>
                      <w:highlight w:val="none"/>
                      <w:lang w:val="en-US" w:eastAsia="zh-CN" w:bidi="ar-SA"/>
                    </w:rPr>
                    <w:t>建成正式投产前按要求编制突发环境事件应急预案并备案，</w:t>
                  </w:r>
                  <w:r>
                    <w:rPr>
                      <w:rFonts w:hint="eastAsia" w:ascii="Times New Roman" w:hAnsi="Times New Roman" w:eastAsia="宋体" w:cs="Times New Roman"/>
                      <w:color w:val="000000"/>
                      <w:kern w:val="2"/>
                      <w:sz w:val="21"/>
                      <w:szCs w:val="24"/>
                      <w:highlight w:val="none"/>
                      <w:lang w:val="en-US" w:eastAsia="zh-CN" w:bidi="ar-SA"/>
                    </w:rPr>
                    <w:t>使建设项目</w:t>
                  </w:r>
                  <w:r>
                    <w:rPr>
                      <w:rFonts w:hint="default" w:ascii="Times New Roman" w:hAnsi="Times New Roman" w:eastAsia="宋体" w:cs="Times New Roman"/>
                      <w:color w:val="000000"/>
                      <w:kern w:val="2"/>
                      <w:sz w:val="21"/>
                      <w:szCs w:val="24"/>
                      <w:highlight w:val="none"/>
                      <w:lang w:val="en-US" w:eastAsia="zh-CN" w:bidi="ar-SA"/>
                    </w:rPr>
                    <w:t>符合风险防控要求。</w:t>
                  </w:r>
                </w:p>
              </w:tc>
              <w:tc>
                <w:tcPr>
                  <w:tcW w:w="593" w:type="dxa"/>
                  <w:tcBorders>
                    <w:top w:val="single" w:color="auto" w:sz="4" w:space="0"/>
                    <w:left w:val="single" w:color="auto" w:sz="4" w:space="0"/>
                    <w:bottom w:val="single" w:color="auto" w:sz="4" w:space="0"/>
                    <w:right w:val="nil"/>
                    <w:tl2br w:val="nil"/>
                    <w:tr2bl w:val="nil"/>
                  </w:tcBorders>
                  <w:noWrap w:val="0"/>
                  <w:vAlign w:val="center"/>
                </w:tcPr>
                <w:p w14:paraId="0A9829AF">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632E3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08" w:type="dxa"/>
                  <w:tcBorders>
                    <w:top w:val="single" w:color="auto" w:sz="4" w:space="0"/>
                    <w:left w:val="nil"/>
                    <w:bottom w:val="single" w:color="auto" w:sz="12" w:space="0"/>
                    <w:right w:val="single" w:color="auto" w:sz="4" w:space="0"/>
                    <w:tl2br w:val="nil"/>
                    <w:tr2bl w:val="nil"/>
                  </w:tcBorders>
                  <w:noWrap w:val="0"/>
                  <w:vAlign w:val="center"/>
                </w:tcPr>
                <w:p w14:paraId="436187D8">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资源开发效率要求</w:t>
                  </w:r>
                </w:p>
              </w:tc>
              <w:tc>
                <w:tcPr>
                  <w:tcW w:w="3797" w:type="dxa"/>
                  <w:tcBorders>
                    <w:top w:val="single" w:color="auto" w:sz="4" w:space="0"/>
                    <w:left w:val="single" w:color="auto" w:sz="4" w:space="0"/>
                    <w:bottom w:val="single" w:color="auto" w:sz="12" w:space="0"/>
                    <w:right w:val="single" w:color="auto" w:sz="4" w:space="0"/>
                    <w:tl2br w:val="nil"/>
                    <w:tr2bl w:val="nil"/>
                  </w:tcBorders>
                  <w:noWrap w:val="0"/>
                  <w:vAlign w:val="top"/>
                </w:tcPr>
                <w:p w14:paraId="31D1EB3B">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（4.1）能源：开发区属于高污染燃料禁燃区，常规燃料按照《高污染燃料目录》“Ⅲ类（严格）”进行管控。进一步加快开发</w:t>
                  </w:r>
                </w:p>
                <w:p w14:paraId="1EFF8715">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区内能源结构调整，全面推广天然气等清洁能源，提高燃气普及率，并积极扶持和推进太阳能、生物能等可再生能源的开发和利用。</w:t>
                  </w:r>
                </w:p>
                <w:p w14:paraId="7A8F1796">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（4.2）水资源：落实水资源消耗总量和强度双控行动，2025年，蒸湘区用水总量 0.9045亿立方米，万元工业增加值用水量比2020年下降（%）12.0；珠晖区用水总量0.9229亿立方米，万元工业增加值用水量比2020年下降（%）12.0；雁峰区用水总量0.8491亿立方米，万元工业增加值用水量比2020年下降（%）12.0。</w:t>
                  </w:r>
                </w:p>
                <w:p w14:paraId="196067BC">
                  <w:pPr>
                    <w:widowControl w:val="0"/>
                    <w:adjustRightInd/>
                    <w:snapToGrid/>
                    <w:spacing w:beforeLines="0" w:afterLines="0"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（4.3）土地资源：提高土地使用效率和节约集约程度，工业用地固定资产投入强度 350万元/亩，工业用地地均税收25万元/亩。</w:t>
                  </w:r>
                </w:p>
              </w:tc>
              <w:tc>
                <w:tcPr>
                  <w:tcW w:w="2547"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2DC8E858">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本项目运营期使用能源主要为：水、电，不使用煤、高硫、中硫原煤及重油等燃</w:t>
                  </w:r>
                </w:p>
                <w:p w14:paraId="437AB571">
                  <w:pPr>
                    <w:widowControl w:val="0"/>
                    <w:adjustRightInd/>
                    <w:snapToGrid/>
                    <w:spacing w:beforeLines="0" w:afterLines="0" w:line="240" w:lineRule="auto"/>
                    <w:ind w:firstLine="0" w:firstLineChars="0"/>
                    <w:jc w:val="center"/>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料，且项目不属于严重过剩行业、不属于高耗能产业，项目位于园区内，满足资源</w:t>
                  </w:r>
                </w:p>
                <w:p w14:paraId="1416C952">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 xml:space="preserve">开发效率要求。 </w:t>
                  </w:r>
                </w:p>
              </w:tc>
              <w:tc>
                <w:tcPr>
                  <w:tcW w:w="593" w:type="dxa"/>
                  <w:tcBorders>
                    <w:top w:val="single" w:color="auto" w:sz="4" w:space="0"/>
                    <w:left w:val="single" w:color="auto" w:sz="4" w:space="0"/>
                    <w:bottom w:val="single" w:color="auto" w:sz="12" w:space="0"/>
                    <w:right w:val="nil"/>
                    <w:tl2br w:val="nil"/>
                    <w:tr2bl w:val="nil"/>
                  </w:tcBorders>
                  <w:noWrap w:val="0"/>
                  <w:vAlign w:val="center"/>
                </w:tcPr>
                <w:p w14:paraId="77E7CC6C">
                  <w:pPr>
                    <w:widowControl w:val="0"/>
                    <w:adjustRightInd/>
                    <w:snapToGrid/>
                    <w:spacing w:beforeLines="0" w:afterLines="0"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bl>
          <w:p w14:paraId="330A39BB">
            <w:pPr>
              <w:widowControl w:val="0"/>
              <w:bidi w:val="0"/>
              <w:adjustRightInd/>
              <w:snapToGrid/>
              <w:spacing w:after="2" w:line="360" w:lineRule="auto"/>
              <w:ind w:firstLine="480" w:firstLineChars="200"/>
              <w:jc w:val="both"/>
              <w:rPr>
                <w:rFonts w:hint="default"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color w:val="000000"/>
                <w:kern w:val="2"/>
                <w:sz w:val="24"/>
                <w:szCs w:val="22"/>
                <w:highlight w:val="none"/>
                <w:lang w:val="en-US" w:eastAsia="zh-CN" w:bidi="ar-SA"/>
              </w:rPr>
              <w:t>根据上述内容可知，本项目符合《湖南省生态环境分区管控总体管控要求暨省级以上产业园区生态环境准入清单》（湘环函〔2024〕26号）中衡阳高新技术产业开发区管控要求。</w:t>
            </w:r>
          </w:p>
          <w:p w14:paraId="241048EB">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3、与《湖南省长江经济带发展负面清单实施细则（试行，2022年版）》符合性分析</w:t>
            </w:r>
          </w:p>
          <w:p w14:paraId="4017BE94">
            <w:pPr>
              <w:pStyle w:val="29"/>
              <w:bidi w:val="0"/>
              <w:rPr>
                <w:rFonts w:hint="eastAsia" w:ascii="Times New Roman" w:hAnsi="Times New Roman" w:cs="Times New Roman"/>
                <w:color w:val="auto"/>
                <w:lang w:val="en-US" w:eastAsia="zh-CN"/>
              </w:rPr>
            </w:pPr>
            <w:r>
              <w:rPr>
                <w:rFonts w:hint="eastAsia" w:ascii="Times New Roman" w:hAnsi="Times New Roman" w:eastAsia="宋体" w:cs="Times New Roman"/>
                <w:color w:val="auto"/>
                <w:lang w:val="en-US" w:eastAsia="zh-CN"/>
              </w:rPr>
              <w:t>本项目与《湖南省长江经济带发展负面清单实施细则（试行，2022年版）》符合性分析情况见</w:t>
            </w:r>
            <w:r>
              <w:rPr>
                <w:rFonts w:hint="eastAsia" w:ascii="Times New Roman" w:hAnsi="Times New Roman" w:cs="Times New Roman"/>
                <w:color w:val="auto"/>
                <w:lang w:val="en-US" w:eastAsia="zh-CN"/>
              </w:rPr>
              <w:t>表1-5。</w:t>
            </w:r>
          </w:p>
          <w:p w14:paraId="5D23A012">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表1-5  项目与《湖南省长江经济带发展负面清单实施细则（试行，2022年版）》符合性分析情况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3"/>
              <w:gridCol w:w="3755"/>
              <w:gridCol w:w="2352"/>
              <w:gridCol w:w="697"/>
            </w:tblGrid>
            <w:tr w14:paraId="363F57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12" w:space="0"/>
                    <w:left w:val="nil"/>
                    <w:bottom w:val="single" w:color="auto" w:sz="4" w:space="0"/>
                    <w:right w:val="single" w:color="auto" w:sz="4" w:space="0"/>
                    <w:tl2br w:val="nil"/>
                    <w:tr2bl w:val="nil"/>
                  </w:tcBorders>
                  <w:noWrap w:val="0"/>
                  <w:vAlign w:val="center"/>
                </w:tcPr>
                <w:p w14:paraId="7875FD7B">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序号</w:t>
                  </w:r>
                </w:p>
              </w:tc>
              <w:tc>
                <w:tcPr>
                  <w:tcW w:w="375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3509B46">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细则内容</w:t>
                  </w:r>
                </w:p>
              </w:tc>
              <w:tc>
                <w:tcPr>
                  <w:tcW w:w="235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2CF5BFC">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项目实际情况</w:t>
                  </w:r>
                </w:p>
              </w:tc>
              <w:tc>
                <w:tcPr>
                  <w:tcW w:w="697" w:type="dxa"/>
                  <w:tcBorders>
                    <w:top w:val="single" w:color="auto" w:sz="12" w:space="0"/>
                    <w:left w:val="single" w:color="auto" w:sz="4" w:space="0"/>
                    <w:bottom w:val="single" w:color="auto" w:sz="4" w:space="0"/>
                    <w:right w:val="nil"/>
                    <w:tl2br w:val="nil"/>
                    <w:tr2bl w:val="nil"/>
                  </w:tcBorders>
                  <w:noWrap w:val="0"/>
                  <w:vAlign w:val="center"/>
                </w:tcPr>
                <w:p w14:paraId="5519D7EE">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是否符合</w:t>
                  </w:r>
                </w:p>
              </w:tc>
            </w:tr>
            <w:tr w14:paraId="163C4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4E58D33B">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1</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7A0E9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七条：饮用水水源一级保护区内禁止新建、改建、扩建、与供水设施和保护水源无关的建设项目，以及网箱养殖、畜禽养殖、旅游等可能污染饮用水水体的投资建设项目；禁止水域排放污水，已设置排污口必须拆除；不得设置与供水无关的码头，禁止停靠船舶，禁止堆放和放置工业废渣、城市垃圾、粪便和</w:t>
                  </w:r>
                  <w:r>
                    <w:rPr>
                      <w:rFonts w:hint="eastAsia" w:ascii="Times New Roman" w:hAnsi="Times New Roman" w:cs="Times New Roman"/>
                      <w:color w:val="auto"/>
                      <w:sz w:val="21"/>
                      <w:szCs w:val="24"/>
                      <w:lang w:eastAsia="zh-CN"/>
                    </w:rPr>
                    <w:t>其他废弃物</w:t>
                  </w:r>
                  <w:r>
                    <w:rPr>
                      <w:rFonts w:hint="default" w:ascii="Times New Roman" w:hAnsi="Times New Roman" w:cs="Times New Roman"/>
                      <w:color w:val="auto"/>
                      <w:sz w:val="21"/>
                      <w:szCs w:val="24"/>
                    </w:rPr>
                    <w:t>；禁止设置油库；禁止使用含磷洗涤用品。</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52884C1">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本项目建设不在饮用水水源一级保护区内</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703B2780">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2F6F4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63D9DC1C">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2</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B7C6AFF">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第二章第八条：饮用水水源二级保护区内禁止新建、改建、向水体排放污染物的投资建设项目。原有排污口依法拆除或关闭。禁止设立装卸垃圾、粪便、油类和有毒物品的码头。</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319246">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本项目建设不在饮用水水源二级保护区内</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7FD5EEB6">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31D98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0632C3AA">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3</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E3D7A8">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第二章第十二条：禁止在《全国重要江河湖泊水功能区划》划定的河段湖泊保护区、保留区内投资建设不利于水资源及自然生态保护的项目。</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37FA40">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本项目建设不在《全国重要江河湖泊水功能区划》划定的河段湖泊保护区、保留区内</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7AC72176">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6C571B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1FC33CA9">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4</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F7FE9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第二章第十五条：禁止在长江湖南段和洞庭湖、湘江、资江、沅江、澧水干流岸线一公里范围内新建扩建化工园区和化工项目。</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F9BEE1">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本项目不属于化工类项目</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02F417B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2D255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0BE30EC8">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5</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7C35D4">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第二章第十六条：禁止在合规园区外新建、扩建钢铁、石化、化工、焦化、建材、有色、制浆造纸等高污染项目。</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31B25C">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highlight w:val="none"/>
                    </w:rPr>
                    <w:t>本项目为</w:t>
                  </w:r>
                  <w:r>
                    <w:rPr>
                      <w:rFonts w:hint="eastAsia" w:ascii="Times New Roman" w:hAnsi="Times New Roman" w:cs="Times New Roman"/>
                      <w:color w:val="auto"/>
                      <w:sz w:val="21"/>
                      <w:szCs w:val="24"/>
                      <w:highlight w:val="none"/>
                      <w:lang w:eastAsia="zh-CN"/>
                    </w:rPr>
                    <w:t>配电开关控制设备制造业</w:t>
                  </w:r>
                  <w:r>
                    <w:rPr>
                      <w:rFonts w:hint="default" w:ascii="Times New Roman" w:hAnsi="Times New Roman" w:cs="Times New Roman"/>
                      <w:color w:val="auto"/>
                      <w:sz w:val="21"/>
                      <w:szCs w:val="24"/>
                      <w:highlight w:val="none"/>
                    </w:rPr>
                    <w:t>，不属于高污染高耗能项目</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76BDB815">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0B8F2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4" w:space="0"/>
                    <w:right w:val="single" w:color="auto" w:sz="4" w:space="0"/>
                    <w:tl2br w:val="nil"/>
                    <w:tr2bl w:val="nil"/>
                  </w:tcBorders>
                  <w:noWrap w:val="0"/>
                  <w:vAlign w:val="center"/>
                </w:tcPr>
                <w:p w14:paraId="13855900">
                  <w:pPr>
                    <w:pStyle w:val="30"/>
                    <w:rPr>
                      <w:rFonts w:hint="eastAsia" w:ascii="Times New Roman" w:hAnsi="Times New Roman" w:eastAsia="宋体" w:cs="Times New Roman"/>
                      <w:color w:val="auto"/>
                      <w:sz w:val="21"/>
                      <w:szCs w:val="24"/>
                      <w:lang w:eastAsia="zh-CN"/>
                    </w:rPr>
                  </w:pPr>
                  <w:r>
                    <w:rPr>
                      <w:rFonts w:hint="eastAsia" w:ascii="Times New Roman" w:hAnsi="Times New Roman" w:cs="Times New Roman"/>
                      <w:color w:val="auto"/>
                      <w:sz w:val="21"/>
                      <w:szCs w:val="24"/>
                      <w:lang w:val="en-US" w:eastAsia="zh-CN"/>
                    </w:rPr>
                    <w:t>6</w:t>
                  </w:r>
                </w:p>
              </w:tc>
              <w:tc>
                <w:tcPr>
                  <w:tcW w:w="375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698D02">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第二章第十七条：禁止新建、扩建不符合国家石化、现代煤化工等产业布局规划的项目。</w:t>
                  </w:r>
                </w:p>
              </w:tc>
              <w:tc>
                <w:tcPr>
                  <w:tcW w:w="235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AD73C5D">
                  <w:pPr>
                    <w:pStyle w:val="30"/>
                    <w:rPr>
                      <w:rFonts w:hint="default" w:ascii="Times New Roman" w:hAnsi="Times New Roman" w:cs="Times New Roman"/>
                      <w:color w:val="auto"/>
                      <w:sz w:val="21"/>
                      <w:szCs w:val="24"/>
                      <w:highlight w:val="yellow"/>
                    </w:rPr>
                  </w:pPr>
                  <w:r>
                    <w:rPr>
                      <w:rFonts w:hint="default" w:ascii="Times New Roman" w:hAnsi="Times New Roman" w:cs="Times New Roman"/>
                      <w:color w:val="auto"/>
                      <w:sz w:val="21"/>
                      <w:szCs w:val="24"/>
                      <w:highlight w:val="none"/>
                    </w:rPr>
                    <w:t>本项目为</w:t>
                  </w:r>
                  <w:r>
                    <w:rPr>
                      <w:rFonts w:hint="eastAsia" w:ascii="Times New Roman" w:hAnsi="Times New Roman" w:cs="Times New Roman"/>
                      <w:color w:val="auto"/>
                      <w:sz w:val="21"/>
                      <w:szCs w:val="24"/>
                      <w:highlight w:val="none"/>
                      <w:lang w:eastAsia="zh-CN"/>
                    </w:rPr>
                    <w:t>配电开关控制设备制造业</w:t>
                  </w:r>
                  <w:r>
                    <w:rPr>
                      <w:rFonts w:hint="default" w:ascii="Times New Roman" w:hAnsi="Times New Roman" w:cs="Times New Roman"/>
                      <w:color w:val="auto"/>
                      <w:sz w:val="21"/>
                      <w:szCs w:val="24"/>
                      <w:highlight w:val="none"/>
                    </w:rPr>
                    <w:t>，不属于国家石化、现代煤化工行业</w:t>
                  </w:r>
                </w:p>
              </w:tc>
              <w:tc>
                <w:tcPr>
                  <w:tcW w:w="697" w:type="dxa"/>
                  <w:tcBorders>
                    <w:top w:val="single" w:color="auto" w:sz="4" w:space="0"/>
                    <w:left w:val="single" w:color="auto" w:sz="4" w:space="0"/>
                    <w:bottom w:val="single" w:color="auto" w:sz="4" w:space="0"/>
                    <w:right w:val="nil"/>
                    <w:tl2br w:val="nil"/>
                    <w:tr2bl w:val="nil"/>
                  </w:tcBorders>
                  <w:noWrap w:val="0"/>
                  <w:vAlign w:val="center"/>
                </w:tcPr>
                <w:p w14:paraId="5F810BA5">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616E24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dxa"/>
                  <w:tcBorders>
                    <w:top w:val="single" w:color="auto" w:sz="4" w:space="0"/>
                    <w:left w:val="nil"/>
                    <w:bottom w:val="single" w:color="auto" w:sz="12" w:space="0"/>
                    <w:right w:val="single" w:color="auto" w:sz="4" w:space="0"/>
                    <w:tl2br w:val="nil"/>
                    <w:tr2bl w:val="nil"/>
                  </w:tcBorders>
                  <w:noWrap w:val="0"/>
                  <w:vAlign w:val="center"/>
                </w:tcPr>
                <w:p w14:paraId="6E44CF15">
                  <w:pPr>
                    <w:pStyle w:val="3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7</w:t>
                  </w:r>
                </w:p>
              </w:tc>
              <w:tc>
                <w:tcPr>
                  <w:tcW w:w="3755"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73F03A0">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第二章第十八条：禁止新建扩建法律法规和相关政策明令禁止的落后产能项目，对不符合要求的落后产能存量项目依法依</w:t>
                  </w:r>
                  <w:r>
                    <w:rPr>
                      <w:rFonts w:hint="eastAsia" w:ascii="Times New Roman" w:hAnsi="Times New Roman" w:cs="Times New Roman"/>
                      <w:color w:val="auto"/>
                      <w:sz w:val="21"/>
                      <w:szCs w:val="24"/>
                      <w:lang w:eastAsia="zh-CN"/>
                    </w:rPr>
                    <w:t>规</w:t>
                  </w:r>
                  <w:r>
                    <w:rPr>
                      <w:rFonts w:hint="default" w:ascii="Times New Roman" w:hAnsi="Times New Roman" w:cs="Times New Roman"/>
                      <w:color w:val="auto"/>
                      <w:sz w:val="21"/>
                      <w:szCs w:val="24"/>
                    </w:rPr>
                    <w:t>退出。禁止新建扩建不符合国家产能置换要求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235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7EB4C6C">
                  <w:pPr>
                    <w:pStyle w:val="30"/>
                    <w:rPr>
                      <w:rFonts w:hint="default" w:ascii="Times New Roman" w:hAnsi="Times New Roman" w:cs="Times New Roman"/>
                      <w:color w:val="auto"/>
                      <w:sz w:val="21"/>
                      <w:szCs w:val="24"/>
                      <w:highlight w:val="yellow"/>
                    </w:rPr>
                  </w:pPr>
                  <w:r>
                    <w:rPr>
                      <w:rFonts w:hint="default" w:ascii="Times New Roman" w:hAnsi="Times New Roman" w:cs="Times New Roman"/>
                      <w:color w:val="auto"/>
                      <w:sz w:val="21"/>
                      <w:szCs w:val="24"/>
                      <w:highlight w:val="none"/>
                    </w:rPr>
                    <w:t>本项目为</w:t>
                  </w:r>
                  <w:r>
                    <w:rPr>
                      <w:rFonts w:hint="eastAsia" w:ascii="Times New Roman" w:hAnsi="Times New Roman" w:cs="Times New Roman"/>
                      <w:color w:val="auto"/>
                      <w:sz w:val="21"/>
                      <w:szCs w:val="24"/>
                      <w:highlight w:val="none"/>
                      <w:lang w:eastAsia="zh-CN"/>
                    </w:rPr>
                    <w:t>配电开关控制设备制造业</w:t>
                  </w:r>
                  <w:r>
                    <w:rPr>
                      <w:rFonts w:hint="default" w:ascii="Times New Roman" w:hAnsi="Times New Roman" w:cs="Times New Roman"/>
                      <w:color w:val="auto"/>
                      <w:sz w:val="21"/>
                      <w:szCs w:val="24"/>
                      <w:highlight w:val="none"/>
                    </w:rPr>
                    <w:t>，不属于高能耗、高排放项目</w:t>
                  </w:r>
                </w:p>
              </w:tc>
              <w:tc>
                <w:tcPr>
                  <w:tcW w:w="697" w:type="dxa"/>
                  <w:tcBorders>
                    <w:top w:val="single" w:color="auto" w:sz="4" w:space="0"/>
                    <w:left w:val="single" w:color="auto" w:sz="4" w:space="0"/>
                    <w:bottom w:val="single" w:color="auto" w:sz="12" w:space="0"/>
                    <w:right w:val="nil"/>
                    <w:tl2br w:val="nil"/>
                    <w:tr2bl w:val="nil"/>
                  </w:tcBorders>
                  <w:noWrap w:val="0"/>
                  <w:vAlign w:val="center"/>
                </w:tcPr>
                <w:p w14:paraId="6ED1E779">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bl>
          <w:p w14:paraId="0C1D8B70">
            <w:pPr>
              <w:pStyle w:val="29"/>
              <w:bidi w:val="0"/>
              <w:rPr>
                <w:rFonts w:hint="default" w:ascii="Times New Roman" w:hAnsi="Times New Roman" w:cs="Times New Roman"/>
                <w:color w:val="auto"/>
              </w:rPr>
            </w:pPr>
            <w:r>
              <w:rPr>
                <w:rFonts w:hint="default" w:ascii="Times New Roman" w:hAnsi="Times New Roman" w:cs="Times New Roman"/>
                <w:color w:val="auto"/>
              </w:rPr>
              <w:t>根据上述内容可知，本项目符合《湖南省长江经济带发展负面清单实施细则（试行，2022年版）》各项要求。</w:t>
            </w:r>
          </w:p>
          <w:p w14:paraId="043E13FE">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4、与《湖南省“十四五”生态环境保护规划》符合性分析</w:t>
            </w:r>
          </w:p>
          <w:p w14:paraId="51920B18">
            <w:pPr>
              <w:pStyle w:val="29"/>
              <w:bidi w:val="0"/>
              <w:rPr>
                <w:rFonts w:hint="eastAsia" w:ascii="Times New Roman" w:hAnsi="Times New Roman" w:cs="Times New Roman"/>
                <w:color w:val="auto"/>
                <w:lang w:val="en-US" w:eastAsia="zh-CN"/>
              </w:rPr>
            </w:pPr>
            <w:r>
              <w:rPr>
                <w:rFonts w:hint="default" w:ascii="Times New Roman" w:hAnsi="Times New Roman" w:cs="Times New Roman"/>
                <w:color w:val="auto"/>
              </w:rPr>
              <w:t>本项目与《湖南省“十四五”生态环境保护规划》（湘政办发【2021】61号）符合性分析情况见表</w:t>
            </w:r>
            <w:r>
              <w:rPr>
                <w:rFonts w:hint="eastAsia" w:ascii="Times New Roman" w:hAnsi="Times New Roman" w:cs="Times New Roman"/>
                <w:color w:val="auto"/>
                <w:lang w:val="en-US" w:eastAsia="zh-CN"/>
              </w:rPr>
              <w:t>1-6。</w:t>
            </w:r>
          </w:p>
          <w:p w14:paraId="38DFE47C">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表1-6  项目与《湖南省“十四五”生态环境保护规划》（湘政办发【2021】61号）符合性分析情况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3540"/>
              <w:gridCol w:w="2535"/>
              <w:gridCol w:w="724"/>
            </w:tblGrid>
            <w:tr w14:paraId="52E0A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tcBorders>
                    <w:top w:val="single" w:color="auto" w:sz="12" w:space="0"/>
                    <w:left w:val="nil"/>
                    <w:bottom w:val="single" w:color="auto" w:sz="4" w:space="0"/>
                    <w:right w:val="single" w:color="auto" w:sz="4" w:space="0"/>
                    <w:tl2br w:val="nil"/>
                    <w:tr2bl w:val="nil"/>
                  </w:tcBorders>
                  <w:noWrap w:val="0"/>
                  <w:vAlign w:val="center"/>
                </w:tcPr>
                <w:p w14:paraId="1B0B95CE">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内容</w:t>
                  </w:r>
                </w:p>
              </w:tc>
              <w:tc>
                <w:tcPr>
                  <w:tcW w:w="369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1D0D27B">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湖南省“十四五”生态环境保护规划</w:t>
                  </w:r>
                </w:p>
              </w:tc>
              <w:tc>
                <w:tcPr>
                  <w:tcW w:w="264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6B0ADDA">
                  <w:pPr>
                    <w:spacing w:beforeLines="0" w:afterLine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项目实际情况</w:t>
                  </w:r>
                </w:p>
              </w:tc>
              <w:tc>
                <w:tcPr>
                  <w:tcW w:w="749" w:type="dxa"/>
                  <w:tcBorders>
                    <w:top w:val="single" w:color="auto" w:sz="12" w:space="0"/>
                    <w:left w:val="single" w:color="auto" w:sz="4" w:space="0"/>
                    <w:bottom w:val="single" w:color="auto" w:sz="4" w:space="0"/>
                    <w:right w:val="nil"/>
                    <w:tl2br w:val="nil"/>
                    <w:tr2bl w:val="nil"/>
                  </w:tcBorders>
                  <w:noWrap w:val="0"/>
                  <w:vAlign w:val="center"/>
                </w:tcPr>
                <w:p w14:paraId="1F9D5515">
                  <w:pPr>
                    <w:spacing w:beforeLines="0" w:afterLine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是否符合</w:t>
                  </w:r>
                </w:p>
              </w:tc>
            </w:tr>
            <w:tr w14:paraId="0321D5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tcBorders>
                    <w:top w:val="single" w:color="auto" w:sz="4" w:space="0"/>
                    <w:left w:val="nil"/>
                    <w:bottom w:val="single" w:color="auto" w:sz="4" w:space="0"/>
                    <w:right w:val="single" w:color="auto" w:sz="4" w:space="0"/>
                    <w:tl2br w:val="nil"/>
                    <w:tr2bl w:val="nil"/>
                  </w:tcBorders>
                  <w:noWrap w:val="0"/>
                  <w:vAlign w:val="center"/>
                </w:tcPr>
                <w:p w14:paraId="01FD994D">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总体目标</w:t>
                  </w:r>
                </w:p>
              </w:tc>
              <w:tc>
                <w:tcPr>
                  <w:tcW w:w="36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FAACF2">
                  <w:pPr>
                    <w:numPr>
                      <w:ilvl w:val="0"/>
                      <w:numId w:val="0"/>
                    </w:num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生活方式绿色转型成效显著，能源资源配置更加合理、利用效率大幅提高，国土空间开发与保护格局得到优化，污染物排放总量持续减少，生态环境质量持续改善，突出生态环境问题加快解决，重大生态环境风险基本化解，生态安全屏障更加牢固，城乡人居环境明显改善，生态环境治理体系和治理能力现代化水平明显增</w:t>
                  </w:r>
                </w:p>
                <w:p w14:paraId="4D29EA59">
                  <w:pPr>
                    <w:numPr>
                      <w:ilvl w:val="0"/>
                      <w:numId w:val="0"/>
                    </w:num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强，生态文明建设实现新进步。</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4E9F15">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4"/>
                      <w:highlight w:val="none"/>
                    </w:rPr>
                    <w:t>本项目为</w:t>
                  </w:r>
                  <w:r>
                    <w:rPr>
                      <w:rFonts w:hint="eastAsia"/>
                      <w:color w:val="auto"/>
                      <w:sz w:val="21"/>
                      <w:szCs w:val="24"/>
                      <w:highlight w:val="none"/>
                      <w:lang w:eastAsia="zh-CN"/>
                    </w:rPr>
                    <w:t>配电开关控制设备制造业</w:t>
                  </w:r>
                  <w:r>
                    <w:rPr>
                      <w:rFonts w:hint="eastAsia" w:ascii="Times New Roman" w:hAnsi="Times New Roman" w:eastAsia="宋体" w:cs="Times New Roman"/>
                      <w:color w:val="auto"/>
                      <w:sz w:val="21"/>
                      <w:szCs w:val="21"/>
                      <w:highlight w:val="none"/>
                    </w:rPr>
                    <w:t>，满足绿色发展理念，资源利用效率高。</w:t>
                  </w:r>
                </w:p>
              </w:tc>
              <w:tc>
                <w:tcPr>
                  <w:tcW w:w="749" w:type="dxa"/>
                  <w:tcBorders>
                    <w:top w:val="single" w:color="auto" w:sz="4" w:space="0"/>
                    <w:left w:val="single" w:color="auto" w:sz="4" w:space="0"/>
                    <w:bottom w:val="single" w:color="auto" w:sz="4" w:space="0"/>
                    <w:right w:val="nil"/>
                    <w:tl2br w:val="nil"/>
                    <w:tr2bl w:val="nil"/>
                  </w:tcBorders>
                  <w:noWrap w:val="0"/>
                  <w:vAlign w:val="center"/>
                </w:tcPr>
                <w:p w14:paraId="5801BB73">
                  <w:pPr>
                    <w:spacing w:beforeLines="0" w:afterLines="0" w:line="36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r w14:paraId="28270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restart"/>
                  <w:tcBorders>
                    <w:top w:val="single" w:color="auto" w:sz="4" w:space="0"/>
                    <w:left w:val="nil"/>
                    <w:bottom w:val="single" w:color="auto" w:sz="4" w:space="0"/>
                    <w:right w:val="single" w:color="auto" w:sz="4" w:space="0"/>
                    <w:tl2br w:val="nil"/>
                    <w:tr2bl w:val="nil"/>
                  </w:tcBorders>
                  <w:noWrap w:val="0"/>
                  <w:vAlign w:val="center"/>
                </w:tcPr>
                <w:p w14:paraId="395D1D59">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致</w:t>
                  </w:r>
                </w:p>
                <w:p w14:paraId="638E8017">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力</w:t>
                  </w:r>
                </w:p>
                <w:p w14:paraId="273C9B3E">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绿</w:t>
                  </w:r>
                </w:p>
                <w:p w14:paraId="425F3A34">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色</w:t>
                  </w:r>
                </w:p>
                <w:p w14:paraId="1563EBA4">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低</w:t>
                  </w:r>
                </w:p>
                <w:p w14:paraId="1DDA2F3F">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碳</w:t>
                  </w:r>
                </w:p>
                <w:p w14:paraId="1A95998A">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循</w:t>
                  </w:r>
                </w:p>
                <w:p w14:paraId="0AB890D1">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w:t>
                  </w:r>
                </w:p>
                <w:p w14:paraId="679A0016">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发</w:t>
                  </w:r>
                </w:p>
                <w:p w14:paraId="42482888">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展</w:t>
                  </w:r>
                </w:p>
              </w:tc>
              <w:tc>
                <w:tcPr>
                  <w:tcW w:w="36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0F5884">
                  <w:pPr>
                    <w:spacing w:beforeLines="0" w:afterLines="0"/>
                    <w:jc w:val="center"/>
                    <w:rPr>
                      <w:rFonts w:hint="default"/>
                      <w:color w:val="auto"/>
                      <w:sz w:val="21"/>
                      <w:szCs w:val="24"/>
                    </w:rPr>
                  </w:pPr>
                  <w:r>
                    <w:rPr>
                      <w:rFonts w:hint="eastAsia" w:ascii="Times New Roman" w:hAnsi="Times New Roman" w:eastAsia="宋体"/>
                      <w:color w:val="auto"/>
                      <w:sz w:val="21"/>
                      <w:szCs w:val="24"/>
                    </w:rPr>
                    <w:t>（一）优化国土空间保护格局。</w:t>
                  </w:r>
                </w:p>
                <w:p w14:paraId="4AF2C1F9">
                  <w:pPr>
                    <w:spacing w:beforeLines="0" w:afterLines="0"/>
                    <w:jc w:val="center"/>
                    <w:rPr>
                      <w:rFonts w:hint="default"/>
                      <w:color w:val="auto"/>
                      <w:sz w:val="21"/>
                      <w:szCs w:val="24"/>
                    </w:rPr>
                  </w:pPr>
                  <w:r>
                    <w:rPr>
                      <w:rFonts w:hint="eastAsia" w:ascii="Times New Roman" w:hAnsi="Times New Roman" w:eastAsia="宋体"/>
                      <w:color w:val="auto"/>
                      <w:sz w:val="21"/>
                      <w:szCs w:val="24"/>
                    </w:rPr>
                    <w:t>落实主体功能区战略。</w:t>
                  </w:r>
                </w:p>
                <w:p w14:paraId="79D9EA9B">
                  <w:pPr>
                    <w:spacing w:beforeLines="0" w:afterLines="0"/>
                    <w:jc w:val="center"/>
                    <w:rPr>
                      <w:rFonts w:hint="default"/>
                      <w:color w:val="auto"/>
                      <w:sz w:val="21"/>
                      <w:szCs w:val="24"/>
                    </w:rPr>
                  </w:pPr>
                  <w:r>
                    <w:rPr>
                      <w:rFonts w:hint="eastAsia" w:ascii="Times New Roman" w:hAnsi="Times New Roman" w:eastAsia="宋体"/>
                      <w:color w:val="auto"/>
                      <w:sz w:val="21"/>
                      <w:szCs w:val="24"/>
                    </w:rPr>
                    <w:t>强化国土空间分区管控。统筹划定生态保护红线、永久基本农田和城镇开发边界三条控制线。</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CE098C4">
                  <w:pPr>
                    <w:wordWrap w:val="0"/>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4"/>
                      <w:highlight w:val="none"/>
                    </w:rPr>
                    <w:t>本项目为</w:t>
                  </w:r>
                  <w:r>
                    <w:rPr>
                      <w:rFonts w:hint="eastAsia"/>
                      <w:color w:val="auto"/>
                      <w:sz w:val="21"/>
                      <w:szCs w:val="24"/>
                      <w:highlight w:val="none"/>
                      <w:lang w:eastAsia="zh-CN"/>
                    </w:rPr>
                    <w:t>配电开关控制设备制造业</w:t>
                  </w:r>
                  <w:r>
                    <w:rPr>
                      <w:rFonts w:hint="eastAsia" w:ascii="Times New Roman" w:hAnsi="Times New Roman" w:eastAsia="宋体" w:cs="Times New Roman"/>
                      <w:color w:val="auto"/>
                      <w:sz w:val="21"/>
                      <w:szCs w:val="21"/>
                      <w:highlight w:val="none"/>
                    </w:rPr>
                    <w:t>，位于</w:t>
                  </w:r>
                  <w:r>
                    <w:rPr>
                      <w:rFonts w:hint="eastAsia" w:cs="Times New Roman"/>
                      <w:color w:val="auto"/>
                      <w:sz w:val="21"/>
                      <w:szCs w:val="21"/>
                      <w:highlight w:val="none"/>
                      <w:lang w:eastAsia="zh-CN"/>
                    </w:rPr>
                    <w:t>衡阳高新技术产业开发区湖南新岳电力设备有限公司内（富强路11号）</w:t>
                  </w:r>
                  <w:r>
                    <w:rPr>
                      <w:rFonts w:hint="eastAsia" w:ascii="Times New Roman" w:hAnsi="Times New Roman" w:eastAsia="宋体" w:cs="Times New Roman"/>
                      <w:color w:val="auto"/>
                      <w:sz w:val="21"/>
                      <w:szCs w:val="21"/>
                      <w:highlight w:val="none"/>
                    </w:rPr>
                    <w:t>，不在生态保护红线、永久基本农田和城镇开发边界范围内。</w:t>
                  </w:r>
                </w:p>
              </w:tc>
              <w:tc>
                <w:tcPr>
                  <w:tcW w:w="749" w:type="dxa"/>
                  <w:tcBorders>
                    <w:top w:val="single" w:color="auto" w:sz="4" w:space="0"/>
                    <w:left w:val="single" w:color="auto" w:sz="4" w:space="0"/>
                    <w:bottom w:val="single" w:color="auto" w:sz="4" w:space="0"/>
                    <w:right w:val="nil"/>
                    <w:tl2br w:val="nil"/>
                    <w:tr2bl w:val="nil"/>
                  </w:tcBorders>
                  <w:noWrap w:val="0"/>
                  <w:vAlign w:val="center"/>
                </w:tcPr>
                <w:p w14:paraId="1338A62E">
                  <w:pPr>
                    <w:spacing w:beforeLines="0" w:afterLines="0" w:line="36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r w14:paraId="0EA89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continue"/>
                  <w:tcBorders>
                    <w:top w:val="single" w:color="auto" w:sz="4" w:space="0"/>
                    <w:left w:val="nil"/>
                    <w:bottom w:val="single" w:color="auto" w:sz="4" w:space="0"/>
                    <w:right w:val="single" w:color="auto" w:sz="4" w:space="0"/>
                    <w:tl2br w:val="nil"/>
                    <w:tr2bl w:val="nil"/>
                  </w:tcBorders>
                  <w:noWrap w:val="0"/>
                  <w:vAlign w:val="center"/>
                </w:tcPr>
                <w:p w14:paraId="68C2A2AE">
                  <w:pPr>
                    <w:spacing w:beforeLines="0" w:afterLines="0"/>
                    <w:jc w:val="center"/>
                    <w:rPr>
                      <w:rFonts w:hint="default" w:ascii="Times New Roman" w:hAnsi="Times New Roman" w:eastAsia="宋体" w:cs="Times New Roman"/>
                      <w:color w:val="auto"/>
                      <w:sz w:val="21"/>
                      <w:szCs w:val="21"/>
                    </w:rPr>
                  </w:pPr>
                </w:p>
              </w:tc>
              <w:tc>
                <w:tcPr>
                  <w:tcW w:w="36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3EDF99E">
                  <w:pPr>
                    <w:numPr>
                      <w:ilvl w:val="0"/>
                      <w:numId w:val="0"/>
                    </w:num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五）严格生态环境准入。严格落实湖南省“三线一单”生态环境总体管控要求，将生态保护红线、环境质量底线、资源利用上线和生态环境准入清单作为硬约束落实到环境管控单元，根据生态环境功能、自然资源禀赋、经济与社会发展实际，对环境管控单元实施差异化生态环境准入管理。加强</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三线一单”与国土空间规划的衔接，区域资源开发、产业布局和结构调整、城镇建设、重大项目选址应以“三线一单”确定的环境管控单元及生态环境准入清单作为重要依据，加强省级以上产业园区生态环境准入管理。全面实行排污许可制度。</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244E67">
                  <w:pPr>
                    <w:numPr>
                      <w:ilvl w:val="0"/>
                      <w:numId w:val="0"/>
                    </w:numPr>
                    <w:spacing w:beforeLines="0" w:afterLine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rPr>
                    <w:t>本项目为</w:t>
                  </w:r>
                  <w:r>
                    <w:rPr>
                      <w:rFonts w:hint="eastAsia" w:cs="Times New Roman"/>
                      <w:color w:val="auto"/>
                      <w:sz w:val="21"/>
                      <w:szCs w:val="21"/>
                      <w:highlight w:val="none"/>
                      <w:lang w:eastAsia="zh-CN"/>
                    </w:rPr>
                    <w:t>配电开关控制设备制造业</w:t>
                  </w:r>
                  <w:r>
                    <w:rPr>
                      <w:rFonts w:hint="eastAsia" w:ascii="Times New Roman" w:hAnsi="Times New Roman" w:eastAsia="宋体" w:cs="Times New Roman"/>
                      <w:color w:val="auto"/>
                      <w:sz w:val="21"/>
                      <w:szCs w:val="21"/>
                      <w:highlight w:val="none"/>
                    </w:rPr>
                    <w:t>，位于</w:t>
                  </w:r>
                  <w:r>
                    <w:rPr>
                      <w:rFonts w:hint="eastAsia" w:cs="Times New Roman"/>
                      <w:color w:val="auto"/>
                      <w:sz w:val="21"/>
                      <w:szCs w:val="21"/>
                      <w:highlight w:val="none"/>
                      <w:lang w:eastAsia="zh-CN"/>
                    </w:rPr>
                    <w:t>衡阳高新技术产业开发区湖南新岳电力设备有限公司内（富强路11号）</w:t>
                  </w:r>
                  <w:r>
                    <w:rPr>
                      <w:rFonts w:hint="eastAsia" w:ascii="Times New Roman" w:hAnsi="Times New Roman" w:eastAsia="宋体" w:cs="Times New Roman"/>
                      <w:color w:val="auto"/>
                      <w:sz w:val="21"/>
                      <w:szCs w:val="21"/>
                      <w:highlight w:val="none"/>
                    </w:rPr>
                    <w:t>，符合《湖南省生态环境分区管控总体管控要求暨省级以上产业园区生态环境准入清单》（湘环函〔2024〕26号）中环境管控单元编码ZH43042220002相关要求。</w:t>
                  </w:r>
                </w:p>
                <w:p w14:paraId="33EBF398">
                  <w:pPr>
                    <w:numPr>
                      <w:ilvl w:val="0"/>
                      <w:numId w:val="0"/>
                    </w:num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根据《排污许可管理条例》相关规定，本项目环评审批后，建设单位将按条例要求申领排污许可证。</w:t>
                  </w:r>
                </w:p>
              </w:tc>
              <w:tc>
                <w:tcPr>
                  <w:tcW w:w="749" w:type="dxa"/>
                  <w:tcBorders>
                    <w:top w:val="single" w:color="auto" w:sz="4" w:space="0"/>
                    <w:left w:val="single" w:color="auto" w:sz="4" w:space="0"/>
                    <w:bottom w:val="single" w:color="auto" w:sz="4" w:space="0"/>
                    <w:right w:val="nil"/>
                    <w:tl2br w:val="nil"/>
                    <w:tr2bl w:val="nil"/>
                  </w:tcBorders>
                  <w:noWrap w:val="0"/>
                  <w:vAlign w:val="center"/>
                </w:tcPr>
                <w:p w14:paraId="65368E65">
                  <w:pPr>
                    <w:spacing w:beforeLines="0" w:afterLines="0" w:line="36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r w14:paraId="1CF1E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restart"/>
                  <w:tcBorders>
                    <w:top w:val="single" w:color="auto" w:sz="4" w:space="0"/>
                    <w:left w:val="nil"/>
                    <w:bottom w:val="single" w:color="auto" w:sz="4" w:space="0"/>
                    <w:right w:val="single" w:color="auto" w:sz="4" w:space="0"/>
                    <w:tl2br w:val="nil"/>
                    <w:tr2bl w:val="nil"/>
                  </w:tcBorders>
                  <w:noWrap w:val="0"/>
                  <w:vAlign w:val="center"/>
                </w:tcPr>
                <w:p w14:paraId="41A8C959">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深</w:t>
                  </w:r>
                </w:p>
                <w:p w14:paraId="0BFC6611">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入</w:t>
                  </w:r>
                </w:p>
                <w:p w14:paraId="555908F0">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打</w:t>
                  </w:r>
                </w:p>
                <w:p w14:paraId="75E2B6DF">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好</w:t>
                  </w:r>
                </w:p>
                <w:p w14:paraId="496BDC65">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污</w:t>
                  </w:r>
                </w:p>
                <w:p w14:paraId="1DF33FFA">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染</w:t>
                  </w:r>
                </w:p>
                <w:p w14:paraId="3A6354E1">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防</w:t>
                  </w:r>
                </w:p>
                <w:p w14:paraId="406A86FA">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治</w:t>
                  </w:r>
                </w:p>
                <w:p w14:paraId="20967AAD">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攻</w:t>
                  </w:r>
                </w:p>
                <w:p w14:paraId="3B283695">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坚</w:t>
                  </w:r>
                </w:p>
                <w:p w14:paraId="051FB42C">
                  <w:p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战</w:t>
                  </w:r>
                </w:p>
              </w:tc>
              <w:tc>
                <w:tcPr>
                  <w:tcW w:w="36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B0FDDFA">
                  <w:pPr>
                    <w:numPr>
                      <w:ilvl w:val="0"/>
                      <w:numId w:val="0"/>
                    </w:numPr>
                    <w:spacing w:beforeLines="0" w:afterLines="0"/>
                    <w:jc w:val="center"/>
                    <w:rPr>
                      <w:rFonts w:hint="default"/>
                      <w:color w:val="auto"/>
                      <w:sz w:val="21"/>
                      <w:szCs w:val="24"/>
                      <w:highlight w:val="none"/>
                    </w:rPr>
                  </w:pPr>
                  <w:r>
                    <w:rPr>
                      <w:rFonts w:hint="eastAsia" w:ascii="Times New Roman" w:hAnsi="Times New Roman" w:eastAsia="宋体"/>
                      <w:color w:val="auto"/>
                      <w:sz w:val="21"/>
                      <w:szCs w:val="24"/>
                      <w:highlight w:val="none"/>
                    </w:rPr>
                    <w:t>深入打好碧水保卫战：深化重点领域水污染治理。补齐城乡污水收集和处理设施短板，加强生活源污染治理，完善城市污水管网建设，实现建成区污水管网全覆盖，改造老旧破损管网及检查井，系统解决管网漏损问题。</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FCF86F">
                  <w:pPr>
                    <w:numPr>
                      <w:ilvl w:val="0"/>
                      <w:numId w:val="0"/>
                    </w:numPr>
                    <w:spacing w:beforeLines="0" w:afterLine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本项目生产废水不外排；生活污水经化粪池处理后经市政污水管网进入</w:t>
                  </w:r>
                  <w:r>
                    <w:rPr>
                      <w:rFonts w:hint="eastAsia" w:cs="Times New Roman"/>
                      <w:color w:val="auto"/>
                      <w:sz w:val="21"/>
                      <w:szCs w:val="21"/>
                      <w:highlight w:val="none"/>
                      <w:lang w:eastAsia="zh-CN"/>
                    </w:rPr>
                    <w:t>铜桥港污水处理厂</w:t>
                  </w:r>
                  <w:r>
                    <w:rPr>
                      <w:rFonts w:hint="eastAsia" w:ascii="Times New Roman" w:hAnsi="Times New Roman" w:eastAsia="宋体" w:cs="Times New Roman"/>
                      <w:color w:val="auto"/>
                      <w:sz w:val="21"/>
                      <w:szCs w:val="21"/>
                      <w:highlight w:val="none"/>
                      <w:lang w:eastAsia="zh-CN"/>
                    </w:rPr>
                    <w:t>。</w:t>
                  </w:r>
                </w:p>
              </w:tc>
              <w:tc>
                <w:tcPr>
                  <w:tcW w:w="749" w:type="dxa"/>
                  <w:tcBorders>
                    <w:top w:val="single" w:color="auto" w:sz="4" w:space="0"/>
                    <w:left w:val="single" w:color="auto" w:sz="4" w:space="0"/>
                    <w:bottom w:val="single" w:color="auto" w:sz="4" w:space="0"/>
                    <w:right w:val="nil"/>
                    <w:tl2br w:val="nil"/>
                    <w:tr2bl w:val="nil"/>
                  </w:tcBorders>
                  <w:noWrap w:val="0"/>
                  <w:vAlign w:val="center"/>
                </w:tcPr>
                <w:p w14:paraId="61E5979E">
                  <w:pPr>
                    <w:spacing w:beforeLines="0" w:afterLines="0" w:line="360"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7ECF2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continue"/>
                  <w:tcBorders>
                    <w:top w:val="single" w:color="auto" w:sz="4" w:space="0"/>
                    <w:left w:val="nil"/>
                    <w:bottom w:val="single" w:color="auto" w:sz="4" w:space="0"/>
                    <w:right w:val="single" w:color="auto" w:sz="4" w:space="0"/>
                    <w:tl2br w:val="nil"/>
                    <w:tr2bl w:val="nil"/>
                  </w:tcBorders>
                  <w:noWrap w:val="0"/>
                  <w:vAlign w:val="center"/>
                </w:tcPr>
                <w:p w14:paraId="690BBD58">
                  <w:pPr>
                    <w:spacing w:beforeLines="0" w:afterLines="0"/>
                    <w:jc w:val="center"/>
                    <w:rPr>
                      <w:rFonts w:hint="default" w:ascii="Times New Roman" w:hAnsi="Times New Roman" w:eastAsia="宋体" w:cs="Times New Roman"/>
                      <w:color w:val="auto"/>
                      <w:sz w:val="21"/>
                      <w:szCs w:val="21"/>
                    </w:rPr>
                  </w:pPr>
                </w:p>
              </w:tc>
              <w:tc>
                <w:tcPr>
                  <w:tcW w:w="36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6386B7">
                  <w:pPr>
                    <w:numPr>
                      <w:ilvl w:val="0"/>
                      <w:numId w:val="0"/>
                    </w:numPr>
                    <w:spacing w:beforeLines="0" w:afterLines="0"/>
                    <w:jc w:val="center"/>
                    <w:rPr>
                      <w:rFonts w:hint="default"/>
                      <w:color w:val="auto"/>
                      <w:sz w:val="21"/>
                      <w:szCs w:val="24"/>
                    </w:rPr>
                  </w:pPr>
                  <w:r>
                    <w:rPr>
                      <w:rFonts w:hint="eastAsia" w:ascii="Times New Roman" w:hAnsi="Times New Roman" w:eastAsia="宋体"/>
                      <w:color w:val="auto"/>
                      <w:sz w:val="21"/>
                      <w:szCs w:val="24"/>
                    </w:rPr>
                    <w:t>深入打好蓝天保卫战：加强其他涉气污染物治理。加强消耗臭氧层物质和氢氟碳化物环境管理，加强恶臭、有毒有害大气污染物防控。</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A6F42D">
                  <w:pPr>
                    <w:numPr>
                      <w:ilvl w:val="0"/>
                      <w:numId w:val="0"/>
                    </w:numPr>
                    <w:spacing w:beforeLines="0" w:afterLine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本项目废气均能达标排放，满足蓝天保卫战要求。</w:t>
                  </w:r>
                </w:p>
              </w:tc>
              <w:tc>
                <w:tcPr>
                  <w:tcW w:w="749" w:type="dxa"/>
                  <w:tcBorders>
                    <w:top w:val="single" w:color="auto" w:sz="4" w:space="0"/>
                    <w:left w:val="single" w:color="auto" w:sz="4" w:space="0"/>
                    <w:bottom w:val="single" w:color="auto" w:sz="4" w:space="0"/>
                    <w:right w:val="nil"/>
                    <w:tl2br w:val="nil"/>
                    <w:tr2bl w:val="nil"/>
                  </w:tcBorders>
                  <w:noWrap w:val="0"/>
                  <w:vAlign w:val="center"/>
                </w:tcPr>
                <w:p w14:paraId="27734962">
                  <w:pPr>
                    <w:spacing w:beforeLines="0" w:afterLines="0" w:line="36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r w14:paraId="01319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continue"/>
                  <w:tcBorders>
                    <w:top w:val="single" w:color="auto" w:sz="4" w:space="0"/>
                    <w:left w:val="nil"/>
                    <w:bottom w:val="single" w:color="auto" w:sz="12" w:space="0"/>
                    <w:right w:val="single" w:color="auto" w:sz="4" w:space="0"/>
                    <w:tl2br w:val="nil"/>
                    <w:tr2bl w:val="nil"/>
                  </w:tcBorders>
                  <w:noWrap w:val="0"/>
                  <w:vAlign w:val="center"/>
                </w:tcPr>
                <w:p w14:paraId="7E338322">
                  <w:pPr>
                    <w:spacing w:beforeLines="0" w:afterLines="0"/>
                    <w:jc w:val="center"/>
                    <w:rPr>
                      <w:rFonts w:hint="default" w:ascii="Times New Roman" w:hAnsi="Times New Roman" w:eastAsia="宋体" w:cs="Times New Roman"/>
                      <w:color w:val="auto"/>
                      <w:sz w:val="21"/>
                      <w:szCs w:val="21"/>
                    </w:rPr>
                  </w:pPr>
                </w:p>
              </w:tc>
              <w:tc>
                <w:tcPr>
                  <w:tcW w:w="369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AAF6B10">
                  <w:pPr>
                    <w:numPr>
                      <w:ilvl w:val="0"/>
                      <w:numId w:val="0"/>
                    </w:numPr>
                    <w:spacing w:beforeLines="0" w:afterLines="0"/>
                    <w:jc w:val="center"/>
                    <w:rPr>
                      <w:rFonts w:hint="default"/>
                      <w:color w:val="auto"/>
                      <w:sz w:val="21"/>
                      <w:szCs w:val="24"/>
                    </w:rPr>
                  </w:pPr>
                  <w:r>
                    <w:rPr>
                      <w:rFonts w:hint="eastAsia" w:ascii="Times New Roman" w:hAnsi="Times New Roman" w:eastAsia="宋体"/>
                      <w:color w:val="auto"/>
                      <w:sz w:val="21"/>
                      <w:szCs w:val="24"/>
                    </w:rPr>
                    <w:t>深入打好净土保卫战：加强土壤污染源头预防。推动污染物与土壤环境、地下水环境之间的协同控制，持续开展固体废物和危险废物贮存场所周边土壤与地下水环境状况调查评估。</w:t>
                  </w:r>
                </w:p>
              </w:tc>
              <w:tc>
                <w:tcPr>
                  <w:tcW w:w="264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9D4BA83">
                  <w:pPr>
                    <w:numPr>
                      <w:ilvl w:val="0"/>
                      <w:numId w:val="0"/>
                    </w:numPr>
                    <w:spacing w:beforeLines="0" w:afterLine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本项目固废均能得到妥善处置，不会产生二次污染。</w:t>
                  </w:r>
                </w:p>
              </w:tc>
              <w:tc>
                <w:tcPr>
                  <w:tcW w:w="749" w:type="dxa"/>
                  <w:tcBorders>
                    <w:top w:val="single" w:color="auto" w:sz="4" w:space="0"/>
                    <w:left w:val="single" w:color="auto" w:sz="4" w:space="0"/>
                    <w:bottom w:val="single" w:color="auto" w:sz="12" w:space="0"/>
                    <w:right w:val="nil"/>
                    <w:tl2br w:val="nil"/>
                    <w:tr2bl w:val="nil"/>
                  </w:tcBorders>
                  <w:noWrap w:val="0"/>
                  <w:vAlign w:val="center"/>
                </w:tcPr>
                <w:p w14:paraId="42D6E121">
                  <w:pPr>
                    <w:spacing w:beforeLines="0" w:afterLines="0" w:line="36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bl>
          <w:p w14:paraId="143E176C">
            <w:pPr>
              <w:pStyle w:val="29"/>
              <w:bidi w:val="0"/>
              <w:rPr>
                <w:rFonts w:hint="default" w:ascii="Times New Roman" w:hAnsi="Times New Roman" w:cs="Times New Roman"/>
                <w:color w:val="auto"/>
              </w:rPr>
            </w:pPr>
            <w:r>
              <w:rPr>
                <w:rFonts w:hint="default" w:ascii="Times New Roman" w:hAnsi="Times New Roman" w:cs="Times New Roman"/>
                <w:color w:val="auto"/>
              </w:rPr>
              <w:t>根据上述内容可知，本项目符合《湖南省“十四五”生态环境保护规划》相关要求。</w:t>
            </w:r>
          </w:p>
          <w:p w14:paraId="4985CD72">
            <w:pPr>
              <w:widowControl w:val="0"/>
              <w:bidi w:val="0"/>
              <w:adjustRightInd/>
              <w:snapToGrid/>
              <w:spacing w:after="2" w:line="360" w:lineRule="auto"/>
              <w:ind w:firstLine="482"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eastAsia" w:ascii="Times New Roman" w:hAnsi="Times New Roman" w:eastAsia="宋体" w:cs="Times New Roman"/>
                <w:b/>
                <w:bCs/>
                <w:color w:val="000000"/>
                <w:kern w:val="2"/>
                <w:sz w:val="24"/>
                <w:szCs w:val="22"/>
                <w:highlight w:val="none"/>
                <w:lang w:val="en-US" w:eastAsia="zh-CN" w:bidi="ar-SA"/>
              </w:rPr>
              <w:t>5、与《湖南省湘江保护条例》（2023年修订）符合性分析</w:t>
            </w:r>
          </w:p>
          <w:p w14:paraId="4DD6910C">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kern w:val="2"/>
                <w:sz w:val="24"/>
                <w:szCs w:val="22"/>
                <w:highlight w:val="none"/>
                <w:lang w:val="en-US" w:eastAsia="zh-CN" w:bidi="ar-SA"/>
              </w:rPr>
            </w:pPr>
            <w:r>
              <w:rPr>
                <w:rFonts w:hint="default" w:ascii="Times New Roman" w:hAnsi="Times New Roman" w:eastAsia="宋体" w:cs="Times New Roman"/>
                <w:color w:val="000000"/>
                <w:kern w:val="2"/>
                <w:sz w:val="24"/>
                <w:szCs w:val="22"/>
                <w:highlight w:val="none"/>
                <w:lang w:val="en-US" w:eastAsia="zh-CN" w:bidi="ar-SA"/>
              </w:rPr>
              <w:t>本项目与《湖南省湘江保护条例》（2023年修订）符合性分析情况见表</w:t>
            </w:r>
            <w:r>
              <w:rPr>
                <w:rFonts w:hint="eastAsia" w:ascii="Times New Roman" w:hAnsi="Times New Roman" w:eastAsia="宋体" w:cs="Times New Roman"/>
                <w:color w:val="000000"/>
                <w:kern w:val="2"/>
                <w:sz w:val="24"/>
                <w:szCs w:val="22"/>
                <w:highlight w:val="none"/>
                <w:lang w:val="en-US" w:eastAsia="zh-CN" w:bidi="ar-SA"/>
              </w:rPr>
              <w:t>1-7。</w:t>
            </w:r>
          </w:p>
          <w:p w14:paraId="5F7CC979">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表1-7  项目与《湖南省湘江保护条例》（2023年修订）符合性分析情况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4409"/>
              <w:gridCol w:w="2448"/>
              <w:gridCol w:w="580"/>
            </w:tblGrid>
            <w:tr w14:paraId="5A582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jc w:val="center"/>
              </w:trPr>
              <w:tc>
                <w:tcPr>
                  <w:tcW w:w="4590" w:type="dxa"/>
                  <w:tcBorders>
                    <w:tl2br w:val="nil"/>
                    <w:tr2bl w:val="nil"/>
                  </w:tcBorders>
                  <w:noWrap w:val="0"/>
                  <w:vAlign w:val="center"/>
                </w:tcPr>
                <w:p w14:paraId="025E5F02">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《湖南省湘江保护条例》要求</w:t>
                  </w:r>
                </w:p>
              </w:tc>
              <w:tc>
                <w:tcPr>
                  <w:tcW w:w="2550" w:type="dxa"/>
                  <w:tcBorders>
                    <w:tl2br w:val="nil"/>
                    <w:tr2bl w:val="nil"/>
                  </w:tcBorders>
                  <w:noWrap w:val="0"/>
                  <w:vAlign w:val="center"/>
                </w:tcPr>
                <w:p w14:paraId="1040B0F3">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项目情况</w:t>
                  </w:r>
                </w:p>
              </w:tc>
              <w:tc>
                <w:tcPr>
                  <w:tcW w:w="604" w:type="dxa"/>
                  <w:tcBorders>
                    <w:tl2br w:val="nil"/>
                    <w:tr2bl w:val="nil"/>
                  </w:tcBorders>
                  <w:noWrap w:val="0"/>
                  <w:vAlign w:val="center"/>
                </w:tcPr>
                <w:p w14:paraId="126C5A26">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kern w:val="2"/>
                      <w:sz w:val="21"/>
                      <w:szCs w:val="24"/>
                      <w:highlight w:val="none"/>
                      <w:lang w:val="en-US" w:eastAsia="zh-CN" w:bidi="ar-SA"/>
                    </w:rPr>
                    <w:t>是否符合</w:t>
                  </w:r>
                </w:p>
              </w:tc>
            </w:tr>
            <w:tr w14:paraId="75230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jc w:val="center"/>
              </w:trPr>
              <w:tc>
                <w:tcPr>
                  <w:tcW w:w="4590" w:type="dxa"/>
                  <w:tcBorders>
                    <w:tl2br w:val="nil"/>
                    <w:tr2bl w:val="nil"/>
                  </w:tcBorders>
                  <w:noWrap w:val="0"/>
                  <w:vAlign w:val="center"/>
                </w:tcPr>
                <w:p w14:paraId="689811A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第三十二条 建立健全湘江流域重点水污染物排放总量控制、排污许可、水污染物排放监测和水环境质量监测等水环境保护制度。</w:t>
                  </w:r>
                </w:p>
              </w:tc>
              <w:tc>
                <w:tcPr>
                  <w:tcW w:w="2550" w:type="dxa"/>
                  <w:tcBorders>
                    <w:tl2br w:val="nil"/>
                    <w:tr2bl w:val="nil"/>
                  </w:tcBorders>
                  <w:noWrap w:val="0"/>
                  <w:vAlign w:val="center"/>
                </w:tcPr>
                <w:p w14:paraId="7FCAEDC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本项目生产废水不外排，生活污水经处理后进入铜桥港污水处理厂，处理达标后外排至湘江。</w:t>
                  </w:r>
                </w:p>
              </w:tc>
              <w:tc>
                <w:tcPr>
                  <w:tcW w:w="604" w:type="dxa"/>
                  <w:tcBorders>
                    <w:tl2br w:val="nil"/>
                    <w:tr2bl w:val="nil"/>
                  </w:tcBorders>
                  <w:noWrap w:val="0"/>
                  <w:vAlign w:val="center"/>
                </w:tcPr>
                <w:p w14:paraId="25239C0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37D5A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jc w:val="center"/>
              </w:trPr>
              <w:tc>
                <w:tcPr>
                  <w:tcW w:w="4590" w:type="dxa"/>
                  <w:tcBorders>
                    <w:tl2br w:val="nil"/>
                    <w:tr2bl w:val="nil"/>
                  </w:tcBorders>
                  <w:noWrap w:val="0"/>
                  <w:vAlign w:val="center"/>
                </w:tcPr>
                <w:p w14:paraId="4286E8D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第三十三条 禁止向水体排放、倾倒工业废渣、城镇垃圾和其他废弃物。禁止将含有汞、镉、砷、铬、铅、氰化物、黄磷等的可溶性剧毒废渣向水体排放、倾倒。</w:t>
                  </w:r>
                </w:p>
              </w:tc>
              <w:tc>
                <w:tcPr>
                  <w:tcW w:w="2550" w:type="dxa"/>
                  <w:tcBorders>
                    <w:tl2br w:val="nil"/>
                    <w:tr2bl w:val="nil"/>
                  </w:tcBorders>
                  <w:noWrap w:val="0"/>
                  <w:vAlign w:val="center"/>
                </w:tcPr>
                <w:p w14:paraId="59EE8C3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本项目生产废水不外排，生活污水经处理后进入铜桥港污水处理厂，处理达标后外排至湘江</w:t>
                  </w:r>
                  <w:r>
                    <w:rPr>
                      <w:rFonts w:hint="eastAsia" w:ascii="Times New Roman" w:hAnsi="Times New Roman" w:eastAsia="宋体" w:cs="Times New Roman"/>
                      <w:color w:val="000000"/>
                      <w:kern w:val="2"/>
                      <w:sz w:val="21"/>
                      <w:szCs w:val="24"/>
                      <w:highlight w:val="none"/>
                      <w:lang w:val="en-US" w:eastAsia="zh-CN" w:bidi="ar-SA"/>
                    </w:rPr>
                    <w:t xml:space="preserve">； </w:t>
                  </w:r>
                </w:p>
                <w:p w14:paraId="544D3C4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本项目固废均能妥善处置，不向水体排放、倾倒。</w:t>
                  </w:r>
                </w:p>
              </w:tc>
              <w:tc>
                <w:tcPr>
                  <w:tcW w:w="604" w:type="dxa"/>
                  <w:tcBorders>
                    <w:tl2br w:val="nil"/>
                    <w:tr2bl w:val="nil"/>
                  </w:tcBorders>
                  <w:noWrap w:val="0"/>
                  <w:vAlign w:val="center"/>
                </w:tcPr>
                <w:p w14:paraId="12C2CF9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7D663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jc w:val="center"/>
              </w:trPr>
              <w:tc>
                <w:tcPr>
                  <w:tcW w:w="4590" w:type="dxa"/>
                  <w:tcBorders>
                    <w:tl2br w:val="nil"/>
                    <w:tr2bl w:val="nil"/>
                  </w:tcBorders>
                  <w:noWrap w:val="0"/>
                  <w:vAlign w:val="center"/>
                </w:tcPr>
                <w:p w14:paraId="50B79F5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第三十四条 新建、改建、扩建建设项目，建设单位应当组织进行建设项目环境影响评价，并根据建设项目对环境的影响程度，分别编制环境影响评价报告书、环境影响评价报告表或者填报环境影响登记表。</w:t>
                  </w:r>
                </w:p>
              </w:tc>
              <w:tc>
                <w:tcPr>
                  <w:tcW w:w="2550" w:type="dxa"/>
                  <w:tcBorders>
                    <w:tl2br w:val="nil"/>
                    <w:tr2bl w:val="nil"/>
                  </w:tcBorders>
                  <w:noWrap w:val="0"/>
                  <w:vAlign w:val="center"/>
                </w:tcPr>
                <w:p w14:paraId="4480E56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项目正在进行环境影响评价。</w:t>
                  </w:r>
                </w:p>
              </w:tc>
              <w:tc>
                <w:tcPr>
                  <w:tcW w:w="604" w:type="dxa"/>
                  <w:tcBorders>
                    <w:tl2br w:val="nil"/>
                    <w:tr2bl w:val="nil"/>
                  </w:tcBorders>
                  <w:noWrap w:val="0"/>
                  <w:vAlign w:val="center"/>
                </w:tcPr>
                <w:p w14:paraId="31CE2C3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r w14:paraId="41D84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jc w:val="center"/>
              </w:trPr>
              <w:tc>
                <w:tcPr>
                  <w:tcW w:w="4590" w:type="dxa"/>
                  <w:tcBorders>
                    <w:tl2br w:val="nil"/>
                    <w:tr2bl w:val="nil"/>
                  </w:tcBorders>
                  <w:noWrap w:val="0"/>
                  <w:vAlign w:val="center"/>
                </w:tcPr>
                <w:p w14:paraId="1A5AD9E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第四十九条省人民政府应当组织发展和改革、工业和信息化、生态环境、有色金属工业等部门，编制湘江流域产业发展规划。</w:t>
                  </w:r>
                </w:p>
                <w:p w14:paraId="3C06B6C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禁止在湘江干流岸线一公里范围内新建、扩建化工园区和化工项目。</w:t>
                  </w:r>
                </w:p>
                <w:p w14:paraId="5EE2894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禁止在湘江干流岸线一公里范围内新建、改建、扩建尾矿库；但是以提升安全、生态环境保护水平为目的的改建除外</w:t>
                  </w:r>
                </w:p>
              </w:tc>
              <w:tc>
                <w:tcPr>
                  <w:tcW w:w="2550" w:type="dxa"/>
                  <w:tcBorders>
                    <w:tl2br w:val="nil"/>
                    <w:tr2bl w:val="nil"/>
                  </w:tcBorders>
                  <w:noWrap w:val="0"/>
                  <w:vAlign w:val="center"/>
                </w:tcPr>
                <w:p w14:paraId="71236C9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本项目属于</w:t>
                  </w:r>
                  <w:r>
                    <w:rPr>
                      <w:rFonts w:hint="eastAsia" w:ascii="Times New Roman" w:hAnsi="Times New Roman" w:eastAsia="宋体" w:cs="Times New Roman"/>
                      <w:color w:val="000000"/>
                      <w:kern w:val="2"/>
                      <w:sz w:val="21"/>
                      <w:szCs w:val="24"/>
                      <w:highlight w:val="none"/>
                      <w:lang w:val="en-US" w:eastAsia="zh-CN" w:bidi="ar-SA"/>
                    </w:rPr>
                    <w:t>C3823 配电开关控制设备制造，不属于化工项目及尾矿库项目。</w:t>
                  </w:r>
                </w:p>
              </w:tc>
              <w:tc>
                <w:tcPr>
                  <w:tcW w:w="604" w:type="dxa"/>
                  <w:tcBorders>
                    <w:tl2br w:val="nil"/>
                    <w:tr2bl w:val="nil"/>
                  </w:tcBorders>
                  <w:noWrap w:val="0"/>
                  <w:vAlign w:val="center"/>
                </w:tcPr>
                <w:p w14:paraId="398470E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符合</w:t>
                  </w:r>
                </w:p>
              </w:tc>
            </w:tr>
          </w:tbl>
          <w:p w14:paraId="73ED89EE">
            <w:pPr>
              <w:pStyle w:val="29"/>
              <w:bidi w:val="0"/>
              <w:rPr>
                <w:rFonts w:hint="default" w:ascii="Times New Roman" w:hAnsi="Times New Roman" w:cs="Times New Roman"/>
                <w:color w:val="auto"/>
              </w:rPr>
            </w:pPr>
            <w:r>
              <w:rPr>
                <w:rFonts w:hint="eastAsia" w:ascii="Times New Roman" w:hAnsi="Times New Roman" w:eastAsia="宋体" w:cs="Times New Roman"/>
                <w:color w:val="000000"/>
                <w:kern w:val="2"/>
                <w:sz w:val="24"/>
                <w:szCs w:val="22"/>
                <w:highlight w:val="none"/>
                <w:lang w:val="en-US" w:eastAsia="zh-CN" w:bidi="ar-SA"/>
              </w:rPr>
              <w:t>根据上述内容可知，本项目符合《湖南省湘江保护条例》（2023年修订）相关要求。</w:t>
            </w:r>
          </w:p>
          <w:p w14:paraId="5780D009">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6、与《衡阳市“十四五”空气质量改善规划》符合性分析</w:t>
            </w:r>
          </w:p>
          <w:p w14:paraId="6E72BC2C">
            <w:pPr>
              <w:pStyle w:val="29"/>
              <w:bidi w:val="0"/>
              <w:rPr>
                <w:rFonts w:hint="default" w:ascii="Times New Roman" w:hAnsi="Times New Roman" w:cs="Times New Roman"/>
                <w:color w:val="auto"/>
              </w:rPr>
            </w:pPr>
            <w:r>
              <w:rPr>
                <w:rFonts w:hint="default" w:ascii="Times New Roman" w:hAnsi="Times New Roman" w:cs="Times New Roman"/>
                <w:color w:val="auto"/>
              </w:rPr>
              <w:t>根据规划总体目标要求，衡阳市环境空气质量在稳定达标基础上全面改善、细颗粒物（PM</w:t>
            </w:r>
            <w:r>
              <w:rPr>
                <w:rFonts w:hint="default" w:ascii="Times New Roman" w:hAnsi="Times New Roman" w:cs="Times New Roman"/>
                <w:color w:val="auto"/>
                <w:vertAlign w:val="subscript"/>
              </w:rPr>
              <w:t>2.5</w:t>
            </w:r>
            <w:r>
              <w:rPr>
                <w:rFonts w:hint="default" w:ascii="Times New Roman" w:hAnsi="Times New Roman" w:cs="Times New Roman"/>
                <w:color w:val="auto"/>
              </w:rPr>
              <w:t>）浓度持续下降，臭氧上升趋势得到有效控制，主要大气污染物排放总量持续削减，基本消除重度及以上污染天气。</w:t>
            </w:r>
          </w:p>
          <w:p w14:paraId="4635480B">
            <w:pPr>
              <w:pStyle w:val="29"/>
              <w:bidi w:val="0"/>
              <w:rPr>
                <w:rFonts w:hint="default" w:ascii="Times New Roman" w:hAnsi="Times New Roman" w:cs="Times New Roman"/>
                <w:color w:val="auto"/>
              </w:rPr>
            </w:pPr>
            <w:r>
              <w:rPr>
                <w:rFonts w:hint="default" w:ascii="Times New Roman" w:hAnsi="Times New Roman" w:cs="Times New Roman"/>
                <w:color w:val="auto"/>
              </w:rPr>
              <w:t>根据《衡阳市“十四五”空气质量改善规划》，结合衡阳市大气环境特征和空气质量改善需求，从优化产业、能源、交通结构，强化多污染源减排，深化系统治污，从深化扬尘污染综合治理等方面，实施大气污染物控制战略。预计到2025年，衡阳市城区PM2.5年平均浓度下降至33 μg/m3，空气质量优良天数比例达到92.3%，重度以及污染天数比例控制在1天。</w:t>
            </w:r>
          </w:p>
          <w:p w14:paraId="36CCD4FC">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7、与《衡阳市“十四五”生态环境保护规划》符合性分析</w:t>
            </w:r>
          </w:p>
          <w:p w14:paraId="0E94798F">
            <w:pPr>
              <w:pStyle w:val="29"/>
              <w:bidi w:val="0"/>
              <w:rPr>
                <w:rFonts w:hint="default" w:ascii="Times New Roman" w:hAnsi="Times New Roman" w:cs="Times New Roman"/>
                <w:color w:val="auto"/>
              </w:rPr>
            </w:pPr>
            <w:r>
              <w:rPr>
                <w:rFonts w:hint="default" w:ascii="Times New Roman" w:hAnsi="Times New Roman" w:cs="Times New Roman"/>
                <w:color w:val="auto"/>
              </w:rPr>
              <w:t>根据规划主要指标要求，“十四五”期间共设置生态环境保护主要指标26项，其中约束性指标12项，预期性指标14项，涵盖绿色低碳、环境治理、生态保护、风险防控四大领域</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本项目选取以下相关指标进行分析</w:t>
            </w:r>
            <w:r>
              <w:rPr>
                <w:rFonts w:hint="default" w:ascii="Times New Roman" w:hAnsi="Times New Roman" w:cs="Times New Roman"/>
                <w:color w:val="auto"/>
              </w:rPr>
              <w:t>。</w:t>
            </w:r>
          </w:p>
          <w:p w14:paraId="1F28A562">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000000"/>
                <w:kern w:val="2"/>
                <w:sz w:val="21"/>
                <w:szCs w:val="22"/>
                <w:highlight w:val="none"/>
                <w:lang w:val="en-US" w:eastAsia="zh-CN" w:bidi="ar-SA"/>
              </w:rPr>
            </w:pPr>
            <w:r>
              <w:rPr>
                <w:rFonts w:hint="default" w:ascii="Times New Roman" w:hAnsi="Times New Roman" w:eastAsia="宋体" w:cs="Times New Roman"/>
                <w:b/>
                <w:color w:val="000000"/>
                <w:kern w:val="2"/>
                <w:sz w:val="21"/>
                <w:szCs w:val="22"/>
                <w:highlight w:val="none"/>
                <w:lang w:val="en-US" w:eastAsia="zh-CN" w:bidi="ar-SA"/>
              </w:rPr>
              <w:t>表1-1</w:t>
            </w:r>
            <w:r>
              <w:rPr>
                <w:rFonts w:hint="eastAsia" w:ascii="Times New Roman" w:hAnsi="Times New Roman" w:eastAsia="宋体" w:cs="Times New Roman"/>
                <w:b/>
                <w:color w:val="000000"/>
                <w:kern w:val="2"/>
                <w:sz w:val="21"/>
                <w:szCs w:val="22"/>
                <w:highlight w:val="none"/>
                <w:lang w:val="en-US" w:eastAsia="zh-CN" w:bidi="ar-SA"/>
              </w:rPr>
              <w:t>3</w:t>
            </w:r>
            <w:r>
              <w:rPr>
                <w:rFonts w:hint="default" w:ascii="Times New Roman" w:hAnsi="Times New Roman" w:eastAsia="宋体" w:cs="Times New Roman"/>
                <w:b/>
                <w:color w:val="000000"/>
                <w:kern w:val="2"/>
                <w:sz w:val="21"/>
                <w:szCs w:val="22"/>
                <w:highlight w:val="none"/>
                <w:lang w:val="en-US" w:eastAsia="zh-CN" w:bidi="ar-SA"/>
              </w:rPr>
              <w:t xml:space="preserve">  项目与《衡阳市“十四五”生态环境保护规划》符合性分析情况</w:t>
            </w:r>
          </w:p>
          <w:tbl>
            <w:tblPr>
              <w:tblStyle w:val="19"/>
              <w:tblW w:w="774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936"/>
              <w:gridCol w:w="3165"/>
              <w:gridCol w:w="2188"/>
              <w:gridCol w:w="642"/>
            </w:tblGrid>
            <w:tr w14:paraId="6CB33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14" w:type="dxa"/>
                  <w:gridSpan w:val="3"/>
                  <w:tcBorders>
                    <w:tl2br w:val="nil"/>
                    <w:tr2bl w:val="nil"/>
                  </w:tcBorders>
                  <w:noWrap w:val="0"/>
                  <w:vAlign w:val="center"/>
                </w:tcPr>
                <w:p w14:paraId="3FBA9556">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规划要求</w:t>
                  </w:r>
                </w:p>
              </w:tc>
              <w:tc>
                <w:tcPr>
                  <w:tcW w:w="2188" w:type="dxa"/>
                  <w:tcBorders>
                    <w:tl2br w:val="nil"/>
                    <w:tr2bl w:val="nil"/>
                  </w:tcBorders>
                  <w:noWrap w:val="0"/>
                  <w:vAlign w:val="center"/>
                </w:tcPr>
                <w:p w14:paraId="7DE51581">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kern w:val="2"/>
                      <w:sz w:val="21"/>
                      <w:szCs w:val="24"/>
                      <w:highlight w:val="none"/>
                      <w:lang w:val="en-US" w:eastAsia="zh-CN" w:bidi="ar-SA"/>
                    </w:rPr>
                    <w:t>项目实际情况</w:t>
                  </w:r>
                </w:p>
              </w:tc>
              <w:tc>
                <w:tcPr>
                  <w:tcW w:w="642" w:type="dxa"/>
                  <w:tcBorders>
                    <w:tl2br w:val="nil"/>
                    <w:tr2bl w:val="nil"/>
                  </w:tcBorders>
                  <w:noWrap w:val="0"/>
                  <w:vAlign w:val="center"/>
                </w:tcPr>
                <w:p w14:paraId="6DC516FE">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kern w:val="2"/>
                      <w:sz w:val="21"/>
                      <w:szCs w:val="24"/>
                      <w:highlight w:val="none"/>
                      <w:lang w:val="en-US" w:eastAsia="zh-CN" w:bidi="ar-SA"/>
                    </w:rPr>
                    <w:t>是否符合</w:t>
                  </w:r>
                </w:p>
              </w:tc>
            </w:tr>
            <w:tr w14:paraId="7866A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3" w:type="dxa"/>
                  <w:tcBorders>
                    <w:tl2br w:val="nil"/>
                    <w:tr2bl w:val="nil"/>
                  </w:tcBorders>
                  <w:noWrap w:val="0"/>
                  <w:vAlign w:val="center"/>
                </w:tcPr>
                <w:p w14:paraId="2DBF654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三、致力绿色低碳转型，促进高质量发展</w:t>
                  </w:r>
                </w:p>
              </w:tc>
              <w:tc>
                <w:tcPr>
                  <w:tcW w:w="4101" w:type="dxa"/>
                  <w:gridSpan w:val="2"/>
                  <w:tcBorders>
                    <w:tl2br w:val="nil"/>
                    <w:tr2bl w:val="nil"/>
                  </w:tcBorders>
                  <w:noWrap w:val="0"/>
                  <w:vAlign w:val="center"/>
                </w:tcPr>
                <w:p w14:paraId="3502EC71">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（一）优化国土空间保护格局。</w:t>
                  </w:r>
                </w:p>
                <w:p w14:paraId="36368A58">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（二）推动产业结构绿色转型。</w:t>
                  </w:r>
                </w:p>
                <w:p w14:paraId="68428544">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（三）推动能源结构持续优化。</w:t>
                  </w:r>
                </w:p>
                <w:p w14:paraId="488C2D15">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（四）推进运输结构优化。</w:t>
                  </w:r>
                </w:p>
                <w:p w14:paraId="7B5150D6">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（五）积极应对气候变化。</w:t>
                  </w:r>
                </w:p>
                <w:p w14:paraId="5649566F">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（六）倡导绿色低碳生活方式。</w:t>
                  </w:r>
                </w:p>
              </w:tc>
              <w:tc>
                <w:tcPr>
                  <w:tcW w:w="2188" w:type="dxa"/>
                  <w:tcBorders>
                    <w:tl2br w:val="nil"/>
                    <w:tr2bl w:val="nil"/>
                  </w:tcBorders>
                  <w:noWrap w:val="0"/>
                  <w:vAlign w:val="center"/>
                </w:tcPr>
                <w:p w14:paraId="51F11B8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本项目严格落实《湖南省生态环境分区管控总体管控要求暨省级以上产业园区生态环境准入清单》（湘环函〔2024〕26号）中衡阳高新技术产业开发区管控要求</w:t>
                  </w:r>
                  <w:r>
                    <w:rPr>
                      <w:rFonts w:hint="eastAsia" w:ascii="Times New Roman" w:hAnsi="Times New Roman" w:eastAsia="宋体" w:cs="Times New Roman"/>
                      <w:color w:val="000000"/>
                      <w:kern w:val="2"/>
                      <w:sz w:val="21"/>
                      <w:szCs w:val="24"/>
                      <w:highlight w:val="none"/>
                      <w:lang w:val="en-US" w:eastAsia="zh-CN" w:bidi="ar-SA"/>
                    </w:rPr>
                    <w:t>。</w:t>
                  </w:r>
                </w:p>
              </w:tc>
              <w:tc>
                <w:tcPr>
                  <w:tcW w:w="642" w:type="dxa"/>
                  <w:tcBorders>
                    <w:tl2br w:val="nil"/>
                    <w:tr2bl w:val="nil"/>
                  </w:tcBorders>
                  <w:noWrap w:val="0"/>
                  <w:vAlign w:val="center"/>
                </w:tcPr>
                <w:p w14:paraId="48E0A5D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符合</w:t>
                  </w:r>
                </w:p>
              </w:tc>
            </w:tr>
            <w:tr w14:paraId="748F4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6" w:hRule="atLeast"/>
                <w:jc w:val="center"/>
              </w:trPr>
              <w:tc>
                <w:tcPr>
                  <w:tcW w:w="813" w:type="dxa"/>
                  <w:vMerge w:val="restart"/>
                  <w:tcBorders>
                    <w:tl2br w:val="nil"/>
                    <w:tr2bl w:val="nil"/>
                  </w:tcBorders>
                  <w:noWrap w:val="0"/>
                  <w:vAlign w:val="center"/>
                </w:tcPr>
                <w:p w14:paraId="42FCCEC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四、深入打好污染防治攻坚战</w:t>
                  </w:r>
                </w:p>
              </w:tc>
              <w:tc>
                <w:tcPr>
                  <w:tcW w:w="936" w:type="dxa"/>
                  <w:vMerge w:val="restart"/>
                  <w:tcBorders>
                    <w:tl2br w:val="nil"/>
                    <w:tr2bl w:val="nil"/>
                  </w:tcBorders>
                  <w:noWrap w:val="0"/>
                  <w:vAlign w:val="center"/>
                </w:tcPr>
                <w:p w14:paraId="73808CC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专栏1 “蓝天”重点工程</w:t>
                  </w:r>
                </w:p>
              </w:tc>
              <w:tc>
                <w:tcPr>
                  <w:tcW w:w="3165" w:type="dxa"/>
                  <w:vMerge w:val="restart"/>
                  <w:tcBorders>
                    <w:tl2br w:val="nil"/>
                    <w:tr2bl w:val="nil"/>
                  </w:tcBorders>
                  <w:noWrap w:val="0"/>
                  <w:vAlign w:val="center"/>
                </w:tcPr>
                <w:p w14:paraId="33D66ED3">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大气污染协同治理工程。</w:t>
                  </w:r>
                </w:p>
                <w:p w14:paraId="7314A998">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（1）实施燃煤锅炉淘汰退出，重点行业绿色转型升级与综合整治、清洁能源替代、集中供热、煤炭清洁利用等，城市建筑施工扬尘控制、道路保洁、空气质量预警预报等工程。</w:t>
                  </w:r>
                </w:p>
                <w:p w14:paraId="09288961">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（2）开展工业 VOCs 综合治理，工业 NOx 深度治理，柴油机排放控制工程。</w:t>
                  </w:r>
                </w:p>
                <w:p w14:paraId="5AFA8B6E">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（3）面源污染系统治理工程（扬尘、秸秆综合利用、餐饮油烟、恶臭）。</w:t>
                  </w:r>
                </w:p>
                <w:p w14:paraId="0104BDE8">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非电行业超低排放改造。</w:t>
                  </w:r>
                </w:p>
                <w:p w14:paraId="625B547F">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（1）水泥企业实施全流程深度治理项目。</w:t>
                  </w:r>
                </w:p>
                <w:p w14:paraId="00DFE4AF">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（2）重点行业工业炉窑主要大气污染物提标改造项目。</w:t>
                  </w:r>
                </w:p>
                <w:p w14:paraId="5FA2F5FC">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（3）钢铁行业超低排放改造项目。</w:t>
                  </w:r>
                </w:p>
              </w:tc>
              <w:tc>
                <w:tcPr>
                  <w:tcW w:w="2188" w:type="dxa"/>
                  <w:tcBorders>
                    <w:tl2br w:val="nil"/>
                    <w:tr2bl w:val="nil"/>
                  </w:tcBorders>
                  <w:noWrap w:val="0"/>
                  <w:vAlign w:val="center"/>
                </w:tcPr>
                <w:p w14:paraId="5D1738EE">
                  <w:pPr>
                    <w:widowControl w:val="0"/>
                    <w:bidi w:val="0"/>
                    <w:adjustRightInd/>
                    <w:snapToGrid/>
                    <w:spacing w:line="240" w:lineRule="auto"/>
                    <w:ind w:firstLine="0" w:firstLineChars="0"/>
                    <w:jc w:val="both"/>
                    <w:rPr>
                      <w:rFonts w:hint="eastAsia"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本项目不涉及燃煤锅炉；</w:t>
                  </w:r>
                </w:p>
                <w:p w14:paraId="729B1038">
                  <w:pPr>
                    <w:widowControl w:val="0"/>
                    <w:bidi w:val="0"/>
                    <w:adjustRightInd/>
                    <w:snapToGrid/>
                    <w:spacing w:line="240" w:lineRule="auto"/>
                    <w:ind w:firstLine="0" w:firstLineChars="0"/>
                    <w:jc w:val="both"/>
                    <w:rPr>
                      <w:rFonts w:hint="eastAsia" w:ascii="Times New Roman" w:hAnsi="Times New Roman" w:eastAsia="宋体" w:cs="Times New Roman"/>
                      <w:color w:val="000000"/>
                      <w:kern w:val="2"/>
                      <w:sz w:val="21"/>
                      <w:szCs w:val="24"/>
                      <w:highlight w:val="none"/>
                      <w:lang w:val="en-US" w:eastAsia="zh-CN" w:bidi="ar-SA"/>
                    </w:rPr>
                  </w:pPr>
                </w:p>
                <w:p w14:paraId="3FF95CC8">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 xml:space="preserve">本项目运营期VOCs治理情况：喷漆烤漆废气经催化燃烧装置处理后由15m排气筒（DA001）高空排放。 </w:t>
                  </w:r>
                </w:p>
              </w:tc>
              <w:tc>
                <w:tcPr>
                  <w:tcW w:w="642" w:type="dxa"/>
                  <w:vMerge w:val="restart"/>
                  <w:tcBorders>
                    <w:tl2br w:val="nil"/>
                    <w:tr2bl w:val="nil"/>
                  </w:tcBorders>
                  <w:noWrap w:val="0"/>
                  <w:vAlign w:val="center"/>
                </w:tcPr>
                <w:p w14:paraId="466B156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kern w:val="2"/>
                      <w:sz w:val="21"/>
                      <w:szCs w:val="24"/>
                      <w:highlight w:val="none"/>
                      <w:lang w:val="en-US" w:eastAsia="zh-CN" w:bidi="ar-SA"/>
                    </w:rPr>
                    <w:t>符合</w:t>
                  </w:r>
                </w:p>
              </w:tc>
            </w:tr>
            <w:tr w14:paraId="5AD86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6" w:hRule="atLeast"/>
                <w:jc w:val="center"/>
              </w:trPr>
              <w:tc>
                <w:tcPr>
                  <w:tcW w:w="813" w:type="dxa"/>
                  <w:vMerge w:val="continue"/>
                  <w:tcBorders>
                    <w:tl2br w:val="nil"/>
                    <w:tr2bl w:val="nil"/>
                  </w:tcBorders>
                  <w:noWrap w:val="0"/>
                  <w:vAlign w:val="center"/>
                </w:tcPr>
                <w:p w14:paraId="70B11D8E">
                  <w:pPr>
                    <w:widowControl w:val="0"/>
                    <w:bidi w:val="0"/>
                    <w:adjustRightInd/>
                    <w:snapToGrid/>
                    <w:spacing w:line="240" w:lineRule="auto"/>
                    <w:ind w:firstLine="0" w:firstLineChars="0"/>
                    <w:jc w:val="center"/>
                    <w:rPr>
                      <w:rFonts w:hint="eastAsia" w:ascii="宋体" w:hAnsi="宋体" w:eastAsia="宋体" w:cs="宋体"/>
                      <w:color w:val="000000"/>
                      <w:kern w:val="2"/>
                      <w:sz w:val="21"/>
                      <w:szCs w:val="24"/>
                      <w:highlight w:val="none"/>
                      <w:lang w:val="en-US" w:eastAsia="zh-CN" w:bidi="ar-SA"/>
                    </w:rPr>
                  </w:pPr>
                </w:p>
              </w:tc>
              <w:tc>
                <w:tcPr>
                  <w:tcW w:w="936" w:type="dxa"/>
                  <w:vMerge w:val="continue"/>
                  <w:tcBorders>
                    <w:tl2br w:val="nil"/>
                    <w:tr2bl w:val="nil"/>
                  </w:tcBorders>
                  <w:noWrap w:val="0"/>
                  <w:vAlign w:val="center"/>
                </w:tcPr>
                <w:p w14:paraId="4D3D27E9">
                  <w:pPr>
                    <w:widowControl w:val="0"/>
                    <w:bidi w:val="0"/>
                    <w:adjustRightInd/>
                    <w:snapToGrid/>
                    <w:spacing w:line="240" w:lineRule="auto"/>
                    <w:ind w:firstLine="0" w:firstLineChars="0"/>
                    <w:jc w:val="center"/>
                    <w:rPr>
                      <w:rFonts w:hint="eastAsia" w:ascii="宋体" w:hAnsi="宋体" w:eastAsia="宋体" w:cs="宋体"/>
                      <w:color w:val="000000"/>
                      <w:kern w:val="2"/>
                      <w:sz w:val="21"/>
                      <w:szCs w:val="24"/>
                      <w:highlight w:val="none"/>
                      <w:lang w:val="en-US" w:eastAsia="zh-CN" w:bidi="ar-SA"/>
                    </w:rPr>
                  </w:pPr>
                </w:p>
              </w:tc>
              <w:tc>
                <w:tcPr>
                  <w:tcW w:w="3165" w:type="dxa"/>
                  <w:vMerge w:val="continue"/>
                  <w:tcBorders>
                    <w:tl2br w:val="nil"/>
                    <w:tr2bl w:val="nil"/>
                  </w:tcBorders>
                  <w:noWrap w:val="0"/>
                  <w:vAlign w:val="center"/>
                </w:tcPr>
                <w:p w14:paraId="083985BE">
                  <w:pPr>
                    <w:widowControl w:val="0"/>
                    <w:bidi w:val="0"/>
                    <w:adjustRightInd/>
                    <w:snapToGrid/>
                    <w:spacing w:line="240" w:lineRule="auto"/>
                    <w:ind w:firstLine="0" w:firstLineChars="0"/>
                    <w:jc w:val="center"/>
                    <w:rPr>
                      <w:rFonts w:hint="eastAsia" w:ascii="宋体" w:hAnsi="宋体" w:eastAsia="宋体" w:cs="宋体"/>
                      <w:color w:val="000000"/>
                      <w:kern w:val="2"/>
                      <w:sz w:val="21"/>
                      <w:szCs w:val="24"/>
                      <w:highlight w:val="none"/>
                      <w:lang w:val="en-US" w:eastAsia="zh-CN" w:bidi="ar-SA"/>
                    </w:rPr>
                  </w:pPr>
                </w:p>
              </w:tc>
              <w:tc>
                <w:tcPr>
                  <w:tcW w:w="2188" w:type="dxa"/>
                  <w:tcBorders>
                    <w:tl2br w:val="nil"/>
                    <w:tr2bl w:val="nil"/>
                  </w:tcBorders>
                  <w:noWrap w:val="0"/>
                  <w:vAlign w:val="center"/>
                </w:tcPr>
                <w:p w14:paraId="3D67FA7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本项目属于</w:t>
                  </w:r>
                  <w:r>
                    <w:rPr>
                      <w:rFonts w:hint="eastAsia" w:ascii="Times New Roman" w:hAnsi="Times New Roman" w:eastAsia="宋体" w:cs="Times New Roman"/>
                      <w:color w:val="000000"/>
                      <w:kern w:val="2"/>
                      <w:sz w:val="21"/>
                      <w:szCs w:val="24"/>
                      <w:highlight w:val="none"/>
                      <w:lang w:val="en-US" w:eastAsia="zh-CN" w:bidi="ar-SA"/>
                    </w:rPr>
                    <w:t>C3823 配电开关控制设备制造</w:t>
                  </w:r>
                  <w:r>
                    <w:rPr>
                      <w:rFonts w:hint="default" w:ascii="Times New Roman" w:hAnsi="Times New Roman" w:eastAsia="宋体" w:cs="Times New Roman"/>
                      <w:color w:val="000000"/>
                      <w:kern w:val="2"/>
                      <w:sz w:val="21"/>
                      <w:szCs w:val="24"/>
                      <w:highlight w:val="none"/>
                      <w:lang w:val="en-US" w:eastAsia="zh-CN" w:bidi="ar-SA"/>
                    </w:rPr>
                    <w:t>，</w:t>
                  </w:r>
                  <w:r>
                    <w:rPr>
                      <w:rFonts w:hint="eastAsia" w:ascii="Times New Roman" w:hAnsi="Times New Roman" w:eastAsia="宋体" w:cs="Times New Roman"/>
                      <w:color w:val="000000"/>
                      <w:kern w:val="2"/>
                      <w:sz w:val="21"/>
                      <w:szCs w:val="24"/>
                      <w:highlight w:val="none"/>
                      <w:lang w:val="en-US" w:eastAsia="zh-CN" w:bidi="ar-SA"/>
                    </w:rPr>
                    <w:t xml:space="preserve">不涉及水泥、工业炉窑、钢铁等行业。 </w:t>
                  </w:r>
                </w:p>
              </w:tc>
              <w:tc>
                <w:tcPr>
                  <w:tcW w:w="642" w:type="dxa"/>
                  <w:vMerge w:val="continue"/>
                  <w:tcBorders>
                    <w:tl2br w:val="nil"/>
                    <w:tr2bl w:val="nil"/>
                  </w:tcBorders>
                  <w:noWrap w:val="0"/>
                  <w:vAlign w:val="center"/>
                </w:tcPr>
                <w:p w14:paraId="0F441AC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bl>
          <w:p w14:paraId="0E7E0DA0">
            <w:pPr>
              <w:pStyle w:val="29"/>
              <w:bidi w:val="0"/>
              <w:rPr>
                <w:rFonts w:hint="default" w:ascii="Times New Roman" w:hAnsi="Times New Roman" w:cs="Times New Roman"/>
                <w:color w:val="auto"/>
              </w:rPr>
            </w:pPr>
            <w:r>
              <w:rPr>
                <w:rFonts w:hint="default" w:ascii="Times New Roman" w:hAnsi="Times New Roman" w:cs="Times New Roman"/>
                <w:color w:val="auto"/>
              </w:rPr>
              <w:t>在落实好本环评提出的污染防治措施后，项目运营期对区域环境影响较小，符合《衡阳市“十四五”生态环境保护规划》相关要求。</w:t>
            </w:r>
          </w:p>
          <w:p w14:paraId="75597E14">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8、与《湖南省发展和改革委员会关于印发&lt;湖南省“两高”项目管理目录&gt; 的通知》（湘发改环资〔2021〕968号）符合性分析</w:t>
            </w:r>
          </w:p>
          <w:p w14:paraId="399ED60C">
            <w:pPr>
              <w:pStyle w:val="29"/>
              <w:bidi w:val="0"/>
              <w:rPr>
                <w:rFonts w:hint="default" w:ascii="Times New Roman" w:hAnsi="Times New Roman" w:cs="Times New Roman"/>
                <w:color w:val="auto"/>
              </w:rPr>
            </w:pPr>
            <w:r>
              <w:rPr>
                <w:rFonts w:hint="default" w:ascii="Times New Roman" w:hAnsi="Times New Roman" w:cs="Times New Roman"/>
                <w:color w:val="auto"/>
              </w:rPr>
              <w:t>本项目与《湖南省发展和改革委员会关于印发&lt;湖南省“两高”项目管理目录&gt; 的通知》（湘发改环资〔2021〕968号）</w:t>
            </w:r>
            <w:r>
              <w:rPr>
                <w:rFonts w:hint="eastAsia" w:ascii="Times New Roman" w:hAnsi="Times New Roman" w:cs="Times New Roman"/>
                <w:color w:val="auto"/>
                <w:lang w:val="en-US" w:eastAsia="zh-CN"/>
              </w:rPr>
              <w:t>比对</w:t>
            </w:r>
            <w:r>
              <w:rPr>
                <w:rFonts w:hint="default" w:ascii="Times New Roman" w:hAnsi="Times New Roman" w:cs="Times New Roman"/>
                <w:color w:val="auto"/>
              </w:rPr>
              <w:t>，本项目不属于“两高”项目。</w:t>
            </w:r>
          </w:p>
          <w:p w14:paraId="1010A3AF">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9、与《挥发性有机物（VOCs）污染防治技术政策》符合性分析</w:t>
            </w:r>
          </w:p>
          <w:p w14:paraId="0E1D2B9E">
            <w:pPr>
              <w:pStyle w:val="29"/>
              <w:bidi w:val="0"/>
              <w:rPr>
                <w:rFonts w:hint="eastAsia" w:ascii="Times New Roman" w:hAnsi="Times New Roman" w:cs="Times New Roman"/>
                <w:color w:val="auto"/>
                <w:lang w:val="en-US" w:eastAsia="zh-CN"/>
              </w:rPr>
            </w:pPr>
            <w:r>
              <w:rPr>
                <w:rFonts w:hint="default" w:ascii="Times New Roman" w:hAnsi="Times New Roman" w:cs="Times New Roman"/>
                <w:color w:val="auto"/>
              </w:rPr>
              <w:t>本项目与《挥发性有机物（VOCs）污染防治技术政策》符合性分析情况见表</w:t>
            </w:r>
            <w:r>
              <w:rPr>
                <w:rFonts w:hint="eastAsia" w:ascii="Times New Roman" w:hAnsi="Times New Roman" w:cs="Times New Roman"/>
                <w:color w:val="auto"/>
                <w:lang w:val="en-US" w:eastAsia="zh-CN"/>
              </w:rPr>
              <w:t>1-8。</w:t>
            </w:r>
          </w:p>
          <w:p w14:paraId="32645C65">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表1-8  项目与《挥发性有机物（VOCs）污染防治技术政策》符合性分析情况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713"/>
              <w:gridCol w:w="2237"/>
              <w:gridCol w:w="813"/>
            </w:tblGrid>
            <w:tr w14:paraId="17B3B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dxa"/>
                  <w:tcBorders>
                    <w:top w:val="single" w:color="auto" w:sz="12" w:space="0"/>
                    <w:left w:val="nil"/>
                    <w:bottom w:val="single" w:color="auto" w:sz="4" w:space="0"/>
                    <w:right w:val="single" w:color="auto" w:sz="4" w:space="0"/>
                    <w:tl2br w:val="nil"/>
                    <w:tr2bl w:val="nil"/>
                  </w:tcBorders>
                  <w:noWrap w:val="0"/>
                  <w:vAlign w:val="center"/>
                </w:tcPr>
                <w:p w14:paraId="0C36D47B">
                  <w:pPr>
                    <w:pStyle w:val="30"/>
                    <w:rPr>
                      <w:rFonts w:hint="default" w:ascii="Times New Roman" w:hAnsi="Times New Roman" w:cs="Times New Roman"/>
                      <w:b/>
                      <w:color w:val="auto"/>
                      <w:sz w:val="21"/>
                      <w:szCs w:val="24"/>
                    </w:rPr>
                  </w:pPr>
                  <w:r>
                    <w:rPr>
                      <w:rFonts w:hint="default" w:ascii="Times New Roman" w:hAnsi="Times New Roman" w:cs="Times New Roman"/>
                      <w:b/>
                      <w:color w:val="auto"/>
                      <w:sz w:val="21"/>
                      <w:szCs w:val="24"/>
                    </w:rPr>
                    <w:t>类别</w:t>
                  </w:r>
                </w:p>
              </w:tc>
              <w:tc>
                <w:tcPr>
                  <w:tcW w:w="370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D72D6D6">
                  <w:pPr>
                    <w:pStyle w:val="30"/>
                    <w:rPr>
                      <w:rFonts w:hint="default" w:ascii="Times New Roman" w:hAnsi="Times New Roman" w:cs="Times New Roman"/>
                      <w:b/>
                      <w:color w:val="auto"/>
                      <w:sz w:val="21"/>
                      <w:szCs w:val="24"/>
                    </w:rPr>
                  </w:pPr>
                  <w:r>
                    <w:rPr>
                      <w:rFonts w:hint="default" w:ascii="Times New Roman" w:hAnsi="Times New Roman" w:cs="Times New Roman"/>
                      <w:b/>
                      <w:color w:val="auto"/>
                      <w:sz w:val="21"/>
                      <w:szCs w:val="24"/>
                    </w:rPr>
                    <w:t>《挥发性有机物（VOCs）污染防治技术政策》相关要求</w:t>
                  </w:r>
                </w:p>
              </w:tc>
              <w:tc>
                <w:tcPr>
                  <w:tcW w:w="223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8C198CE">
                  <w:pPr>
                    <w:pStyle w:val="30"/>
                    <w:rPr>
                      <w:rFonts w:hint="default" w:ascii="Times New Roman" w:hAnsi="Times New Roman" w:cs="Times New Roman"/>
                      <w:b/>
                      <w:color w:val="auto"/>
                      <w:sz w:val="21"/>
                      <w:szCs w:val="24"/>
                    </w:rPr>
                  </w:pPr>
                  <w:r>
                    <w:rPr>
                      <w:rFonts w:hint="default" w:ascii="Times New Roman" w:hAnsi="Times New Roman" w:cs="Times New Roman"/>
                      <w:b/>
                      <w:color w:val="auto"/>
                      <w:sz w:val="21"/>
                      <w:szCs w:val="24"/>
                    </w:rPr>
                    <w:t>项目实际情况</w:t>
                  </w:r>
                </w:p>
              </w:tc>
              <w:tc>
                <w:tcPr>
                  <w:tcW w:w="810" w:type="dxa"/>
                  <w:tcBorders>
                    <w:top w:val="single" w:color="auto" w:sz="12" w:space="0"/>
                    <w:left w:val="single" w:color="auto" w:sz="4" w:space="0"/>
                    <w:bottom w:val="single" w:color="auto" w:sz="4" w:space="0"/>
                    <w:right w:val="nil"/>
                    <w:tl2br w:val="nil"/>
                    <w:tr2bl w:val="nil"/>
                  </w:tcBorders>
                  <w:noWrap w:val="0"/>
                  <w:vAlign w:val="center"/>
                </w:tcPr>
                <w:p w14:paraId="0123B8B3">
                  <w:pPr>
                    <w:pStyle w:val="30"/>
                    <w:rPr>
                      <w:rFonts w:hint="default" w:ascii="Times New Roman" w:hAnsi="Times New Roman" w:cs="Times New Roman"/>
                      <w:b/>
                      <w:color w:val="auto"/>
                      <w:sz w:val="21"/>
                      <w:szCs w:val="24"/>
                    </w:rPr>
                  </w:pPr>
                  <w:r>
                    <w:rPr>
                      <w:rFonts w:hint="default" w:ascii="Times New Roman" w:hAnsi="Times New Roman" w:cs="Times New Roman"/>
                      <w:b/>
                      <w:color w:val="auto"/>
                      <w:sz w:val="21"/>
                      <w:szCs w:val="24"/>
                    </w:rPr>
                    <w:t>是否符合</w:t>
                  </w:r>
                </w:p>
              </w:tc>
            </w:tr>
            <w:tr w14:paraId="0FDF1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dxa"/>
                  <w:tcBorders>
                    <w:top w:val="single" w:color="auto" w:sz="4" w:space="0"/>
                    <w:left w:val="nil"/>
                    <w:bottom w:val="single" w:color="auto" w:sz="4" w:space="0"/>
                    <w:right w:val="single" w:color="auto" w:sz="4" w:space="0"/>
                    <w:tl2br w:val="nil"/>
                    <w:tr2bl w:val="nil"/>
                  </w:tcBorders>
                  <w:noWrap w:val="0"/>
                  <w:vAlign w:val="center"/>
                </w:tcPr>
                <w:p w14:paraId="4B91B8E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源头和过程控制</w:t>
                  </w:r>
                </w:p>
              </w:tc>
              <w:tc>
                <w:tcPr>
                  <w:tcW w:w="3705" w:type="dxa"/>
                  <w:tcBorders>
                    <w:top w:val="single" w:color="auto" w:sz="4" w:space="0"/>
                    <w:left w:val="single" w:color="auto" w:sz="4" w:space="0"/>
                    <w:bottom w:val="single" w:color="auto" w:sz="4" w:space="0"/>
                    <w:right w:val="single" w:color="auto" w:sz="4" w:space="0"/>
                    <w:tl2br w:val="nil"/>
                    <w:tr2bl w:val="nil"/>
                  </w:tcBorders>
                  <w:noWrap w:val="0"/>
                  <w:vAlign w:val="top"/>
                </w:tcPr>
                <w:p w14:paraId="31E3A4F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（十）在涂装、印刷、粘合、工业清洗等含 VOCs 产品的使用过程中的 VOCs 污染防治技术措施包括：</w:t>
                  </w:r>
                </w:p>
                <w:p w14:paraId="15666135">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1.鼓励使用通过环境标志产品认证的环保型涂料、油墨、胶粘剂和清洗剂；</w:t>
                  </w:r>
                </w:p>
                <w:p w14:paraId="5E30FBFE">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根据涂装工艺的不同，鼓励使用水性涂料、高固份涂料、粉末涂料、紫外光固化（UV）涂料等环保型涂料；推广采用静电喷涂、淋涂、辊涂、浸涂等效率较高的涂装工艺；应尽量避免无VOCs净化、回收措施的露天喷涂作业；</w:t>
                  </w:r>
                </w:p>
                <w:p w14:paraId="1846CBDA">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3.含 VOCs 产品的使用过程中，应采取废气收集措施，提高废气收集效率，减少废气的无组织排放与逸散，并对收集后的废气进行回收或处理后达标排放。</w:t>
                  </w:r>
                </w:p>
              </w:tc>
              <w:tc>
                <w:tcPr>
                  <w:tcW w:w="2232" w:type="dxa"/>
                  <w:vMerge w:val="restart"/>
                  <w:tcBorders>
                    <w:top w:val="single" w:color="auto" w:sz="4" w:space="0"/>
                    <w:left w:val="single" w:color="auto" w:sz="4" w:space="0"/>
                    <w:right w:val="single" w:color="auto" w:sz="4" w:space="0"/>
                    <w:tl2br w:val="nil"/>
                    <w:tr2bl w:val="nil"/>
                  </w:tcBorders>
                  <w:noWrap w:val="0"/>
                  <w:vAlign w:val="center"/>
                </w:tcPr>
                <w:p w14:paraId="04E353FA">
                  <w:pPr>
                    <w:pStyle w:val="30"/>
                    <w:bidi w:val="0"/>
                    <w:rPr>
                      <w:rFonts w:hint="default" w:ascii="Times New Roman" w:hAnsi="Times New Roman" w:cs="Times New Roman"/>
                      <w:color w:val="auto"/>
                      <w:u w:val="single"/>
                      <w:lang w:val="en-US" w:eastAsia="zh-CN"/>
                    </w:rPr>
                  </w:pPr>
                </w:p>
                <w:p w14:paraId="6B240918">
                  <w:pPr>
                    <w:pStyle w:val="30"/>
                    <w:bidi w:val="0"/>
                    <w:rPr>
                      <w:rFonts w:hint="default" w:ascii="Times New Roman" w:hAnsi="Times New Roman" w:cs="Times New Roman"/>
                      <w:color w:val="auto"/>
                      <w:u w:val="single"/>
                      <w:lang w:val="en-US" w:eastAsia="zh-CN"/>
                    </w:rPr>
                  </w:pPr>
                  <w:r>
                    <w:rPr>
                      <w:rFonts w:hint="eastAsia" w:ascii="Times New Roman" w:hAnsi="Times New Roman" w:cs="Times New Roman"/>
                      <w:color w:val="auto"/>
                      <w:u w:val="single"/>
                      <w:lang w:val="en-US" w:eastAsia="zh-CN"/>
                    </w:rPr>
                    <w:t>1、根据建设单位提供的油漆MSDS，使用的底漆、面漆满足《GB/T 38597-2020》中低挥发性有机化合物涂料要求；</w:t>
                  </w:r>
                </w:p>
                <w:p w14:paraId="760E9BE9">
                  <w:pPr>
                    <w:pStyle w:val="30"/>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本项目</w:t>
                  </w:r>
                  <w:r>
                    <w:rPr>
                      <w:rFonts w:hint="eastAsia" w:ascii="Times New Roman" w:hAnsi="Times New Roman" w:cs="Times New Roman"/>
                      <w:color w:val="auto"/>
                      <w:lang w:val="en-US" w:eastAsia="zh-CN"/>
                    </w:rPr>
                    <w:t>有机废气</w:t>
                  </w:r>
                  <w:r>
                    <w:rPr>
                      <w:rFonts w:hint="default" w:ascii="Times New Roman" w:hAnsi="Times New Roman" w:cs="Times New Roman"/>
                      <w:color w:val="auto"/>
                      <w:sz w:val="21"/>
                      <w:szCs w:val="21"/>
                      <w:lang w:val="en-US" w:eastAsia="zh-CN"/>
                    </w:rPr>
                    <w:t>经</w:t>
                  </w:r>
                  <w:r>
                    <w:rPr>
                      <w:rFonts w:hint="eastAsia" w:ascii="Times New Roman" w:hAnsi="Times New Roman" w:cs="Times New Roman"/>
                      <w:color w:val="auto"/>
                      <w:sz w:val="21"/>
                      <w:szCs w:val="21"/>
                      <w:lang w:val="en-US" w:eastAsia="zh-CN"/>
                    </w:rPr>
                    <w:t>密闭喷漆烤漆房</w:t>
                  </w:r>
                  <w:r>
                    <w:rPr>
                      <w:rFonts w:hint="default" w:ascii="Times New Roman" w:hAnsi="Times New Roman" w:cs="Times New Roman"/>
                      <w:color w:val="auto"/>
                      <w:sz w:val="21"/>
                      <w:szCs w:val="21"/>
                    </w:rPr>
                    <w:t>集气设施+</w:t>
                  </w:r>
                  <w:r>
                    <w:rPr>
                      <w:rFonts w:hint="eastAsia" w:ascii="Times New Roman" w:hAnsi="Times New Roman" w:cs="Times New Roman"/>
                      <w:color w:val="auto"/>
                      <w:sz w:val="21"/>
                      <w:szCs w:val="21"/>
                      <w:lang w:val="en-US" w:eastAsia="zh-CN"/>
                    </w:rPr>
                    <w:t>活性炭吸附脱附+催化燃烧装置</w:t>
                  </w:r>
                  <w:r>
                    <w:rPr>
                      <w:rFonts w:hint="default" w:ascii="Times New Roman" w:hAnsi="Times New Roman" w:cs="Times New Roman"/>
                      <w:color w:val="auto"/>
                      <w:sz w:val="21"/>
                      <w:szCs w:val="21"/>
                      <w:lang w:val="en-US" w:eastAsia="zh-CN"/>
                    </w:rPr>
                    <w:t>收集处理后，通过</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5m排气筒（DA00</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）外排</w:t>
                  </w:r>
                </w:p>
              </w:tc>
              <w:tc>
                <w:tcPr>
                  <w:tcW w:w="810" w:type="dxa"/>
                  <w:tcBorders>
                    <w:top w:val="single" w:color="auto" w:sz="4" w:space="0"/>
                    <w:left w:val="single" w:color="auto" w:sz="4" w:space="0"/>
                    <w:bottom w:val="single" w:color="auto" w:sz="4" w:space="0"/>
                    <w:right w:val="nil"/>
                    <w:tl2br w:val="nil"/>
                    <w:tr2bl w:val="nil"/>
                  </w:tcBorders>
                  <w:noWrap w:val="0"/>
                  <w:vAlign w:val="center"/>
                </w:tcPr>
                <w:p w14:paraId="6D220031">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6FD77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673" w:type="dxa"/>
                  <w:vMerge w:val="restart"/>
                  <w:tcBorders>
                    <w:top w:val="single" w:color="auto" w:sz="4" w:space="0"/>
                    <w:left w:val="nil"/>
                    <w:bottom w:val="single" w:color="auto" w:sz="4" w:space="0"/>
                    <w:right w:val="single" w:color="auto" w:sz="4" w:space="0"/>
                    <w:tl2br w:val="nil"/>
                    <w:tr2bl w:val="nil"/>
                  </w:tcBorders>
                  <w:noWrap w:val="0"/>
                  <w:vAlign w:val="center"/>
                </w:tcPr>
                <w:p w14:paraId="52FA7149">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末端治理与综合利</w:t>
                  </w:r>
                </w:p>
                <w:p w14:paraId="56365DA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用</w:t>
                  </w:r>
                </w:p>
              </w:tc>
              <w:tc>
                <w:tcPr>
                  <w:tcW w:w="3705" w:type="dxa"/>
                  <w:tcBorders>
                    <w:top w:val="single" w:color="auto" w:sz="4" w:space="0"/>
                    <w:left w:val="single" w:color="auto" w:sz="4" w:space="0"/>
                    <w:bottom w:val="single" w:color="auto" w:sz="4" w:space="0"/>
                    <w:right w:val="single" w:color="auto" w:sz="4" w:space="0"/>
                    <w:tl2br w:val="nil"/>
                    <w:tr2bl w:val="nil"/>
                  </w:tcBorders>
                  <w:noWrap w:val="0"/>
                  <w:vAlign w:val="top"/>
                </w:tcPr>
                <w:p w14:paraId="4CAA65D9">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（十五）对于含低浓度 VOCs的废气，有回收价值时可采用吸附技术、吸收技术对有机溶剂回收后达标排放；不宜回收时，可采用吸附浓缩燃烧技术、生物技术、吸收技术、等离子体技术或紫外光高级氧化技术等净化后达标排放。</w:t>
                  </w:r>
                </w:p>
              </w:tc>
              <w:tc>
                <w:tcPr>
                  <w:tcW w:w="2232" w:type="dxa"/>
                  <w:vMerge w:val="continue"/>
                  <w:tcBorders>
                    <w:left w:val="single" w:color="auto" w:sz="4" w:space="0"/>
                    <w:bottom w:val="single" w:color="auto" w:sz="4" w:space="0"/>
                    <w:right w:val="single" w:color="auto" w:sz="4" w:space="0"/>
                    <w:tl2br w:val="nil"/>
                    <w:tr2bl w:val="nil"/>
                  </w:tcBorders>
                  <w:noWrap w:val="0"/>
                  <w:vAlign w:val="center"/>
                </w:tcPr>
                <w:p w14:paraId="3C1A687C">
                  <w:pPr>
                    <w:pStyle w:val="30"/>
                    <w:rPr>
                      <w:rFonts w:hint="default" w:ascii="Times New Roman" w:hAnsi="Times New Roman" w:cs="Times New Roman"/>
                      <w:color w:val="auto"/>
                      <w:sz w:val="21"/>
                      <w:szCs w:val="24"/>
                    </w:rPr>
                  </w:pPr>
                </w:p>
              </w:tc>
              <w:tc>
                <w:tcPr>
                  <w:tcW w:w="810" w:type="dxa"/>
                  <w:vMerge w:val="restart"/>
                  <w:tcBorders>
                    <w:top w:val="single" w:color="auto" w:sz="4" w:space="0"/>
                    <w:left w:val="single" w:color="auto" w:sz="4" w:space="0"/>
                    <w:bottom w:val="single" w:color="auto" w:sz="4" w:space="0"/>
                    <w:right w:val="nil"/>
                    <w:tl2br w:val="nil"/>
                    <w:tr2bl w:val="nil"/>
                  </w:tcBorders>
                  <w:noWrap w:val="0"/>
                  <w:vAlign w:val="center"/>
                </w:tcPr>
                <w:p w14:paraId="430324F0">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066B7B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673" w:type="dxa"/>
                  <w:vMerge w:val="continue"/>
                  <w:tcBorders>
                    <w:top w:val="single" w:color="auto" w:sz="4" w:space="0"/>
                    <w:left w:val="nil"/>
                    <w:bottom w:val="single" w:color="auto" w:sz="4" w:space="0"/>
                    <w:right w:val="single" w:color="auto" w:sz="4" w:space="0"/>
                    <w:tl2br w:val="nil"/>
                    <w:tr2bl w:val="nil"/>
                  </w:tcBorders>
                  <w:noWrap w:val="0"/>
                  <w:vAlign w:val="center"/>
                </w:tcPr>
                <w:p w14:paraId="026C2751">
                  <w:pPr>
                    <w:pStyle w:val="30"/>
                    <w:rPr>
                      <w:rFonts w:hint="default" w:ascii="Times New Roman" w:hAnsi="Times New Roman" w:cs="Times New Roman"/>
                      <w:color w:val="auto"/>
                      <w:sz w:val="21"/>
                      <w:szCs w:val="24"/>
                    </w:rPr>
                  </w:pPr>
                </w:p>
              </w:tc>
              <w:tc>
                <w:tcPr>
                  <w:tcW w:w="3705" w:type="dxa"/>
                  <w:tcBorders>
                    <w:top w:val="single" w:color="auto" w:sz="4" w:space="0"/>
                    <w:left w:val="single" w:color="auto" w:sz="4" w:space="0"/>
                    <w:bottom w:val="single" w:color="auto" w:sz="4" w:space="0"/>
                    <w:right w:val="single" w:color="auto" w:sz="4" w:space="0"/>
                    <w:tl2br w:val="nil"/>
                    <w:tr2bl w:val="nil"/>
                  </w:tcBorders>
                  <w:noWrap w:val="0"/>
                  <w:vAlign w:val="top"/>
                </w:tcPr>
                <w:p w14:paraId="275722B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（二十）对于不能再生的过滤材料、吸附剂及催化剂等净化材料，应按照国家固体废物管理的相关规定处理处置</w:t>
                  </w:r>
                </w:p>
              </w:tc>
              <w:tc>
                <w:tcPr>
                  <w:tcW w:w="22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D416C4">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highlight w:val="none"/>
                    </w:rPr>
                    <w:t>废气治理产生的废活性炭委托</w:t>
                  </w:r>
                  <w:r>
                    <w:rPr>
                      <w:rFonts w:hint="eastAsia" w:ascii="Times New Roman" w:hAnsi="Times New Roman" w:cs="Times New Roman"/>
                      <w:color w:val="auto"/>
                      <w:sz w:val="21"/>
                      <w:szCs w:val="24"/>
                      <w:highlight w:val="none"/>
                      <w:lang w:val="en-US" w:eastAsia="zh-CN"/>
                    </w:rPr>
                    <w:t>有资质</w:t>
                  </w:r>
                  <w:r>
                    <w:rPr>
                      <w:rFonts w:hint="default" w:ascii="Times New Roman" w:hAnsi="Times New Roman" w:cs="Times New Roman"/>
                      <w:color w:val="auto"/>
                      <w:sz w:val="21"/>
                      <w:szCs w:val="24"/>
                      <w:highlight w:val="none"/>
                    </w:rPr>
                    <w:t>单位处置。</w:t>
                  </w:r>
                </w:p>
              </w:tc>
              <w:tc>
                <w:tcPr>
                  <w:tcW w:w="810" w:type="dxa"/>
                  <w:vMerge w:val="continue"/>
                  <w:tcBorders>
                    <w:top w:val="single" w:color="auto" w:sz="4" w:space="0"/>
                    <w:left w:val="single" w:color="auto" w:sz="4" w:space="0"/>
                    <w:bottom w:val="single" w:color="auto" w:sz="4" w:space="0"/>
                    <w:right w:val="nil"/>
                    <w:tl2br w:val="nil"/>
                    <w:tr2bl w:val="nil"/>
                  </w:tcBorders>
                  <w:noWrap w:val="0"/>
                  <w:vAlign w:val="center"/>
                </w:tcPr>
                <w:p w14:paraId="5F1D3A6D">
                  <w:pPr>
                    <w:pStyle w:val="30"/>
                    <w:rPr>
                      <w:rFonts w:hint="default" w:ascii="Times New Roman" w:hAnsi="Times New Roman" w:cs="Times New Roman"/>
                      <w:color w:val="auto"/>
                      <w:sz w:val="21"/>
                      <w:szCs w:val="24"/>
                    </w:rPr>
                  </w:pPr>
                </w:p>
              </w:tc>
            </w:tr>
            <w:tr w14:paraId="72C71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dxa"/>
                  <w:tcBorders>
                    <w:top w:val="single" w:color="auto" w:sz="4" w:space="0"/>
                    <w:left w:val="nil"/>
                    <w:bottom w:val="single" w:color="auto" w:sz="12" w:space="0"/>
                    <w:right w:val="single" w:color="auto" w:sz="4" w:space="0"/>
                    <w:tl2br w:val="nil"/>
                    <w:tr2bl w:val="nil"/>
                  </w:tcBorders>
                  <w:noWrap w:val="0"/>
                  <w:vAlign w:val="center"/>
                </w:tcPr>
                <w:p w14:paraId="70CF2A1A">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运行与监测</w:t>
                  </w:r>
                </w:p>
              </w:tc>
              <w:tc>
                <w:tcPr>
                  <w:tcW w:w="3705" w:type="dxa"/>
                  <w:tcBorders>
                    <w:top w:val="single" w:color="auto" w:sz="4" w:space="0"/>
                    <w:left w:val="single" w:color="auto" w:sz="4" w:space="0"/>
                    <w:bottom w:val="single" w:color="auto" w:sz="12" w:space="0"/>
                    <w:right w:val="single" w:color="auto" w:sz="4" w:space="0"/>
                    <w:tl2br w:val="nil"/>
                    <w:tr2bl w:val="nil"/>
                  </w:tcBorders>
                  <w:noWrap w:val="0"/>
                  <w:vAlign w:val="top"/>
                </w:tcPr>
                <w:p w14:paraId="6509EB60">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（二十六）企业应建立健全VOCs 治理设施的运行维护规程</w:t>
                  </w:r>
                  <w:r>
                    <w:rPr>
                      <w:rFonts w:hint="eastAsia" w:ascii="Times New Roman" w:hAnsi="Times New Roman" w:cs="Times New Roman"/>
                      <w:color w:val="auto"/>
                      <w:sz w:val="21"/>
                      <w:szCs w:val="24"/>
                      <w:lang w:eastAsia="zh-CN"/>
                    </w:rPr>
                    <w:t>和台账</w:t>
                  </w:r>
                  <w:r>
                    <w:rPr>
                      <w:rFonts w:hint="default" w:ascii="Times New Roman" w:hAnsi="Times New Roman" w:cs="Times New Roman"/>
                      <w:color w:val="auto"/>
                      <w:sz w:val="21"/>
                      <w:szCs w:val="24"/>
                    </w:rPr>
                    <w:t>等日常管理制度，并根据工艺要求定期对各类设备、电气、自控仪表等进行检修维护，确保设施的稳定运行。</w:t>
                  </w:r>
                </w:p>
                <w:p w14:paraId="113AB68C">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（二十七）当采用吸附回收（浓缩）、催化燃烧、热力焚烧、等离子体等方法进行末端治理时，应编制本单位事故火灾、爆炸等应急救援预案，配备应急救援人员和器材，并开展应急演练。</w:t>
                  </w:r>
                </w:p>
              </w:tc>
              <w:tc>
                <w:tcPr>
                  <w:tcW w:w="223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E42468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本环评要求企业建立相关日常管理制度，加强维护保养，确保设施的稳定运行，并按时编制应急预案，配备应急救援人员和器材，定期开展应急演练。</w:t>
                  </w:r>
                </w:p>
              </w:tc>
              <w:tc>
                <w:tcPr>
                  <w:tcW w:w="810" w:type="dxa"/>
                  <w:tcBorders>
                    <w:top w:val="single" w:color="auto" w:sz="4" w:space="0"/>
                    <w:left w:val="single" w:color="auto" w:sz="4" w:space="0"/>
                    <w:bottom w:val="single" w:color="auto" w:sz="12" w:space="0"/>
                    <w:right w:val="nil"/>
                    <w:tl2br w:val="nil"/>
                    <w:tr2bl w:val="nil"/>
                  </w:tcBorders>
                  <w:noWrap w:val="0"/>
                  <w:vAlign w:val="center"/>
                </w:tcPr>
                <w:p w14:paraId="22477B2B">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bl>
          <w:p w14:paraId="7915062B">
            <w:pPr>
              <w:pStyle w:val="29"/>
              <w:bidi w:val="0"/>
              <w:rPr>
                <w:rFonts w:hint="default" w:ascii="Times New Roman" w:hAnsi="Times New Roman" w:cs="Times New Roman"/>
                <w:color w:val="auto"/>
              </w:rPr>
            </w:pPr>
            <w:r>
              <w:rPr>
                <w:rFonts w:hint="default" w:ascii="Times New Roman" w:hAnsi="Times New Roman" w:cs="Times New Roman"/>
                <w:color w:val="auto"/>
              </w:rPr>
              <w:t>根据上述内容可知，本项目符合《挥发性有机物（VOCs）污染防治技术政策》相关要求。</w:t>
            </w:r>
          </w:p>
          <w:p w14:paraId="7FEAD1F2">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10、项目与《重点行业挥发性有机物综合治理方案》的通知（环大气[2019]53号）、《2020年挥发性有机物治理攻坚方案》（环大气[2020]33号）相符性分析</w:t>
            </w:r>
          </w:p>
          <w:p w14:paraId="05BA941D">
            <w:pPr>
              <w:pStyle w:val="16"/>
              <w:keepNext w:val="0"/>
              <w:keepLines w:val="0"/>
              <w:pageBreakBefore w:val="0"/>
              <w:kinsoku/>
              <w:overflowPunct/>
              <w:topLinePunct w:val="0"/>
              <w:bidi w:val="0"/>
              <w:spacing w:before="0" w:after="0" w:line="360" w:lineRule="auto"/>
              <w:ind w:left="0" w:leftChars="0" w:right="0" w:firstLine="496" w:firstLineChars="200"/>
              <w:jc w:val="both"/>
              <w:textAlignment w:val="auto"/>
              <w:rPr>
                <w:rFonts w:hint="default" w:ascii="Times New Roman" w:hAnsi="Times New Roman" w:eastAsia="宋体" w:cs="Times New Roman"/>
                <w:color w:val="auto"/>
                <w:spacing w:val="4"/>
                <w:sz w:val="24"/>
                <w:szCs w:val="24"/>
                <w:u w:val="none"/>
                <w:lang w:val="en-US" w:eastAsia="zh-CN"/>
              </w:rPr>
            </w:pPr>
            <w:r>
              <w:rPr>
                <w:rFonts w:hint="eastAsia" w:ascii="Times New Roman" w:hAnsi="Times New Roman" w:eastAsia="宋体" w:cs="Times New Roman"/>
                <w:color w:val="auto"/>
                <w:spacing w:val="4"/>
                <w:sz w:val="24"/>
                <w:szCs w:val="24"/>
                <w:u w:val="none"/>
                <w:lang w:val="en-US" w:eastAsia="zh-CN"/>
              </w:rPr>
              <w:t>本项目相关要求分析如下：</w:t>
            </w:r>
          </w:p>
          <w:p w14:paraId="221B2FD2">
            <w:pPr>
              <w:pStyle w:val="52"/>
              <w:adjustRightInd/>
              <w:spacing w:before="0" w:after="0" w:line="240" w:lineRule="auto"/>
              <w:rPr>
                <w:rFonts w:hint="default" w:ascii="Times New Roman" w:hAnsi="Times New Roman" w:eastAsia="宋体" w:cs="Times New Roman"/>
                <w:b/>
                <w:bCs/>
                <w:color w:val="auto"/>
                <w:spacing w:val="6"/>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 xml:space="preserve">表 </w:t>
            </w:r>
            <w:r>
              <w:rPr>
                <w:rFonts w:hint="eastAsia" w:ascii="Times New Roman" w:hAnsi="Times New Roman" w:eastAsia="宋体" w:cs="Times New Roman"/>
                <w:b/>
                <w:bCs/>
                <w:color w:val="auto"/>
                <w:spacing w:val="6"/>
                <w:kern w:val="2"/>
                <w:sz w:val="21"/>
                <w:szCs w:val="21"/>
                <w:lang w:val="en-US" w:eastAsia="zh-CN" w:bidi="ar-SA"/>
              </w:rPr>
              <w:t>1-9项目与《重点行业挥发性有机物综合治理方案》的相符性分析</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3405"/>
              <w:gridCol w:w="2552"/>
              <w:gridCol w:w="713"/>
            </w:tblGrid>
            <w:tr w14:paraId="4787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01" w:type="pct"/>
                  <w:gridSpan w:val="2"/>
                  <w:tcBorders>
                    <w:tl2br w:val="nil"/>
                    <w:tr2bl w:val="nil"/>
                  </w:tcBorders>
                  <w:noWrap w:val="0"/>
                  <w:vAlign w:val="center"/>
                </w:tcPr>
                <w:p w14:paraId="3B9BA5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lang w:val="en-US" w:eastAsia="zh-CN"/>
                    </w:rPr>
                    <w:t>政策</w:t>
                  </w:r>
                  <w:r>
                    <w:rPr>
                      <w:rFonts w:hint="eastAsia" w:ascii="Times New Roman" w:hAnsi="Times New Roman" w:eastAsia="宋体" w:cs="Times New Roman"/>
                      <w:b w:val="0"/>
                      <w:bCs w:val="0"/>
                      <w:color w:val="auto"/>
                      <w:sz w:val="21"/>
                      <w:szCs w:val="21"/>
                      <w:u w:val="none"/>
                    </w:rPr>
                    <w:t>内容概要</w:t>
                  </w:r>
                </w:p>
              </w:tc>
              <w:tc>
                <w:tcPr>
                  <w:tcW w:w="1717" w:type="pct"/>
                  <w:tcBorders>
                    <w:tl2br w:val="nil"/>
                    <w:tr2bl w:val="nil"/>
                  </w:tcBorders>
                  <w:noWrap w:val="0"/>
                  <w:vAlign w:val="center"/>
                </w:tcPr>
                <w:p w14:paraId="124C60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rPr>
                    <w:t>本项目情况</w:t>
                  </w:r>
                </w:p>
              </w:tc>
              <w:tc>
                <w:tcPr>
                  <w:tcW w:w="480" w:type="pct"/>
                  <w:tcBorders>
                    <w:tl2br w:val="nil"/>
                    <w:tr2bl w:val="nil"/>
                  </w:tcBorders>
                  <w:noWrap w:val="0"/>
                  <w:vAlign w:val="center"/>
                </w:tcPr>
                <w:p w14:paraId="03C1A3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rPr>
                    <w:t>结论</w:t>
                  </w:r>
                </w:p>
              </w:tc>
            </w:tr>
            <w:tr w14:paraId="37D0A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vMerge w:val="restart"/>
                  <w:tcBorders>
                    <w:tl2br w:val="nil"/>
                    <w:tr2bl w:val="nil"/>
                  </w:tcBorders>
                  <w:noWrap w:val="0"/>
                  <w:vAlign w:val="center"/>
                </w:tcPr>
                <w:p w14:paraId="3603A2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rPr>
                    <w:t>控制思路与要求</w:t>
                  </w:r>
                </w:p>
              </w:tc>
              <w:tc>
                <w:tcPr>
                  <w:tcW w:w="2291" w:type="pct"/>
                  <w:tcBorders>
                    <w:tl2br w:val="nil"/>
                    <w:tr2bl w:val="nil"/>
                  </w:tcBorders>
                  <w:noWrap w:val="0"/>
                  <w:vAlign w:val="center"/>
                </w:tcPr>
                <w:p w14:paraId="422C79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大力推进源头替代。工业涂装、包装印刷等行业要加大源头替代力度；企业应大力推广使用低VOCs含量木器涂料、车辆涂料、机械设备涂料、集装箱涂料以及建筑物和构筑物防护涂料等，在技术成熟的行业，推广使用低VOCs含量油墨和胶粘剂。鼓励加快低VOCs含量涂料、油墨、胶粘剂等研发和生产。</w:t>
                  </w:r>
                </w:p>
              </w:tc>
              <w:tc>
                <w:tcPr>
                  <w:tcW w:w="2587" w:type="dxa"/>
                  <w:tcBorders>
                    <w:tl2br w:val="nil"/>
                    <w:tr2bl w:val="nil"/>
                  </w:tcBorders>
                  <w:noWrap w:val="0"/>
                  <w:vAlign w:val="center"/>
                </w:tcPr>
                <w:p w14:paraId="513EFF91">
                  <w:pPr>
                    <w:pStyle w:val="30"/>
                    <w:bidi w:val="0"/>
                    <w:rPr>
                      <w:rFonts w:hint="default" w:ascii="Times New Roman" w:hAnsi="Times New Roman" w:cs="Times New Roman"/>
                      <w:color w:val="auto"/>
                      <w:u w:val="single"/>
                      <w:lang w:val="en-US" w:eastAsia="zh-CN"/>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w:t>
                  </w:r>
                  <w:r>
                    <w:rPr>
                      <w:rFonts w:hint="eastAsia" w:ascii="Times New Roman" w:hAnsi="Times New Roman" w:cs="Times New Roman"/>
                      <w:color w:val="auto"/>
                      <w:u w:val="single"/>
                      <w:lang w:val="en-US" w:eastAsia="zh-CN"/>
                    </w:rPr>
                    <w:t>根据建设单位提供的油漆MSDS，使用的底漆、面漆满足《GB/T 38597-2020》中低挥发性有机化合物涂料要求</w:t>
                  </w:r>
                </w:p>
                <w:p w14:paraId="41067E75">
                  <w:pPr>
                    <w:widowControl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color w:val="auto"/>
                      <w:kern w:val="2"/>
                      <w:sz w:val="21"/>
                      <w:szCs w:val="24"/>
                      <w:u w:val="none"/>
                      <w:lang w:val="en-US" w:eastAsia="zh-CN" w:bidi="ar-SA"/>
                    </w:rPr>
                    <w:t>。</w:t>
                  </w:r>
                </w:p>
              </w:tc>
              <w:tc>
                <w:tcPr>
                  <w:tcW w:w="480" w:type="pct"/>
                  <w:tcBorders>
                    <w:tl2br w:val="nil"/>
                    <w:tr2bl w:val="nil"/>
                  </w:tcBorders>
                  <w:noWrap w:val="0"/>
                  <w:vAlign w:val="center"/>
                </w:tcPr>
                <w:p w14:paraId="62985F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lang w:val="en-US" w:eastAsia="zh-CN"/>
                    </w:rPr>
                    <w:t>符合</w:t>
                  </w:r>
                </w:p>
              </w:tc>
            </w:tr>
            <w:tr w14:paraId="23C69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vMerge w:val="continue"/>
                  <w:tcBorders>
                    <w:tl2br w:val="nil"/>
                    <w:tr2bl w:val="nil"/>
                  </w:tcBorders>
                  <w:noWrap w:val="0"/>
                  <w:vAlign w:val="center"/>
                </w:tcPr>
                <w:p w14:paraId="3BC172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p>
              </w:tc>
              <w:tc>
                <w:tcPr>
                  <w:tcW w:w="2291" w:type="pct"/>
                  <w:tcBorders>
                    <w:tl2br w:val="nil"/>
                    <w:tr2bl w:val="nil"/>
                  </w:tcBorders>
                  <w:noWrap w:val="0"/>
                  <w:vAlign w:val="center"/>
                </w:tcPr>
                <w:p w14:paraId="5F5DEC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717" w:type="pct"/>
                  <w:tcBorders>
                    <w:tl2br w:val="nil"/>
                    <w:tr2bl w:val="nil"/>
                  </w:tcBorders>
                  <w:noWrap w:val="0"/>
                  <w:vAlign w:val="center"/>
                </w:tcPr>
                <w:p w14:paraId="506417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single"/>
                      <w:lang w:val="en-US" w:eastAsia="zh-CN"/>
                    </w:rPr>
                  </w:pPr>
                  <w:r>
                    <w:rPr>
                      <w:rFonts w:hint="eastAsia" w:ascii="Times New Roman" w:hAnsi="Times New Roman" w:eastAsia="宋体" w:cs="Times New Roman"/>
                      <w:b w:val="0"/>
                      <w:bCs w:val="0"/>
                      <w:color w:val="auto"/>
                      <w:sz w:val="21"/>
                      <w:szCs w:val="21"/>
                      <w:u w:val="single"/>
                    </w:rPr>
                    <w:t>项目</w:t>
                  </w:r>
                  <w:r>
                    <w:rPr>
                      <w:rFonts w:hint="eastAsia" w:cs="Times New Roman"/>
                      <w:b w:val="0"/>
                      <w:bCs w:val="0"/>
                      <w:color w:val="auto"/>
                      <w:sz w:val="21"/>
                      <w:szCs w:val="21"/>
                      <w:u w:val="single"/>
                      <w:lang w:val="en-US" w:eastAsia="zh-CN"/>
                    </w:rPr>
                    <w:t>油漆采用密闭容器储存，喷漆、烤漆</w:t>
                  </w:r>
                  <w:r>
                    <w:rPr>
                      <w:rFonts w:hint="eastAsia" w:ascii="Times New Roman" w:hAnsi="Times New Roman" w:eastAsia="宋体" w:cs="Times New Roman"/>
                      <w:b w:val="0"/>
                      <w:bCs w:val="0"/>
                      <w:color w:val="auto"/>
                      <w:sz w:val="21"/>
                      <w:szCs w:val="21"/>
                      <w:u w:val="single"/>
                      <w:lang w:val="en-US" w:eastAsia="zh-CN"/>
                    </w:rPr>
                    <w:t>均在密闭车间进行，有效的减少了无组织废气的排放。</w:t>
                  </w:r>
                </w:p>
              </w:tc>
              <w:tc>
                <w:tcPr>
                  <w:tcW w:w="480" w:type="pct"/>
                  <w:tcBorders>
                    <w:tl2br w:val="nil"/>
                    <w:tr2bl w:val="nil"/>
                  </w:tcBorders>
                  <w:noWrap w:val="0"/>
                  <w:vAlign w:val="center"/>
                </w:tcPr>
                <w:p w14:paraId="57F6D7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rPr>
                    <w:t>符合</w:t>
                  </w:r>
                </w:p>
              </w:tc>
            </w:tr>
            <w:tr w14:paraId="11A7F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vMerge w:val="continue"/>
                  <w:tcBorders>
                    <w:tl2br w:val="nil"/>
                    <w:tr2bl w:val="nil"/>
                  </w:tcBorders>
                  <w:noWrap w:val="0"/>
                  <w:vAlign w:val="center"/>
                </w:tcPr>
                <w:p w14:paraId="602DCA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p>
              </w:tc>
              <w:tc>
                <w:tcPr>
                  <w:tcW w:w="2291" w:type="pct"/>
                  <w:tcBorders>
                    <w:tl2br w:val="nil"/>
                    <w:tr2bl w:val="nil"/>
                  </w:tcBorders>
                  <w:noWrap w:val="0"/>
                  <w:vAlign w:val="center"/>
                </w:tcPr>
                <w:p w14:paraId="0F7605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2587" w:type="dxa"/>
                  <w:tcBorders>
                    <w:tl2br w:val="nil"/>
                    <w:tr2bl w:val="nil"/>
                  </w:tcBorders>
                  <w:noWrap w:val="0"/>
                  <w:vAlign w:val="center"/>
                </w:tcPr>
                <w:p w14:paraId="2453AD21">
                  <w:pPr>
                    <w:pStyle w:val="30"/>
                    <w:bidi w:val="0"/>
                    <w:rPr>
                      <w:rFonts w:hint="default" w:ascii="Times New Roman" w:hAnsi="Times New Roman" w:cs="Times New Roman"/>
                      <w:color w:val="auto"/>
                      <w:lang w:val="en-US" w:eastAsia="zh-CN"/>
                    </w:rPr>
                  </w:pPr>
                </w:p>
                <w:p w14:paraId="62A99D8F">
                  <w:pPr>
                    <w:pStyle w:val="30"/>
                    <w:bidi w:val="0"/>
                    <w:ind w:firstLine="0" w:firstLineChars="0"/>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color w:val="auto"/>
                      <w:lang w:val="en-US" w:eastAsia="zh-CN"/>
                    </w:rPr>
                    <w:t>本项目</w:t>
                  </w:r>
                  <w:r>
                    <w:rPr>
                      <w:rFonts w:hint="eastAsia" w:ascii="Times New Roman" w:hAnsi="Times New Roman" w:cs="Times New Roman"/>
                      <w:color w:val="auto"/>
                      <w:lang w:val="en-US" w:eastAsia="zh-CN"/>
                    </w:rPr>
                    <w:t>有机废气</w:t>
                  </w:r>
                  <w:r>
                    <w:rPr>
                      <w:rFonts w:hint="default" w:ascii="Times New Roman" w:hAnsi="Times New Roman" w:cs="Times New Roman"/>
                      <w:color w:val="auto"/>
                      <w:sz w:val="21"/>
                      <w:szCs w:val="21"/>
                      <w:lang w:val="en-US" w:eastAsia="zh-CN"/>
                    </w:rPr>
                    <w:t>经</w:t>
                  </w:r>
                  <w:r>
                    <w:rPr>
                      <w:rFonts w:hint="eastAsia" w:ascii="Times New Roman" w:hAnsi="Times New Roman" w:cs="Times New Roman"/>
                      <w:color w:val="auto"/>
                      <w:sz w:val="21"/>
                      <w:szCs w:val="21"/>
                      <w:lang w:val="en-US" w:eastAsia="zh-CN"/>
                    </w:rPr>
                    <w:t>密闭喷漆烤漆房</w:t>
                  </w:r>
                  <w:r>
                    <w:rPr>
                      <w:rFonts w:hint="default" w:ascii="Times New Roman" w:hAnsi="Times New Roman" w:cs="Times New Roman"/>
                      <w:color w:val="auto"/>
                      <w:sz w:val="21"/>
                      <w:szCs w:val="21"/>
                    </w:rPr>
                    <w:t>集气设施+</w:t>
                  </w:r>
                  <w:r>
                    <w:rPr>
                      <w:rFonts w:hint="eastAsia" w:ascii="Times New Roman" w:hAnsi="Times New Roman" w:cs="Times New Roman"/>
                      <w:color w:val="auto"/>
                      <w:sz w:val="21"/>
                      <w:szCs w:val="21"/>
                      <w:lang w:val="en-US" w:eastAsia="zh-CN"/>
                    </w:rPr>
                    <w:t>活性炭吸附脱附+催化燃烧装置</w:t>
                  </w:r>
                  <w:r>
                    <w:rPr>
                      <w:rFonts w:hint="default" w:ascii="Times New Roman" w:hAnsi="Times New Roman" w:cs="Times New Roman"/>
                      <w:color w:val="auto"/>
                      <w:sz w:val="21"/>
                      <w:szCs w:val="21"/>
                      <w:lang w:val="en-US" w:eastAsia="zh-CN"/>
                    </w:rPr>
                    <w:t>收集处理后，通过</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5m排气筒（DA00</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）外排</w:t>
                  </w:r>
                </w:p>
              </w:tc>
              <w:tc>
                <w:tcPr>
                  <w:tcW w:w="480" w:type="pct"/>
                  <w:tcBorders>
                    <w:tl2br w:val="nil"/>
                    <w:tr2bl w:val="nil"/>
                  </w:tcBorders>
                  <w:noWrap w:val="0"/>
                  <w:vAlign w:val="center"/>
                </w:tcPr>
                <w:p w14:paraId="5BB661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符合</w:t>
                  </w:r>
                </w:p>
              </w:tc>
            </w:tr>
            <w:tr w14:paraId="52D9D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tcBorders>
                    <w:tl2br w:val="nil"/>
                    <w:tr2bl w:val="nil"/>
                  </w:tcBorders>
                  <w:noWrap w:val="0"/>
                  <w:vAlign w:val="center"/>
                </w:tcPr>
                <w:p w14:paraId="27B107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rPr>
                    <w:t>重点行业治理任务</w:t>
                  </w:r>
                </w:p>
              </w:tc>
              <w:tc>
                <w:tcPr>
                  <w:tcW w:w="2291" w:type="pct"/>
                  <w:tcBorders>
                    <w:tl2br w:val="nil"/>
                    <w:tr2bl w:val="nil"/>
                  </w:tcBorders>
                  <w:noWrap w:val="0"/>
                  <w:vAlign w:val="center"/>
                </w:tcPr>
                <w:p w14:paraId="123AF2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工业涂装VOCs综合治理。加大汽车、家具、集装箱、电子产品、工程机械等行业VOCs治理力度，重点区域应结合本地产业特征，加快实施其他行业涂装VOCs综合治理。</w:t>
                  </w:r>
                </w:p>
              </w:tc>
              <w:tc>
                <w:tcPr>
                  <w:tcW w:w="1717" w:type="pct"/>
                  <w:tcBorders>
                    <w:tl2br w:val="nil"/>
                    <w:tr2bl w:val="nil"/>
                  </w:tcBorders>
                  <w:noWrap w:val="0"/>
                  <w:vAlign w:val="center"/>
                </w:tcPr>
                <w:p w14:paraId="7E9B19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rPr>
                    <w:t>本项目</w:t>
                  </w:r>
                  <w:r>
                    <w:rPr>
                      <w:rFonts w:hint="eastAsia" w:cs="Times New Roman"/>
                      <w:b w:val="0"/>
                      <w:bCs w:val="0"/>
                      <w:color w:val="auto"/>
                      <w:sz w:val="21"/>
                      <w:szCs w:val="21"/>
                      <w:u w:val="none"/>
                      <w:lang w:val="en-US" w:eastAsia="zh-CN"/>
                    </w:rPr>
                    <w:t>采取了有效的VOCs收集和处理装置</w:t>
                  </w:r>
                  <w:r>
                    <w:rPr>
                      <w:rFonts w:hint="eastAsia" w:ascii="Times New Roman" w:hAnsi="Times New Roman" w:eastAsia="宋体" w:cs="Times New Roman"/>
                      <w:b w:val="0"/>
                      <w:bCs w:val="0"/>
                      <w:color w:val="auto"/>
                      <w:sz w:val="21"/>
                      <w:szCs w:val="21"/>
                      <w:u w:val="none"/>
                      <w:lang w:eastAsia="zh-CN"/>
                    </w:rPr>
                    <w:t>。</w:t>
                  </w:r>
                </w:p>
              </w:tc>
              <w:tc>
                <w:tcPr>
                  <w:tcW w:w="480" w:type="pct"/>
                  <w:tcBorders>
                    <w:tl2br w:val="nil"/>
                    <w:tr2bl w:val="nil"/>
                  </w:tcBorders>
                  <w:noWrap w:val="0"/>
                  <w:vAlign w:val="center"/>
                </w:tcPr>
                <w:p w14:paraId="10C03C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b w:val="0"/>
                      <w:bCs w:val="0"/>
                      <w:color w:val="auto"/>
                      <w:sz w:val="21"/>
                      <w:szCs w:val="21"/>
                      <w:u w:val="none"/>
                    </w:rPr>
                  </w:pPr>
                  <w:r>
                    <w:rPr>
                      <w:rFonts w:hint="eastAsia" w:ascii="Times New Roman" w:hAnsi="Times New Roman" w:eastAsia="宋体" w:cs="Times New Roman"/>
                      <w:b w:val="0"/>
                      <w:bCs w:val="0"/>
                      <w:color w:val="auto"/>
                      <w:sz w:val="21"/>
                      <w:szCs w:val="21"/>
                      <w:u w:val="none"/>
                      <w:lang w:val="en-US" w:eastAsia="zh-CN"/>
                    </w:rPr>
                    <w:t>符合</w:t>
                  </w:r>
                </w:p>
              </w:tc>
            </w:tr>
          </w:tbl>
          <w:p w14:paraId="26F7EF21">
            <w:pPr>
              <w:pStyle w:val="52"/>
              <w:adjustRightInd/>
              <w:spacing w:before="0" w:after="0" w:line="360" w:lineRule="auto"/>
              <w:rPr>
                <w:rFonts w:hint="default" w:ascii="Times New Roman" w:hAnsi="Times New Roman" w:eastAsia="宋体" w:cs="Times New Roman"/>
                <w:b/>
                <w:bCs/>
                <w:color w:val="FF0000"/>
                <w:kern w:val="2"/>
                <w:sz w:val="22"/>
                <w:szCs w:val="22"/>
                <w:highlight w:val="none"/>
                <w:u w:val="none"/>
                <w:lang w:val="en-US" w:eastAsia="zh-CN"/>
              </w:rPr>
            </w:pPr>
          </w:p>
          <w:p w14:paraId="39DCFD2C">
            <w:pPr>
              <w:pStyle w:val="52"/>
              <w:adjustRightInd/>
              <w:spacing w:before="0" w:after="0" w:line="240" w:lineRule="auto"/>
              <w:rPr>
                <w:rFonts w:hint="default" w:ascii="Times New Roman" w:hAnsi="Times New Roman" w:eastAsia="宋体" w:cs="Times New Roman"/>
                <w:b/>
                <w:bCs/>
                <w:color w:val="auto"/>
                <w:spacing w:val="6"/>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 xml:space="preserve">表 </w:t>
            </w:r>
            <w:r>
              <w:rPr>
                <w:rFonts w:hint="eastAsia" w:ascii="Times New Roman" w:hAnsi="Times New Roman" w:eastAsia="宋体" w:cs="Times New Roman"/>
                <w:b/>
                <w:bCs/>
                <w:color w:val="auto"/>
                <w:spacing w:val="6"/>
                <w:kern w:val="2"/>
                <w:sz w:val="21"/>
                <w:szCs w:val="21"/>
                <w:lang w:val="en-US" w:eastAsia="zh-CN" w:bidi="ar-SA"/>
              </w:rPr>
              <w:t>1-10 项目与《2020年挥发性有机物治理攻坚方案》（环大气[2020]33号）的相符性分析</w:t>
            </w:r>
          </w:p>
          <w:tbl>
            <w:tblPr>
              <w:tblStyle w:val="18"/>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3756"/>
              <w:gridCol w:w="2278"/>
              <w:gridCol w:w="700"/>
            </w:tblGrid>
            <w:tr w14:paraId="1B0A7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1" w:type="pct"/>
                  <w:tcBorders>
                    <w:tl2br w:val="nil"/>
                    <w:tr2bl w:val="nil"/>
                  </w:tcBorders>
                  <w:noWrap w:val="0"/>
                  <w:vAlign w:val="center"/>
                </w:tcPr>
                <w:p w14:paraId="1DAF0594">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bCs/>
                      <w:color w:val="auto"/>
                      <w:u w:val="none"/>
                    </w:rPr>
                  </w:pPr>
                </w:p>
              </w:tc>
              <w:tc>
                <w:tcPr>
                  <w:tcW w:w="2581" w:type="pct"/>
                  <w:tcBorders>
                    <w:tl2br w:val="nil"/>
                    <w:tr2bl w:val="nil"/>
                  </w:tcBorders>
                  <w:noWrap w:val="0"/>
                  <w:vAlign w:val="center"/>
                </w:tcPr>
                <w:p w14:paraId="0914E183">
                  <w:pPr>
                    <w:pStyle w:val="53"/>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b/>
                      <w:bCs/>
                      <w:color w:val="auto"/>
                      <w:u w:val="none"/>
                    </w:rPr>
                  </w:pPr>
                  <w:r>
                    <w:rPr>
                      <w:rFonts w:hint="eastAsia" w:ascii="Times New Roman" w:hAnsi="Times New Roman" w:eastAsia="宋体" w:cs="Times New Roman"/>
                      <w:b/>
                      <w:bCs/>
                      <w:color w:val="auto"/>
                      <w:u w:val="none"/>
                      <w:lang w:val="en-US" w:eastAsia="zh-CN"/>
                    </w:rPr>
                    <w:t>政策</w:t>
                  </w:r>
                  <w:r>
                    <w:rPr>
                      <w:rFonts w:hint="eastAsia" w:ascii="Times New Roman" w:hAnsi="Times New Roman" w:eastAsia="宋体" w:cs="Times New Roman"/>
                      <w:b/>
                      <w:bCs/>
                      <w:color w:val="auto"/>
                      <w:u w:val="none"/>
                    </w:rPr>
                    <w:t>内容概要</w:t>
                  </w:r>
                </w:p>
              </w:tc>
              <w:tc>
                <w:tcPr>
                  <w:tcW w:w="1565" w:type="pct"/>
                  <w:tcBorders>
                    <w:tl2br w:val="nil"/>
                    <w:tr2bl w:val="nil"/>
                  </w:tcBorders>
                  <w:noWrap w:val="0"/>
                  <w:vAlign w:val="center"/>
                </w:tcPr>
                <w:p w14:paraId="59E16C03">
                  <w:pPr>
                    <w:pStyle w:val="53"/>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b/>
                      <w:bCs/>
                      <w:color w:val="auto"/>
                      <w:u w:val="none"/>
                    </w:rPr>
                  </w:pPr>
                  <w:r>
                    <w:rPr>
                      <w:rFonts w:hint="eastAsia" w:ascii="Times New Roman" w:hAnsi="Times New Roman" w:eastAsia="宋体" w:cs="Times New Roman"/>
                      <w:b/>
                      <w:bCs/>
                      <w:color w:val="auto"/>
                      <w:u w:val="none"/>
                    </w:rPr>
                    <w:t>本项目情况</w:t>
                  </w:r>
                </w:p>
              </w:tc>
              <w:tc>
                <w:tcPr>
                  <w:tcW w:w="481" w:type="pct"/>
                  <w:tcBorders>
                    <w:tl2br w:val="nil"/>
                    <w:tr2bl w:val="nil"/>
                  </w:tcBorders>
                  <w:noWrap w:val="0"/>
                  <w:vAlign w:val="center"/>
                </w:tcPr>
                <w:p w14:paraId="63C15642">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bCs/>
                      <w:color w:val="auto"/>
                      <w:u w:val="none"/>
                    </w:rPr>
                  </w:pPr>
                  <w:r>
                    <w:rPr>
                      <w:rFonts w:hint="eastAsia" w:ascii="Times New Roman" w:hAnsi="Times New Roman" w:eastAsia="宋体" w:cs="Times New Roman"/>
                      <w:b/>
                      <w:bCs/>
                      <w:color w:val="auto"/>
                      <w:u w:val="none"/>
                    </w:rPr>
                    <w:t>结论</w:t>
                  </w:r>
                </w:p>
              </w:tc>
            </w:tr>
            <w:tr w14:paraId="48FD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1" w:type="pct"/>
                  <w:vMerge w:val="restart"/>
                  <w:tcBorders>
                    <w:tl2br w:val="nil"/>
                    <w:tr2bl w:val="nil"/>
                  </w:tcBorders>
                  <w:noWrap w:val="0"/>
                  <w:vAlign w:val="center"/>
                </w:tcPr>
                <w:p w14:paraId="46C293C1">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r>
                    <w:rPr>
                      <w:rFonts w:hint="eastAsia"/>
                      <w:b w:val="0"/>
                      <w:bCs/>
                      <w:color w:val="auto"/>
                      <w:u w:val="none"/>
                    </w:rPr>
                    <w:t>控制思路与要求</w:t>
                  </w:r>
                </w:p>
              </w:tc>
              <w:tc>
                <w:tcPr>
                  <w:tcW w:w="2581" w:type="pct"/>
                  <w:tcBorders>
                    <w:tl2br w:val="nil"/>
                    <w:tr2bl w:val="nil"/>
                  </w:tcBorders>
                  <w:noWrap w:val="0"/>
                  <w:vAlign w:val="center"/>
                </w:tcPr>
                <w:p w14:paraId="59863916">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r>
                    <w:rPr>
                      <w:rFonts w:hint="eastAsia" w:ascii="Times New Roman" w:hAnsi="Times New Roman" w:eastAsia="宋体" w:cs="Times New Roman"/>
                      <w:b w:val="0"/>
                      <w:bCs/>
                      <w:color w:val="auto"/>
                      <w:u w:val="none"/>
                      <w:lang w:eastAsia="zh-CN"/>
                    </w:rPr>
                    <w:t>大力推进低（无）VOCs 含量原辅材料替代。将全面使用符合国家要求的低VOCs 含量原辅材料的企业纳入正面清单和政府绿色采购清单。</w:t>
                  </w:r>
                </w:p>
              </w:tc>
              <w:tc>
                <w:tcPr>
                  <w:tcW w:w="1565" w:type="pct"/>
                  <w:tcBorders>
                    <w:tl2br w:val="nil"/>
                    <w:tr2bl w:val="nil"/>
                  </w:tcBorders>
                  <w:shd w:val="clear" w:color="auto" w:fill="auto"/>
                  <w:noWrap w:val="0"/>
                  <w:vAlign w:val="center"/>
                </w:tcPr>
                <w:p w14:paraId="5C499557">
                  <w:pPr>
                    <w:pStyle w:val="30"/>
                    <w:bidi w:val="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w:t>
                  </w:r>
                  <w:r>
                    <w:rPr>
                      <w:rFonts w:hint="eastAsia" w:ascii="Times New Roman" w:hAnsi="Times New Roman" w:cs="Times New Roman"/>
                      <w:color w:val="auto"/>
                      <w:u w:val="single"/>
                      <w:lang w:val="en-US" w:eastAsia="zh-CN"/>
                    </w:rPr>
                    <w:t>根据建设单位提供的油漆MSDS，使用的底漆、面漆满足《GB/T 38597-2020》中低挥发性有机化合物涂料要求。</w:t>
                  </w:r>
                </w:p>
              </w:tc>
              <w:tc>
                <w:tcPr>
                  <w:tcW w:w="481" w:type="pct"/>
                  <w:tcBorders>
                    <w:tl2br w:val="nil"/>
                    <w:tr2bl w:val="nil"/>
                  </w:tcBorders>
                  <w:noWrap w:val="0"/>
                  <w:vAlign w:val="center"/>
                </w:tcPr>
                <w:p w14:paraId="3E976D91">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rPr>
                  </w:pPr>
                  <w:r>
                    <w:rPr>
                      <w:rFonts w:hint="eastAsia" w:ascii="Times New Roman" w:hAnsi="Times New Roman" w:eastAsia="宋体" w:cs="Times New Roman"/>
                      <w:b w:val="0"/>
                      <w:bCs/>
                      <w:color w:val="auto"/>
                      <w:u w:val="none"/>
                      <w:lang w:val="en-US" w:eastAsia="zh-CN"/>
                    </w:rPr>
                    <w:t>符合</w:t>
                  </w:r>
                </w:p>
              </w:tc>
            </w:tr>
            <w:tr w14:paraId="17024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center"/>
                </w:tcPr>
                <w:p w14:paraId="23D0EAFF">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b w:val="0"/>
                      <w:bCs/>
                      <w:color w:val="auto"/>
                      <w:u w:val="none"/>
                    </w:rPr>
                  </w:pPr>
                </w:p>
              </w:tc>
              <w:tc>
                <w:tcPr>
                  <w:tcW w:w="2581" w:type="pct"/>
                  <w:tcBorders>
                    <w:tl2br w:val="nil"/>
                    <w:tr2bl w:val="nil"/>
                  </w:tcBorders>
                  <w:noWrap w:val="0"/>
                  <w:vAlign w:val="center"/>
                </w:tcPr>
                <w:p w14:paraId="734F20B5">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r>
                    <w:rPr>
                      <w:rFonts w:hint="eastAsia" w:ascii="Times New Roman" w:hAnsi="Times New Roman" w:eastAsia="宋体" w:cs="Times New Roman"/>
                      <w:b w:val="0"/>
                      <w:bCs/>
                      <w:color w:val="auto"/>
                      <w:u w:val="none"/>
                      <w:lang w:eastAsia="zh-CN"/>
                    </w:rPr>
                    <w:t>全面落实标准要求，强化无组织排放控制</w:t>
                  </w:r>
                </w:p>
              </w:tc>
              <w:tc>
                <w:tcPr>
                  <w:tcW w:w="1565" w:type="pct"/>
                  <w:tcBorders>
                    <w:tl2br w:val="nil"/>
                    <w:tr2bl w:val="nil"/>
                  </w:tcBorders>
                  <w:noWrap w:val="0"/>
                  <w:vAlign w:val="center"/>
                </w:tcPr>
                <w:p w14:paraId="0B0B02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color w:val="auto"/>
                      <w:u w:val="none"/>
                      <w:lang w:val="en-US" w:eastAsia="zh-CN"/>
                    </w:rPr>
                  </w:pPr>
                  <w:r>
                    <w:rPr>
                      <w:rFonts w:hint="eastAsia" w:ascii="Times New Roman" w:hAnsi="Times New Roman" w:eastAsia="宋体" w:cs="Times New Roman"/>
                      <w:b w:val="0"/>
                      <w:bCs w:val="0"/>
                      <w:color w:val="auto"/>
                      <w:sz w:val="21"/>
                      <w:szCs w:val="21"/>
                      <w:u w:val="none"/>
                    </w:rPr>
                    <w:t>项目</w:t>
                  </w:r>
                  <w:r>
                    <w:rPr>
                      <w:rFonts w:hint="eastAsia" w:cs="Times New Roman"/>
                      <w:b w:val="0"/>
                      <w:bCs w:val="0"/>
                      <w:color w:val="auto"/>
                      <w:sz w:val="21"/>
                      <w:szCs w:val="21"/>
                      <w:u w:val="none"/>
                      <w:lang w:val="en-US" w:eastAsia="zh-CN"/>
                    </w:rPr>
                    <w:t>喷漆、烤漆均在密闭车间进行</w:t>
                  </w:r>
                  <w:r>
                    <w:rPr>
                      <w:rFonts w:hint="eastAsia" w:ascii="Times New Roman" w:hAnsi="Times New Roman" w:eastAsia="宋体" w:cs="Times New Roman"/>
                      <w:b w:val="0"/>
                      <w:bCs w:val="0"/>
                      <w:color w:val="auto"/>
                      <w:sz w:val="21"/>
                      <w:szCs w:val="21"/>
                      <w:u w:val="none"/>
                      <w:lang w:val="en-US" w:eastAsia="zh-CN"/>
                    </w:rPr>
                    <w:t>，有效</w:t>
                  </w:r>
                  <w:r>
                    <w:rPr>
                      <w:rFonts w:hint="eastAsia" w:cs="Times New Roman"/>
                      <w:b w:val="0"/>
                      <w:bCs w:val="0"/>
                      <w:color w:val="auto"/>
                      <w:sz w:val="21"/>
                      <w:szCs w:val="21"/>
                      <w:u w:val="none"/>
                      <w:lang w:val="en-US" w:eastAsia="zh-CN"/>
                    </w:rPr>
                    <w:t>地</w:t>
                  </w:r>
                  <w:r>
                    <w:rPr>
                      <w:rFonts w:hint="eastAsia" w:ascii="Times New Roman" w:hAnsi="Times New Roman" w:eastAsia="宋体" w:cs="Times New Roman"/>
                      <w:b w:val="0"/>
                      <w:bCs w:val="0"/>
                      <w:color w:val="auto"/>
                      <w:sz w:val="21"/>
                      <w:szCs w:val="21"/>
                      <w:u w:val="none"/>
                      <w:lang w:val="en-US" w:eastAsia="zh-CN"/>
                    </w:rPr>
                    <w:t>减少了无组织废气的排放。</w:t>
                  </w:r>
                </w:p>
              </w:tc>
              <w:tc>
                <w:tcPr>
                  <w:tcW w:w="481" w:type="pct"/>
                  <w:tcBorders>
                    <w:tl2br w:val="nil"/>
                    <w:tr2bl w:val="nil"/>
                  </w:tcBorders>
                  <w:noWrap w:val="0"/>
                  <w:vAlign w:val="center"/>
                </w:tcPr>
                <w:p w14:paraId="1A4C818E">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val="en-US" w:eastAsia="zh-CN"/>
                    </w:rPr>
                  </w:pPr>
                  <w:r>
                    <w:rPr>
                      <w:rFonts w:hint="eastAsia" w:ascii="Times New Roman" w:hAnsi="Times New Roman" w:eastAsia="宋体" w:cs="Times New Roman"/>
                      <w:b w:val="0"/>
                      <w:bCs/>
                      <w:color w:val="auto"/>
                      <w:u w:val="none"/>
                      <w:lang w:val="en-US" w:eastAsia="zh-CN"/>
                    </w:rPr>
                    <w:t>符合</w:t>
                  </w:r>
                </w:p>
              </w:tc>
            </w:tr>
            <w:tr w14:paraId="414E9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center"/>
                </w:tcPr>
                <w:p w14:paraId="3D856748">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p>
              </w:tc>
              <w:tc>
                <w:tcPr>
                  <w:tcW w:w="2581" w:type="pct"/>
                  <w:tcBorders>
                    <w:tl2br w:val="nil"/>
                    <w:tr2bl w:val="nil"/>
                  </w:tcBorders>
                  <w:noWrap w:val="0"/>
                  <w:vAlign w:val="center"/>
                </w:tcPr>
                <w:p w14:paraId="619C82E1">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r>
                    <w:rPr>
                      <w:rFonts w:hint="eastAsia" w:ascii="Times New Roman" w:hAnsi="Times New Roman" w:eastAsia="宋体" w:cs="Times New Roman"/>
                      <w:b w:val="0"/>
                      <w:bCs/>
                      <w:color w:val="auto"/>
                      <w:u w:val="none"/>
                      <w:lang w:eastAsia="zh-CN"/>
                    </w:rPr>
                    <w:t>开展含 VOCs 物料（包括含 VOCs 原辅材料、含 VOCs 产品、含 VOCs 废料以及有机聚合物  材料等）储存、转移和输送、设备与管线组件泄漏、敞开液面逸散以及工艺过程等无组织排放环节排查整治</w:t>
                  </w:r>
                </w:p>
              </w:tc>
              <w:tc>
                <w:tcPr>
                  <w:tcW w:w="1565" w:type="pct"/>
                  <w:tcBorders>
                    <w:tl2br w:val="nil"/>
                    <w:tr2bl w:val="nil"/>
                  </w:tcBorders>
                  <w:noWrap w:val="0"/>
                  <w:vAlign w:val="center"/>
                </w:tcPr>
                <w:p w14:paraId="68CCA8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eastAsia" w:ascii="Times New Roman" w:hAnsi="Times New Roman" w:eastAsia="宋体" w:cs="Times New Roman"/>
                      <w:b w:val="0"/>
                      <w:bCs/>
                      <w:color w:val="auto"/>
                      <w:u w:val="none"/>
                      <w:lang w:val="en-US" w:eastAsia="zh-CN"/>
                    </w:rPr>
                  </w:pPr>
                  <w:r>
                    <w:rPr>
                      <w:rFonts w:hint="eastAsia" w:ascii="Times New Roman" w:hAnsi="Times New Roman" w:eastAsia="宋体" w:cs="Times New Roman"/>
                      <w:b w:val="0"/>
                      <w:bCs w:val="0"/>
                      <w:color w:val="auto"/>
                      <w:sz w:val="21"/>
                      <w:szCs w:val="21"/>
                      <w:u w:val="none"/>
                    </w:rPr>
                    <w:t>项目</w:t>
                  </w:r>
                  <w:r>
                    <w:rPr>
                      <w:rFonts w:hint="eastAsia" w:cs="Times New Roman"/>
                      <w:b w:val="0"/>
                      <w:bCs w:val="0"/>
                      <w:color w:val="auto"/>
                      <w:sz w:val="21"/>
                      <w:szCs w:val="21"/>
                      <w:u w:val="none"/>
                      <w:lang w:val="en-US" w:eastAsia="zh-CN"/>
                    </w:rPr>
                    <w:t>喷漆、烤漆均在密闭车间进行</w:t>
                  </w:r>
                  <w:r>
                    <w:rPr>
                      <w:rFonts w:hint="eastAsia" w:ascii="Times New Roman" w:hAnsi="Times New Roman" w:eastAsia="宋体" w:cs="Times New Roman"/>
                      <w:b w:val="0"/>
                      <w:bCs w:val="0"/>
                      <w:color w:val="auto"/>
                      <w:sz w:val="21"/>
                      <w:szCs w:val="21"/>
                      <w:u w:val="none"/>
                      <w:lang w:val="en-US" w:eastAsia="zh-CN"/>
                    </w:rPr>
                    <w:t>，有效</w:t>
                  </w:r>
                  <w:r>
                    <w:rPr>
                      <w:rFonts w:hint="eastAsia" w:cs="Times New Roman"/>
                      <w:b w:val="0"/>
                      <w:bCs w:val="0"/>
                      <w:color w:val="auto"/>
                      <w:sz w:val="21"/>
                      <w:szCs w:val="21"/>
                      <w:u w:val="none"/>
                      <w:lang w:val="en-US" w:eastAsia="zh-CN"/>
                    </w:rPr>
                    <w:t>地</w:t>
                  </w:r>
                  <w:r>
                    <w:rPr>
                      <w:rFonts w:hint="eastAsia" w:ascii="Times New Roman" w:hAnsi="Times New Roman" w:eastAsia="宋体" w:cs="Times New Roman"/>
                      <w:b w:val="0"/>
                      <w:bCs w:val="0"/>
                      <w:color w:val="auto"/>
                      <w:sz w:val="21"/>
                      <w:szCs w:val="21"/>
                      <w:u w:val="none"/>
                      <w:lang w:val="en-US" w:eastAsia="zh-CN"/>
                    </w:rPr>
                    <w:t>减少了无组织废气的排放。</w:t>
                  </w:r>
                </w:p>
              </w:tc>
              <w:tc>
                <w:tcPr>
                  <w:tcW w:w="481" w:type="pct"/>
                  <w:tcBorders>
                    <w:tl2br w:val="nil"/>
                    <w:tr2bl w:val="nil"/>
                  </w:tcBorders>
                  <w:noWrap w:val="0"/>
                  <w:vAlign w:val="center"/>
                </w:tcPr>
                <w:p w14:paraId="2205C869">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rPr>
                  </w:pPr>
                  <w:r>
                    <w:rPr>
                      <w:rFonts w:hint="eastAsia" w:ascii="Times New Roman" w:hAnsi="Times New Roman" w:eastAsia="宋体" w:cs="Times New Roman"/>
                      <w:b w:val="0"/>
                      <w:bCs/>
                      <w:color w:val="auto"/>
                      <w:u w:val="none"/>
                    </w:rPr>
                    <w:t>符合</w:t>
                  </w:r>
                </w:p>
              </w:tc>
            </w:tr>
            <w:tr w14:paraId="4D395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center"/>
                </w:tcPr>
                <w:p w14:paraId="1C85FD4C">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p>
              </w:tc>
              <w:tc>
                <w:tcPr>
                  <w:tcW w:w="2581" w:type="pct"/>
                  <w:tcBorders>
                    <w:tl2br w:val="nil"/>
                    <w:tr2bl w:val="nil"/>
                  </w:tcBorders>
                  <w:noWrap w:val="0"/>
                  <w:vAlign w:val="center"/>
                </w:tcPr>
                <w:p w14:paraId="2D009FDB">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eastAsia="zh-CN"/>
                    </w:rPr>
                  </w:pPr>
                  <w:r>
                    <w:rPr>
                      <w:rFonts w:hint="eastAsia" w:ascii="Times New Roman" w:hAnsi="Times New Roman" w:eastAsia="宋体" w:cs="Times New Roman"/>
                      <w:b w:val="0"/>
                      <w:bCs/>
                      <w:color w:val="auto"/>
                      <w:u w:val="none"/>
                      <w:lang w:eastAsia="zh-CN"/>
                    </w:rPr>
                    <w:t>按照“应收尽收”的原则提升废气收集率。推动取消废气排放系统旁路。</w:t>
                  </w:r>
                </w:p>
              </w:tc>
              <w:tc>
                <w:tcPr>
                  <w:tcW w:w="1565" w:type="pct"/>
                  <w:tcBorders>
                    <w:tl2br w:val="nil"/>
                    <w:tr2bl w:val="nil"/>
                  </w:tcBorders>
                  <w:noWrap w:val="0"/>
                  <w:vAlign w:val="center"/>
                </w:tcPr>
                <w:p w14:paraId="3FC7CF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color w:val="auto"/>
                      <w:u w:val="none"/>
                      <w:lang w:val="en-US" w:eastAsia="zh-CN"/>
                    </w:rPr>
                  </w:pPr>
                  <w:r>
                    <w:rPr>
                      <w:rFonts w:hint="eastAsia" w:ascii="Times New Roman" w:hAnsi="Times New Roman" w:eastAsia="宋体" w:cs="Times New Roman"/>
                      <w:b w:val="0"/>
                      <w:bCs w:val="0"/>
                      <w:color w:val="auto"/>
                      <w:sz w:val="21"/>
                      <w:szCs w:val="21"/>
                      <w:u w:val="none"/>
                    </w:rPr>
                    <w:t>项目</w:t>
                  </w:r>
                  <w:r>
                    <w:rPr>
                      <w:rFonts w:hint="eastAsia" w:cs="Times New Roman"/>
                      <w:b w:val="0"/>
                      <w:bCs w:val="0"/>
                      <w:color w:val="auto"/>
                      <w:sz w:val="21"/>
                      <w:szCs w:val="21"/>
                      <w:u w:val="none"/>
                      <w:lang w:val="en-US" w:eastAsia="zh-CN"/>
                    </w:rPr>
                    <w:t>喷漆、烤漆均在密闭车间进行</w:t>
                  </w:r>
                  <w:r>
                    <w:rPr>
                      <w:rFonts w:hint="eastAsia" w:ascii="Times New Roman" w:hAnsi="Times New Roman" w:eastAsia="宋体" w:cs="Times New Roman"/>
                      <w:b w:val="0"/>
                      <w:bCs w:val="0"/>
                      <w:color w:val="auto"/>
                      <w:sz w:val="21"/>
                      <w:szCs w:val="21"/>
                      <w:u w:val="none"/>
                      <w:lang w:val="en-US" w:eastAsia="zh-CN"/>
                    </w:rPr>
                    <w:t>，有效</w:t>
                  </w:r>
                  <w:r>
                    <w:rPr>
                      <w:rFonts w:hint="eastAsia" w:cs="Times New Roman"/>
                      <w:b w:val="0"/>
                      <w:bCs w:val="0"/>
                      <w:color w:val="auto"/>
                      <w:sz w:val="21"/>
                      <w:szCs w:val="21"/>
                      <w:u w:val="none"/>
                      <w:lang w:val="en-US" w:eastAsia="zh-CN"/>
                    </w:rPr>
                    <w:t>地</w:t>
                  </w:r>
                  <w:r>
                    <w:rPr>
                      <w:rFonts w:hint="eastAsia" w:ascii="Times New Roman" w:hAnsi="Times New Roman" w:eastAsia="宋体" w:cs="Times New Roman"/>
                      <w:b w:val="0"/>
                      <w:bCs w:val="0"/>
                      <w:color w:val="auto"/>
                      <w:sz w:val="21"/>
                      <w:szCs w:val="21"/>
                      <w:u w:val="none"/>
                      <w:lang w:val="en-US" w:eastAsia="zh-CN"/>
                    </w:rPr>
                    <w:t>减少了无组织废气的排放，未设置废气排放系统旁路</w:t>
                  </w:r>
                </w:p>
              </w:tc>
              <w:tc>
                <w:tcPr>
                  <w:tcW w:w="481" w:type="pct"/>
                  <w:tcBorders>
                    <w:tl2br w:val="nil"/>
                    <w:tr2bl w:val="nil"/>
                  </w:tcBorders>
                  <w:noWrap w:val="0"/>
                  <w:vAlign w:val="center"/>
                </w:tcPr>
                <w:p w14:paraId="78836531">
                  <w:pPr>
                    <w:pStyle w:val="53"/>
                    <w:keepNext w:val="0"/>
                    <w:keepLines w:val="0"/>
                    <w:pageBreakBefore w:val="0"/>
                    <w:widowControl/>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b w:val="0"/>
                      <w:bCs/>
                      <w:color w:val="auto"/>
                      <w:u w:val="none"/>
                      <w:lang w:val="en-US" w:eastAsia="zh-CN"/>
                    </w:rPr>
                  </w:pPr>
                  <w:r>
                    <w:rPr>
                      <w:rFonts w:hint="eastAsia" w:ascii="Times New Roman" w:hAnsi="Times New Roman" w:eastAsia="宋体" w:cs="Times New Roman"/>
                      <w:b w:val="0"/>
                      <w:bCs/>
                      <w:color w:val="auto"/>
                      <w:u w:val="none"/>
                      <w:lang w:val="en-US" w:eastAsia="zh-CN"/>
                    </w:rPr>
                    <w:t>符合</w:t>
                  </w:r>
                </w:p>
              </w:tc>
            </w:tr>
          </w:tbl>
          <w:p w14:paraId="77B87409">
            <w:pPr>
              <w:pStyle w:val="29"/>
              <w:bidi w:val="0"/>
              <w:rPr>
                <w:rFonts w:hint="default" w:ascii="Times New Roman" w:hAnsi="Times New Roman" w:cs="Times New Roman"/>
                <w:color w:val="auto"/>
              </w:rPr>
            </w:pPr>
          </w:p>
          <w:p w14:paraId="30937EE6">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10、与《挥发性有机物无组织排放控制标准》（GB37822-2019）符合性分析</w:t>
            </w:r>
          </w:p>
          <w:p w14:paraId="5B4BB7C1">
            <w:pPr>
              <w:pStyle w:val="29"/>
              <w:bidi w:val="0"/>
              <w:rPr>
                <w:rFonts w:hint="eastAsia" w:ascii="Times New Roman" w:hAnsi="Times New Roman" w:cs="Times New Roman"/>
                <w:color w:val="auto"/>
                <w:lang w:val="en-US" w:eastAsia="zh-CN"/>
              </w:rPr>
            </w:pPr>
            <w:r>
              <w:rPr>
                <w:rFonts w:hint="default" w:ascii="Times New Roman" w:hAnsi="Times New Roman" w:cs="Times New Roman"/>
                <w:color w:val="auto"/>
              </w:rPr>
              <w:t>本项目与《挥发性有机物无组织排放控制标准》（GB37822-2019）符合性分析情况见</w:t>
            </w:r>
            <w:r>
              <w:rPr>
                <w:rFonts w:hint="eastAsia" w:ascii="Times New Roman" w:hAnsi="Times New Roman" w:cs="Times New Roman"/>
                <w:color w:val="auto"/>
                <w:lang w:val="en-US" w:eastAsia="zh-CN"/>
              </w:rPr>
              <w:t>表1-11。</w:t>
            </w:r>
          </w:p>
          <w:p w14:paraId="789F0AB6">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w:t>
            </w:r>
            <w:r>
              <w:rPr>
                <w:rFonts w:hint="eastAsia" w:ascii="Times New Roman" w:hAnsi="Times New Roman" w:cs="Times New Roman"/>
                <w:color w:val="auto"/>
                <w:lang w:val="en-US" w:eastAsia="zh-CN"/>
              </w:rPr>
              <w:t>11</w:t>
            </w:r>
            <w:r>
              <w:rPr>
                <w:rFonts w:hint="default" w:ascii="Times New Roman" w:hAnsi="Times New Roman" w:cs="Times New Roman"/>
                <w:color w:val="auto"/>
                <w:lang w:val="en-US" w:eastAsia="zh-CN"/>
              </w:rPr>
              <w:t xml:space="preserve">  项目与《挥发性有机物无组织排放控制标准》（GB37822-2019）符合性分析情况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6"/>
              <w:gridCol w:w="2498"/>
              <w:gridCol w:w="683"/>
            </w:tblGrid>
            <w:tr w14:paraId="309832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45" w:type="dxa"/>
                  <w:tcBorders>
                    <w:top w:val="single" w:color="auto" w:sz="12" w:space="0"/>
                    <w:left w:val="nil"/>
                    <w:bottom w:val="single" w:color="auto" w:sz="4" w:space="0"/>
                    <w:right w:val="single" w:color="auto" w:sz="4" w:space="0"/>
                    <w:tl2br w:val="nil"/>
                    <w:tr2bl w:val="nil"/>
                  </w:tcBorders>
                  <w:noWrap w:val="0"/>
                  <w:vAlign w:val="center"/>
                </w:tcPr>
                <w:p w14:paraId="38093C8B">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标准要求</w:t>
                  </w:r>
                </w:p>
              </w:tc>
              <w:tc>
                <w:tcPr>
                  <w:tcW w:w="2491"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FD2992D">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项目实际情况</w:t>
                  </w:r>
                </w:p>
              </w:tc>
              <w:tc>
                <w:tcPr>
                  <w:tcW w:w="683" w:type="dxa"/>
                  <w:tcBorders>
                    <w:top w:val="single" w:color="auto" w:sz="12" w:space="0"/>
                    <w:left w:val="single" w:color="auto" w:sz="4" w:space="0"/>
                    <w:bottom w:val="single" w:color="auto" w:sz="4" w:space="0"/>
                    <w:right w:val="nil"/>
                    <w:tl2br w:val="nil"/>
                    <w:tr2bl w:val="nil"/>
                  </w:tcBorders>
                  <w:noWrap w:val="0"/>
                  <w:vAlign w:val="center"/>
                </w:tcPr>
                <w:p w14:paraId="603718CB">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是否符合</w:t>
                  </w:r>
                </w:p>
              </w:tc>
            </w:tr>
            <w:tr w14:paraId="7D7BDF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45" w:type="dxa"/>
                  <w:tcBorders>
                    <w:top w:val="single" w:color="auto" w:sz="4" w:space="0"/>
                    <w:left w:val="nil"/>
                    <w:bottom w:val="single" w:color="auto" w:sz="4" w:space="0"/>
                    <w:right w:val="single" w:color="auto" w:sz="4" w:space="0"/>
                    <w:tl2br w:val="nil"/>
                    <w:tr2bl w:val="nil"/>
                  </w:tcBorders>
                  <w:noWrap w:val="0"/>
                  <w:vAlign w:val="center"/>
                </w:tcPr>
                <w:p w14:paraId="2C5756FD">
                  <w:pPr>
                    <w:pStyle w:val="3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5.1.1 VOCs 物料应储存于密闭的容器、包装袋、储罐、储库、料仓中；</w:t>
                  </w:r>
                </w:p>
                <w:p w14:paraId="1203481E">
                  <w:pPr>
                    <w:pStyle w:val="30"/>
                    <w:rPr>
                      <w:rFonts w:hint="default" w:ascii="Times New Roman" w:hAnsi="Times New Roman" w:cs="Times New Roman"/>
                      <w:color w:val="auto"/>
                      <w:sz w:val="21"/>
                      <w:szCs w:val="24"/>
                      <w:highlight w:val="yellow"/>
                    </w:rPr>
                  </w:pPr>
                  <w:r>
                    <w:rPr>
                      <w:rFonts w:hint="default" w:ascii="Times New Roman" w:hAnsi="Times New Roman" w:cs="Times New Roman"/>
                      <w:color w:val="auto"/>
                      <w:sz w:val="21"/>
                      <w:szCs w:val="24"/>
                      <w:highlight w:val="none"/>
                    </w:rPr>
                    <w:t>5.1.2 盛装 VOCs 物料的容器或包装袋应存放于室内，或存放于设置有雨棚、遮阳和防渗设施的专用场地；盛装VOCs 物料的容器或包装袋在非取用状态时应加盖、封口，保持密闭。</w:t>
                  </w:r>
                </w:p>
              </w:tc>
              <w:tc>
                <w:tcPr>
                  <w:tcW w:w="2491" w:type="dxa"/>
                  <w:vMerge w:val="restart"/>
                  <w:tcBorders>
                    <w:top w:val="single" w:color="auto" w:sz="4" w:space="0"/>
                    <w:left w:val="single" w:color="auto" w:sz="4" w:space="0"/>
                    <w:right w:val="single" w:color="auto" w:sz="4" w:space="0"/>
                    <w:tl2br w:val="nil"/>
                    <w:tr2bl w:val="nil"/>
                  </w:tcBorders>
                  <w:noWrap w:val="0"/>
                  <w:vAlign w:val="center"/>
                </w:tcPr>
                <w:p w14:paraId="57EBBE7F">
                  <w:pPr>
                    <w:pStyle w:val="30"/>
                    <w:rPr>
                      <w:rFonts w:hint="default" w:ascii="Times New Roman" w:hAnsi="Times New Roman" w:eastAsia="宋体"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油漆存放在密闭油漆桶中，采用密闭容器转移</w:t>
                  </w:r>
                </w:p>
              </w:tc>
              <w:tc>
                <w:tcPr>
                  <w:tcW w:w="683" w:type="dxa"/>
                  <w:tcBorders>
                    <w:top w:val="single" w:color="auto" w:sz="4" w:space="0"/>
                    <w:left w:val="single" w:color="auto" w:sz="4" w:space="0"/>
                    <w:bottom w:val="single" w:color="auto" w:sz="4" w:space="0"/>
                    <w:right w:val="nil"/>
                    <w:tl2br w:val="nil"/>
                    <w:tr2bl w:val="nil"/>
                  </w:tcBorders>
                  <w:noWrap w:val="0"/>
                  <w:vAlign w:val="center"/>
                </w:tcPr>
                <w:p w14:paraId="6CF22B7D">
                  <w:pPr>
                    <w:pStyle w:val="3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6DC77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45" w:type="dxa"/>
                  <w:tcBorders>
                    <w:top w:val="single" w:color="auto" w:sz="4" w:space="0"/>
                    <w:left w:val="nil"/>
                    <w:bottom w:val="single" w:color="auto" w:sz="4" w:space="0"/>
                    <w:right w:val="single" w:color="auto" w:sz="4" w:space="0"/>
                    <w:tl2br w:val="nil"/>
                    <w:tr2bl w:val="nil"/>
                  </w:tcBorders>
                  <w:noWrap w:val="0"/>
                  <w:vAlign w:val="center"/>
                </w:tcPr>
                <w:p w14:paraId="53FB62D9">
                  <w:pPr>
                    <w:pStyle w:val="3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6.1.1 液态 VOCs 物料应采用密闭管道输送。采用非管道输送方式转移液态物料时，应采用密闭容器、罐车。</w:t>
                  </w:r>
                </w:p>
                <w:p w14:paraId="174DC4E4">
                  <w:pPr>
                    <w:pStyle w:val="3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6.1.2 粉状、粒状 VOCs 物料应采用气力输送设备、管状带式输送机、螺旋输送机等密闭输送方式。</w:t>
                  </w:r>
                </w:p>
              </w:tc>
              <w:tc>
                <w:tcPr>
                  <w:tcW w:w="2491" w:type="dxa"/>
                  <w:vMerge w:val="continue"/>
                  <w:tcBorders>
                    <w:left w:val="single" w:color="auto" w:sz="4" w:space="0"/>
                    <w:bottom w:val="single" w:color="auto" w:sz="4" w:space="0"/>
                    <w:right w:val="single" w:color="auto" w:sz="4" w:space="0"/>
                    <w:tl2br w:val="nil"/>
                    <w:tr2bl w:val="nil"/>
                  </w:tcBorders>
                  <w:noWrap w:val="0"/>
                  <w:vAlign w:val="center"/>
                </w:tcPr>
                <w:p w14:paraId="0D8FDB5B">
                  <w:pPr>
                    <w:pStyle w:val="30"/>
                    <w:rPr>
                      <w:rFonts w:hint="default" w:ascii="Times New Roman" w:hAnsi="Times New Roman" w:cs="Times New Roman"/>
                      <w:color w:val="auto"/>
                      <w:sz w:val="21"/>
                      <w:szCs w:val="24"/>
                      <w:highlight w:val="none"/>
                    </w:rPr>
                  </w:pPr>
                </w:p>
              </w:tc>
              <w:tc>
                <w:tcPr>
                  <w:tcW w:w="683" w:type="dxa"/>
                  <w:tcBorders>
                    <w:top w:val="single" w:color="auto" w:sz="4" w:space="0"/>
                    <w:left w:val="single" w:color="auto" w:sz="4" w:space="0"/>
                    <w:bottom w:val="single" w:color="auto" w:sz="4" w:space="0"/>
                    <w:right w:val="nil"/>
                    <w:tl2br w:val="nil"/>
                    <w:tr2bl w:val="nil"/>
                  </w:tcBorders>
                  <w:noWrap w:val="0"/>
                  <w:vAlign w:val="center"/>
                </w:tcPr>
                <w:p w14:paraId="6EFD20E7">
                  <w:pPr>
                    <w:pStyle w:val="30"/>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2D492F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45" w:type="dxa"/>
                  <w:tcBorders>
                    <w:top w:val="single" w:color="auto" w:sz="4" w:space="0"/>
                    <w:left w:val="nil"/>
                    <w:bottom w:val="single" w:color="auto" w:sz="4" w:space="0"/>
                    <w:right w:val="single" w:color="auto" w:sz="4" w:space="0"/>
                    <w:tl2br w:val="nil"/>
                    <w:tr2bl w:val="nil"/>
                  </w:tcBorders>
                  <w:noWrap w:val="0"/>
                  <w:vAlign w:val="center"/>
                </w:tcPr>
                <w:p w14:paraId="41EFC726">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7.3.1 企业应建立台帐，记录含 VOCs 原辅材料和含 VOCs产品的名称、使用量、回收量、废弃量、去向以及 VOCs含量等信息。台帐保存期限不少于3年。</w:t>
                  </w:r>
                </w:p>
                <w:p w14:paraId="04852EE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7.3.2 通风生产设备、操作工位、车间厂房等应在符合安全生产、职业卫生相关规定的前提下，根据行业作业规程与标准、工业建筑及洁净厂房通风设计规范等的要求，采用合理的通风量。</w:t>
                  </w:r>
                </w:p>
                <w:p w14:paraId="4B594F91">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7.3.3 载有 VOCs 物料的设备及其管道在开停车、检维修和清洗时，应在退料阶段将残存物料退净，并用密闭容器盛装，退料过程中废气应排至废气收集处理系统。</w:t>
                  </w:r>
                </w:p>
              </w:tc>
              <w:tc>
                <w:tcPr>
                  <w:tcW w:w="249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0A6A8F">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企业将建立相关台帐并</w:t>
                  </w:r>
                  <w:r>
                    <w:rPr>
                      <w:rFonts w:hint="eastAsia" w:ascii="Times New Roman" w:hAnsi="Times New Roman" w:cs="Times New Roman"/>
                      <w:color w:val="auto"/>
                      <w:sz w:val="21"/>
                      <w:szCs w:val="24"/>
                      <w:lang w:eastAsia="zh-CN"/>
                    </w:rPr>
                    <w:t>做好</w:t>
                  </w:r>
                  <w:r>
                    <w:rPr>
                      <w:rFonts w:hint="default" w:ascii="Times New Roman" w:hAnsi="Times New Roman" w:cs="Times New Roman"/>
                      <w:color w:val="auto"/>
                      <w:sz w:val="21"/>
                      <w:szCs w:val="24"/>
                    </w:rPr>
                    <w:t>记录；</w:t>
                  </w:r>
                </w:p>
                <w:p w14:paraId="084265C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企业根据要求落实安全、消防措施。</w:t>
                  </w:r>
                </w:p>
              </w:tc>
              <w:tc>
                <w:tcPr>
                  <w:tcW w:w="683" w:type="dxa"/>
                  <w:tcBorders>
                    <w:top w:val="single" w:color="auto" w:sz="4" w:space="0"/>
                    <w:left w:val="single" w:color="auto" w:sz="4" w:space="0"/>
                    <w:bottom w:val="single" w:color="auto" w:sz="4" w:space="0"/>
                    <w:right w:val="nil"/>
                    <w:tl2br w:val="nil"/>
                    <w:tr2bl w:val="nil"/>
                  </w:tcBorders>
                  <w:noWrap w:val="0"/>
                  <w:vAlign w:val="center"/>
                </w:tcPr>
                <w:p w14:paraId="51281C25">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r w14:paraId="7F312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45" w:type="dxa"/>
                  <w:tcBorders>
                    <w:top w:val="single" w:color="auto" w:sz="4" w:space="0"/>
                    <w:left w:val="nil"/>
                    <w:bottom w:val="single" w:color="auto" w:sz="12" w:space="0"/>
                    <w:right w:val="single" w:color="auto" w:sz="4" w:space="0"/>
                    <w:tl2br w:val="nil"/>
                    <w:tr2bl w:val="nil"/>
                  </w:tcBorders>
                  <w:noWrap w:val="0"/>
                  <w:vAlign w:val="center"/>
                </w:tcPr>
                <w:p w14:paraId="70B2038D">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10.3.1VOCs 废气收集处理系统污染物排放应符合GB16297 或相关行业排放标准的规定。</w:t>
                  </w:r>
                </w:p>
                <w:p w14:paraId="30F4FD43">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10.3.2收集的废气中 NMHC 初始排放速率≥3kg/h时，应配置 VOCs 处理设施，处理效率不应低于80%；对于重点地区，收集的废气中 NMHC 初始排放速率≥2kg/h 时，应配置 VOCs 处理设施，处理效率不应低于 80%；采用的原辅材料符合国家有关低 VOCs 含量产品规定的除外。</w:t>
                  </w:r>
                </w:p>
              </w:tc>
              <w:tc>
                <w:tcPr>
                  <w:tcW w:w="2491"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F11AFF7">
                  <w:pPr>
                    <w:pStyle w:val="30"/>
                    <w:bidi w:val="0"/>
                    <w:rPr>
                      <w:rFonts w:hint="default" w:ascii="Times New Roman" w:hAnsi="Times New Roman" w:cs="Times New Roman"/>
                      <w:color w:val="auto"/>
                      <w:lang w:val="en-US" w:eastAsia="zh-CN"/>
                    </w:rPr>
                  </w:pPr>
                </w:p>
                <w:p w14:paraId="19BFFA33">
                  <w:pPr>
                    <w:pStyle w:val="30"/>
                    <w:bidi w:val="0"/>
                    <w:ind w:firstLine="0" w:firstLineChars="0"/>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lang w:val="en-US" w:eastAsia="zh-CN"/>
                    </w:rPr>
                    <w:t>本项目</w:t>
                  </w:r>
                  <w:r>
                    <w:rPr>
                      <w:rFonts w:hint="eastAsia" w:ascii="Times New Roman" w:hAnsi="Times New Roman" w:cs="Times New Roman"/>
                      <w:color w:val="auto"/>
                      <w:lang w:val="en-US" w:eastAsia="zh-CN"/>
                    </w:rPr>
                    <w:t>有机废气</w:t>
                  </w:r>
                  <w:r>
                    <w:rPr>
                      <w:rFonts w:hint="default" w:ascii="Times New Roman" w:hAnsi="Times New Roman" w:cs="Times New Roman"/>
                      <w:color w:val="auto"/>
                      <w:sz w:val="21"/>
                      <w:szCs w:val="21"/>
                      <w:lang w:val="en-US" w:eastAsia="zh-CN"/>
                    </w:rPr>
                    <w:t>经</w:t>
                  </w:r>
                  <w:r>
                    <w:rPr>
                      <w:rFonts w:hint="eastAsia" w:ascii="Times New Roman" w:hAnsi="Times New Roman" w:cs="Times New Roman"/>
                      <w:color w:val="auto"/>
                      <w:sz w:val="21"/>
                      <w:szCs w:val="21"/>
                      <w:lang w:val="en-US" w:eastAsia="zh-CN"/>
                    </w:rPr>
                    <w:t>密闭喷漆烤漆房</w:t>
                  </w:r>
                  <w:r>
                    <w:rPr>
                      <w:rFonts w:hint="default" w:ascii="Times New Roman" w:hAnsi="Times New Roman" w:cs="Times New Roman"/>
                      <w:color w:val="auto"/>
                      <w:sz w:val="21"/>
                      <w:szCs w:val="21"/>
                    </w:rPr>
                    <w:t>集气设施+</w:t>
                  </w:r>
                  <w:r>
                    <w:rPr>
                      <w:rFonts w:hint="eastAsia" w:ascii="Times New Roman" w:hAnsi="Times New Roman" w:cs="Times New Roman"/>
                      <w:color w:val="auto"/>
                      <w:sz w:val="21"/>
                      <w:szCs w:val="21"/>
                      <w:lang w:val="en-US" w:eastAsia="zh-CN"/>
                    </w:rPr>
                    <w:t>活性炭吸附脱附+催化燃烧装置</w:t>
                  </w:r>
                  <w:r>
                    <w:rPr>
                      <w:rFonts w:hint="default" w:ascii="Times New Roman" w:hAnsi="Times New Roman" w:cs="Times New Roman"/>
                      <w:color w:val="auto"/>
                      <w:sz w:val="21"/>
                      <w:szCs w:val="21"/>
                      <w:lang w:val="en-US" w:eastAsia="zh-CN"/>
                    </w:rPr>
                    <w:t>收集处理后，通过</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5m排气筒（DA00</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）外排</w:t>
                  </w:r>
                  <w:r>
                    <w:rPr>
                      <w:rFonts w:hint="eastAsia" w:ascii="Times New Roman" w:hAnsi="Times New Roman" w:cs="Times New Roman"/>
                      <w:color w:val="auto"/>
                      <w:sz w:val="21"/>
                      <w:szCs w:val="21"/>
                      <w:lang w:val="en-US" w:eastAsia="zh-CN"/>
                    </w:rPr>
                    <w:t>，处理效率能够达到80%以上</w:t>
                  </w:r>
                </w:p>
              </w:tc>
              <w:tc>
                <w:tcPr>
                  <w:tcW w:w="683" w:type="dxa"/>
                  <w:tcBorders>
                    <w:top w:val="single" w:color="auto" w:sz="4" w:space="0"/>
                    <w:left w:val="single" w:color="auto" w:sz="4" w:space="0"/>
                    <w:bottom w:val="single" w:color="auto" w:sz="12" w:space="0"/>
                    <w:right w:val="nil"/>
                    <w:tl2br w:val="nil"/>
                    <w:tr2bl w:val="nil"/>
                  </w:tcBorders>
                  <w:noWrap w:val="0"/>
                  <w:vAlign w:val="center"/>
                </w:tcPr>
                <w:p w14:paraId="746CC9F7">
                  <w:pPr>
                    <w:pStyle w:val="3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符合</w:t>
                  </w:r>
                </w:p>
              </w:tc>
            </w:tr>
          </w:tbl>
          <w:p w14:paraId="682E12C0">
            <w:pPr>
              <w:pStyle w:val="29"/>
              <w:bidi w:val="0"/>
              <w:rPr>
                <w:rFonts w:hint="default" w:ascii="Times New Roman" w:hAnsi="Times New Roman" w:cs="Times New Roman"/>
                <w:color w:val="auto"/>
              </w:rPr>
            </w:pPr>
            <w:r>
              <w:rPr>
                <w:rFonts w:hint="default" w:ascii="Times New Roman" w:hAnsi="Times New Roman" w:cs="Times New Roman"/>
                <w:color w:val="auto"/>
              </w:rPr>
              <w:t>根据上述内容</w:t>
            </w:r>
            <w:r>
              <w:rPr>
                <w:rFonts w:hint="eastAsia" w:ascii="Times New Roman" w:hAnsi="Times New Roman" w:cs="Times New Roman"/>
                <w:color w:val="auto"/>
                <w:lang w:val="en-US" w:eastAsia="zh-CN"/>
              </w:rPr>
              <w:t>可知</w:t>
            </w:r>
            <w:r>
              <w:rPr>
                <w:rFonts w:hint="default" w:ascii="Times New Roman" w:hAnsi="Times New Roman" w:cs="Times New Roman"/>
                <w:color w:val="auto"/>
              </w:rPr>
              <w:t>，本项目符合《挥发性有机物无组织排放控制标准》（GB37822-2019）相关要求。</w:t>
            </w:r>
          </w:p>
          <w:p w14:paraId="750177A3">
            <w:pPr>
              <w:widowControl w:val="0"/>
              <w:bidi w:val="0"/>
              <w:adjustRightInd/>
              <w:snapToGrid/>
              <w:spacing w:after="2" w:line="360" w:lineRule="auto"/>
              <w:ind w:firstLine="482" w:firstLineChars="200"/>
              <w:jc w:val="both"/>
              <w:rPr>
                <w:rFonts w:hint="default"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b/>
                <w:bCs/>
                <w:color w:val="auto"/>
                <w:kern w:val="2"/>
                <w:sz w:val="24"/>
                <w:szCs w:val="22"/>
                <w:highlight w:val="none"/>
                <w:u w:val="none"/>
                <w:lang w:val="en-US" w:eastAsia="zh-CN" w:bidi="ar-SA"/>
              </w:rPr>
              <w:t>11、与《湖南省大气污染防治“守护蓝天”攻坚行动计划（2023-2025年）》符合性分析</w:t>
            </w:r>
          </w:p>
          <w:p w14:paraId="77846F89">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本项目与《湖南省大气污染防治“守护蓝天”攻坚行动计划（2023-2025年）》符合性分析情况见表1-12。</w:t>
            </w:r>
          </w:p>
          <w:p w14:paraId="5ABAF173">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auto"/>
                <w:kern w:val="2"/>
                <w:sz w:val="21"/>
                <w:szCs w:val="22"/>
                <w:highlight w:val="none"/>
                <w:u w:val="none"/>
                <w:lang w:val="en-US" w:eastAsia="zh-CN" w:bidi="ar-SA"/>
              </w:rPr>
            </w:pPr>
            <w:r>
              <w:rPr>
                <w:rFonts w:hint="default" w:ascii="Times New Roman" w:hAnsi="Times New Roman" w:eastAsia="宋体" w:cs="Times New Roman"/>
                <w:b/>
                <w:color w:val="auto"/>
                <w:kern w:val="2"/>
                <w:sz w:val="21"/>
                <w:szCs w:val="22"/>
                <w:u w:val="single"/>
                <w:lang w:val="en-US" w:eastAsia="zh-CN" w:bidi="ar-SA"/>
              </w:rPr>
              <w:t>表</w:t>
            </w:r>
            <w:r>
              <w:rPr>
                <w:rFonts w:hint="default" w:ascii="Times New Roman" w:hAnsi="Times New Roman" w:eastAsia="宋体" w:cs="Times New Roman"/>
                <w:b/>
                <w:color w:val="auto"/>
                <w:kern w:val="2"/>
                <w:sz w:val="21"/>
                <w:szCs w:val="22"/>
                <w:u w:val="none"/>
                <w:lang w:val="en-US" w:eastAsia="zh-CN" w:bidi="ar-SA"/>
              </w:rPr>
              <w:t>1-1</w:t>
            </w:r>
            <w:r>
              <w:rPr>
                <w:rFonts w:hint="eastAsia" w:ascii="Times New Roman" w:hAnsi="Times New Roman" w:eastAsia="宋体" w:cs="Times New Roman"/>
                <w:b/>
                <w:color w:val="auto"/>
                <w:kern w:val="2"/>
                <w:sz w:val="21"/>
                <w:szCs w:val="22"/>
                <w:u w:val="none"/>
                <w:lang w:val="en-US" w:eastAsia="zh-CN" w:bidi="ar-SA"/>
              </w:rPr>
              <w:t>2</w:t>
            </w:r>
            <w:r>
              <w:rPr>
                <w:rFonts w:hint="default" w:ascii="Times New Roman" w:hAnsi="Times New Roman" w:eastAsia="宋体" w:cs="Times New Roman"/>
                <w:b/>
                <w:color w:val="auto"/>
                <w:kern w:val="2"/>
                <w:sz w:val="21"/>
                <w:szCs w:val="22"/>
                <w:u w:val="none"/>
                <w:lang w:val="en-US" w:eastAsia="zh-CN" w:bidi="ar-SA"/>
              </w:rPr>
              <w:t xml:space="preserve">  项目与《湖南省大气污染防治“守护蓝天”攻坚行动计划（2023-2025年）》符合性分析情况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5"/>
              <w:gridCol w:w="3294"/>
              <w:gridCol w:w="2440"/>
              <w:gridCol w:w="768"/>
            </w:tblGrid>
            <w:tr w14:paraId="668F7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tcBorders>
                    <w:top w:val="single" w:color="auto" w:sz="12" w:space="0"/>
                    <w:left w:val="nil"/>
                    <w:bottom w:val="single" w:color="auto" w:sz="4" w:space="0"/>
                    <w:right w:val="single" w:color="auto" w:sz="4" w:space="0"/>
                    <w:tl2br w:val="nil"/>
                    <w:tr2bl w:val="nil"/>
                  </w:tcBorders>
                  <w:noWrap w:val="0"/>
                  <w:vAlign w:val="center"/>
                </w:tcPr>
                <w:p w14:paraId="3DC23574">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内容</w:t>
                  </w:r>
                </w:p>
              </w:tc>
              <w:tc>
                <w:tcPr>
                  <w:tcW w:w="324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ABCCBCB">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与本项目有关要求</w:t>
                  </w:r>
                </w:p>
              </w:tc>
              <w:tc>
                <w:tcPr>
                  <w:tcW w:w="240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0A0F7B6">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项目实际情况</w:t>
                  </w:r>
                </w:p>
              </w:tc>
              <w:tc>
                <w:tcPr>
                  <w:tcW w:w="756" w:type="dxa"/>
                  <w:tcBorders>
                    <w:top w:val="single" w:color="auto" w:sz="12" w:space="0"/>
                    <w:left w:val="single" w:color="auto" w:sz="4" w:space="0"/>
                    <w:bottom w:val="single" w:color="auto" w:sz="4" w:space="0"/>
                    <w:right w:val="nil"/>
                    <w:tl2br w:val="nil"/>
                    <w:tr2bl w:val="nil"/>
                  </w:tcBorders>
                  <w:noWrap w:val="0"/>
                  <w:vAlign w:val="center"/>
                </w:tcPr>
                <w:p w14:paraId="1C12DB6D">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是否符合</w:t>
                  </w:r>
                </w:p>
              </w:tc>
            </w:tr>
            <w:tr w14:paraId="013E6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vMerge w:val="restart"/>
                  <w:tcBorders>
                    <w:top w:val="single" w:color="auto" w:sz="4" w:space="0"/>
                    <w:left w:val="nil"/>
                    <w:bottom w:val="single" w:color="auto" w:sz="4" w:space="0"/>
                    <w:right w:val="single" w:color="auto" w:sz="4" w:space="0"/>
                    <w:tl2br w:val="nil"/>
                    <w:tr2bl w:val="nil"/>
                  </w:tcBorders>
                  <w:noWrap w:val="0"/>
                  <w:vAlign w:val="center"/>
                </w:tcPr>
                <w:p w14:paraId="7EF40A32">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二、攻坚任务：（二）工业和信息化领域</w:t>
                  </w:r>
                </w:p>
              </w:tc>
              <w:tc>
                <w:tcPr>
                  <w:tcW w:w="32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A732CE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1、优化产业结构和布局。严格项目准入，遏制“两高一低”项目盲目发展。落实产业规划及产业政策，严格执行重点行业产能置换办法，依法依规淘汰落后产能。优化产业链布局，开展传统产业集群排查整治，推进重点涉气企业入区入园。到 2025 年按照相关政策和环保标准整合关停环境绩效水平低的砖瓦企业。</w:t>
                  </w:r>
                </w:p>
              </w:tc>
              <w:tc>
                <w:tcPr>
                  <w:tcW w:w="24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3E00A9F">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eastAsia" w:ascii="Times New Roman" w:hAnsi="Times New Roman" w:eastAsia="宋体" w:cs="Times New Roman"/>
                      <w:color w:val="auto"/>
                      <w:kern w:val="2"/>
                      <w:sz w:val="21"/>
                      <w:szCs w:val="24"/>
                      <w:u w:val="none"/>
                      <w:lang w:val="en-US" w:eastAsia="zh-CN" w:bidi="ar-SA"/>
                    </w:rPr>
                    <w:t xml:space="preserve">本项目属于C3823 配电开关控制设备制造，不属于“两高一低”项目；符合国家及地方产业规划及产业政策，不涉及落后产能；本项目位于衡阳高新技术产业开发区白沙片区；本项目不属于砖瓦行业。 </w:t>
                  </w:r>
                </w:p>
              </w:tc>
              <w:tc>
                <w:tcPr>
                  <w:tcW w:w="756" w:type="dxa"/>
                  <w:tcBorders>
                    <w:top w:val="single" w:color="auto" w:sz="4" w:space="0"/>
                    <w:left w:val="single" w:color="auto" w:sz="4" w:space="0"/>
                    <w:bottom w:val="single" w:color="auto" w:sz="4" w:space="0"/>
                    <w:right w:val="nil"/>
                    <w:tl2br w:val="nil"/>
                    <w:tr2bl w:val="nil"/>
                  </w:tcBorders>
                  <w:noWrap w:val="0"/>
                  <w:vAlign w:val="center"/>
                </w:tcPr>
                <w:p w14:paraId="067FB72F">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2E0BBD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vMerge w:val="continue"/>
                  <w:tcBorders>
                    <w:top w:val="single" w:color="auto" w:sz="4" w:space="0"/>
                    <w:left w:val="nil"/>
                    <w:bottom w:val="single" w:color="auto" w:sz="4" w:space="0"/>
                    <w:right w:val="single" w:color="auto" w:sz="4" w:space="0"/>
                    <w:tl2br w:val="nil"/>
                    <w:tr2bl w:val="nil"/>
                  </w:tcBorders>
                  <w:noWrap w:val="0"/>
                  <w:vAlign w:val="center"/>
                </w:tcPr>
                <w:p w14:paraId="4181EC2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p>
              </w:tc>
              <w:tc>
                <w:tcPr>
                  <w:tcW w:w="32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058ACB">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2、加大低 VOCs 原辅材料替代力度。建立多部门联合执法机制，加大监督检查力度，确保生产、销售、使用符合 VOCs含量限值标准的产品。以工业涂装、包装印刷和胶粘剂使用等为重点，在企业清洁生产审核中明确提出低 VOCs 原辅材料替代要求。</w:t>
                  </w:r>
                </w:p>
              </w:tc>
              <w:tc>
                <w:tcPr>
                  <w:tcW w:w="24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4552E1">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w:t>
                  </w:r>
                  <w:r>
                    <w:rPr>
                      <w:rFonts w:hint="eastAsia" w:ascii="Times New Roman" w:hAnsi="Times New Roman" w:cs="Times New Roman"/>
                      <w:color w:val="auto"/>
                      <w:u w:val="single"/>
                      <w:lang w:val="en-US" w:eastAsia="zh-CN"/>
                    </w:rPr>
                    <w:t>根据建设单位提供的油漆MSDS，使用的底漆、面漆满足《GB/T 38597-2020》中低挥发性有机化合物涂料要求</w:t>
                  </w:r>
                  <w:r>
                    <w:rPr>
                      <w:rFonts w:hint="eastAsia" w:ascii="Times New Roman" w:hAnsi="Times New Roman" w:eastAsia="宋体" w:cs="Times New Roman"/>
                      <w:color w:val="auto"/>
                      <w:kern w:val="2"/>
                      <w:sz w:val="21"/>
                      <w:szCs w:val="24"/>
                      <w:u w:val="none"/>
                      <w:lang w:val="en-US" w:eastAsia="zh-CN" w:bidi="ar-SA"/>
                    </w:rPr>
                    <w:t xml:space="preserve">。 </w:t>
                  </w:r>
                </w:p>
              </w:tc>
              <w:tc>
                <w:tcPr>
                  <w:tcW w:w="756" w:type="dxa"/>
                  <w:tcBorders>
                    <w:top w:val="single" w:color="auto" w:sz="4" w:space="0"/>
                    <w:left w:val="single" w:color="auto" w:sz="4" w:space="0"/>
                    <w:bottom w:val="single" w:color="auto" w:sz="4" w:space="0"/>
                    <w:right w:val="nil"/>
                    <w:tl2br w:val="nil"/>
                    <w:tr2bl w:val="nil"/>
                  </w:tcBorders>
                  <w:noWrap w:val="0"/>
                  <w:vAlign w:val="center"/>
                </w:tcPr>
                <w:p w14:paraId="61D283BF">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21796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vMerge w:val="restart"/>
                  <w:tcBorders>
                    <w:top w:val="single" w:color="auto" w:sz="4" w:space="0"/>
                    <w:left w:val="nil"/>
                    <w:bottom w:val="single" w:color="auto" w:sz="4" w:space="0"/>
                    <w:right w:val="single" w:color="auto" w:sz="4" w:space="0"/>
                    <w:tl2br w:val="nil"/>
                    <w:tr2bl w:val="nil"/>
                  </w:tcBorders>
                  <w:noWrap w:val="0"/>
                  <w:vAlign w:val="center"/>
                </w:tcPr>
                <w:p w14:paraId="77275BCD">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（四）工业治理领域</w:t>
                  </w:r>
                </w:p>
              </w:tc>
              <w:tc>
                <w:tcPr>
                  <w:tcW w:w="32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1506FB">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1、推进锅窑炉超低排放与深度治理。全面开展钢铁、水泥行业超低排放改造，深入开展锅炉窑炉深度治理和简易低效处理设施排查，对高排放重点行业开展专项整治。</w:t>
                  </w:r>
                </w:p>
              </w:tc>
              <w:tc>
                <w:tcPr>
                  <w:tcW w:w="24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C545C7">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w:t>
                  </w:r>
                  <w:r>
                    <w:rPr>
                      <w:rFonts w:hint="eastAsia" w:cs="Times New Roman"/>
                      <w:color w:val="auto"/>
                      <w:kern w:val="2"/>
                      <w:sz w:val="21"/>
                      <w:szCs w:val="24"/>
                      <w:u w:val="none"/>
                      <w:lang w:val="en-US" w:eastAsia="zh-CN" w:bidi="ar-SA"/>
                    </w:rPr>
                    <w:t>不涉及锅窑炉</w:t>
                  </w:r>
                  <w:r>
                    <w:rPr>
                      <w:rFonts w:hint="eastAsia" w:ascii="Times New Roman" w:hAnsi="Times New Roman" w:eastAsia="宋体" w:cs="Times New Roman"/>
                      <w:color w:val="auto"/>
                      <w:kern w:val="2"/>
                      <w:sz w:val="21"/>
                      <w:szCs w:val="24"/>
                      <w:u w:val="none"/>
                      <w:lang w:val="en-US" w:eastAsia="zh-CN" w:bidi="ar-SA"/>
                    </w:rPr>
                    <w:t>。</w:t>
                  </w:r>
                </w:p>
              </w:tc>
              <w:tc>
                <w:tcPr>
                  <w:tcW w:w="756" w:type="dxa"/>
                  <w:tcBorders>
                    <w:top w:val="single" w:color="auto" w:sz="4" w:space="0"/>
                    <w:left w:val="single" w:color="auto" w:sz="4" w:space="0"/>
                    <w:bottom w:val="single" w:color="auto" w:sz="4" w:space="0"/>
                    <w:right w:val="nil"/>
                    <w:tl2br w:val="nil"/>
                    <w:tr2bl w:val="nil"/>
                  </w:tcBorders>
                  <w:noWrap w:val="0"/>
                  <w:vAlign w:val="center"/>
                </w:tcPr>
                <w:p w14:paraId="57E8678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184EA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vMerge w:val="continue"/>
                  <w:tcBorders>
                    <w:top w:val="single" w:color="auto" w:sz="4" w:space="0"/>
                    <w:left w:val="nil"/>
                    <w:bottom w:val="single" w:color="auto" w:sz="4" w:space="0"/>
                    <w:right w:val="single" w:color="auto" w:sz="4" w:space="0"/>
                    <w:tl2br w:val="nil"/>
                    <w:tr2bl w:val="nil"/>
                  </w:tcBorders>
                  <w:noWrap w:val="0"/>
                  <w:vAlign w:val="center"/>
                </w:tcPr>
                <w:p w14:paraId="4175EF45">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p>
              </w:tc>
              <w:tc>
                <w:tcPr>
                  <w:tcW w:w="32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2610A5A">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2、开展涉 VOCs 重点行业全流程整治。持续开展 VOCs 治理突出问题排查，清理整顿简易低效、不合规定治理设施，强化无组织和非正常工况废气排放管控。规范开展泄漏检测与修复推动各市州分别新建 1-3 个涉 VOC“s 绿岛”项目。</w:t>
                  </w:r>
                </w:p>
              </w:tc>
              <w:tc>
                <w:tcPr>
                  <w:tcW w:w="24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79EE0C">
                  <w:pPr>
                    <w:pStyle w:val="30"/>
                    <w:bidi w:val="0"/>
                    <w:rPr>
                      <w:rFonts w:hint="default" w:ascii="Times New Roman" w:hAnsi="Times New Roman" w:cs="Times New Roman"/>
                      <w:color w:val="auto"/>
                      <w:u w:val="none"/>
                      <w:lang w:val="en-US" w:eastAsia="zh-CN"/>
                    </w:rPr>
                  </w:pPr>
                </w:p>
                <w:p w14:paraId="2B5ABF15">
                  <w:pPr>
                    <w:pStyle w:val="30"/>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本项目</w:t>
                  </w:r>
                  <w:r>
                    <w:rPr>
                      <w:rFonts w:hint="eastAsia" w:ascii="Times New Roman" w:hAnsi="Times New Roman" w:cs="Times New Roman"/>
                      <w:color w:val="auto"/>
                      <w:u w:val="none"/>
                      <w:lang w:val="en-US" w:eastAsia="zh-CN"/>
                    </w:rPr>
                    <w:t>有机废气</w:t>
                  </w:r>
                  <w:r>
                    <w:rPr>
                      <w:rFonts w:hint="default" w:ascii="Times New Roman" w:hAnsi="Times New Roman" w:cs="Times New Roman"/>
                      <w:color w:val="auto"/>
                      <w:sz w:val="21"/>
                      <w:szCs w:val="21"/>
                      <w:u w:val="none"/>
                      <w:lang w:val="en-US" w:eastAsia="zh-CN"/>
                    </w:rPr>
                    <w:t>经</w:t>
                  </w:r>
                  <w:r>
                    <w:rPr>
                      <w:rFonts w:hint="eastAsia" w:ascii="Times New Roman" w:hAnsi="Times New Roman" w:cs="Times New Roman"/>
                      <w:color w:val="auto"/>
                      <w:sz w:val="21"/>
                      <w:szCs w:val="21"/>
                      <w:u w:val="none"/>
                      <w:lang w:val="en-US" w:eastAsia="zh-CN"/>
                    </w:rPr>
                    <w:t>密闭喷漆烤漆房</w:t>
                  </w:r>
                  <w:r>
                    <w:rPr>
                      <w:rFonts w:hint="default" w:ascii="Times New Roman" w:hAnsi="Times New Roman" w:cs="Times New Roman"/>
                      <w:color w:val="auto"/>
                      <w:sz w:val="21"/>
                      <w:szCs w:val="21"/>
                      <w:u w:val="none"/>
                    </w:rPr>
                    <w:t>集气设施+</w:t>
                  </w:r>
                  <w:r>
                    <w:rPr>
                      <w:rFonts w:hint="eastAsia" w:ascii="Times New Roman" w:hAnsi="Times New Roman" w:cs="Times New Roman"/>
                      <w:color w:val="auto"/>
                      <w:sz w:val="21"/>
                      <w:szCs w:val="21"/>
                      <w:u w:val="none"/>
                      <w:lang w:val="en-US" w:eastAsia="zh-CN"/>
                    </w:rPr>
                    <w:t>活性炭吸附脱附+催化燃烧装置</w:t>
                  </w:r>
                  <w:r>
                    <w:rPr>
                      <w:rFonts w:hint="default" w:ascii="Times New Roman" w:hAnsi="Times New Roman" w:cs="Times New Roman"/>
                      <w:color w:val="auto"/>
                      <w:sz w:val="21"/>
                      <w:szCs w:val="21"/>
                      <w:u w:val="none"/>
                      <w:lang w:val="en-US" w:eastAsia="zh-CN"/>
                    </w:rPr>
                    <w:t>收集处理后，通过</w:t>
                  </w:r>
                  <w:r>
                    <w:rPr>
                      <w:rFonts w:hint="eastAsia" w:cs="Times New Roman"/>
                      <w:color w:val="auto"/>
                      <w:sz w:val="21"/>
                      <w:szCs w:val="21"/>
                      <w:u w:val="none"/>
                      <w:lang w:val="en-US" w:eastAsia="zh-CN"/>
                    </w:rPr>
                    <w:t>1</w:t>
                  </w:r>
                  <w:r>
                    <w:rPr>
                      <w:rFonts w:hint="default" w:ascii="Times New Roman" w:hAnsi="Times New Roman" w:cs="Times New Roman"/>
                      <w:color w:val="auto"/>
                      <w:sz w:val="21"/>
                      <w:szCs w:val="21"/>
                      <w:u w:val="none"/>
                      <w:lang w:val="en-US" w:eastAsia="zh-CN"/>
                    </w:rPr>
                    <w:t>5m排气筒（DA00</w:t>
                  </w:r>
                  <w:r>
                    <w:rPr>
                      <w:rFonts w:hint="eastAsia" w:ascii="Times New Roman" w:hAnsi="Times New Roman" w:cs="Times New Roman"/>
                      <w:color w:val="auto"/>
                      <w:sz w:val="21"/>
                      <w:szCs w:val="21"/>
                      <w:u w:val="none"/>
                      <w:lang w:val="en-US" w:eastAsia="zh-CN"/>
                    </w:rPr>
                    <w:t>1</w:t>
                  </w:r>
                  <w:r>
                    <w:rPr>
                      <w:rFonts w:hint="default" w:ascii="Times New Roman" w:hAnsi="Times New Roman" w:cs="Times New Roman"/>
                      <w:color w:val="auto"/>
                      <w:sz w:val="21"/>
                      <w:szCs w:val="21"/>
                      <w:u w:val="none"/>
                      <w:lang w:val="en-US" w:eastAsia="zh-CN"/>
                    </w:rPr>
                    <w:t>）外排</w:t>
                  </w:r>
                  <w:r>
                    <w:rPr>
                      <w:rFonts w:hint="eastAsia" w:ascii="Times New Roman" w:hAnsi="Times New Roman" w:cs="Times New Roman"/>
                      <w:color w:val="auto"/>
                      <w:sz w:val="21"/>
                      <w:szCs w:val="21"/>
                      <w:u w:val="none"/>
                      <w:lang w:val="en-US" w:eastAsia="zh-CN"/>
                    </w:rPr>
                    <w:t>，处理效率能够满足要求</w:t>
                  </w:r>
                </w:p>
              </w:tc>
              <w:tc>
                <w:tcPr>
                  <w:tcW w:w="756" w:type="dxa"/>
                  <w:tcBorders>
                    <w:top w:val="single" w:color="auto" w:sz="4" w:space="0"/>
                    <w:left w:val="single" w:color="auto" w:sz="4" w:space="0"/>
                    <w:bottom w:val="single" w:color="auto" w:sz="4" w:space="0"/>
                    <w:right w:val="nil"/>
                    <w:tl2br w:val="nil"/>
                    <w:tr2bl w:val="nil"/>
                  </w:tcBorders>
                  <w:noWrap w:val="0"/>
                  <w:vAlign w:val="center"/>
                </w:tcPr>
                <w:p w14:paraId="43AEEC9A">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79C0A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8" w:type="dxa"/>
                  <w:vMerge w:val="continue"/>
                  <w:tcBorders>
                    <w:top w:val="single" w:color="auto" w:sz="4" w:space="0"/>
                    <w:left w:val="nil"/>
                    <w:bottom w:val="single" w:color="auto" w:sz="12" w:space="0"/>
                    <w:right w:val="single" w:color="auto" w:sz="4" w:space="0"/>
                    <w:tl2br w:val="nil"/>
                    <w:tr2bl w:val="nil"/>
                  </w:tcBorders>
                  <w:noWrap w:val="0"/>
                  <w:vAlign w:val="center"/>
                </w:tcPr>
                <w:p w14:paraId="0AF32174">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p>
              </w:tc>
              <w:tc>
                <w:tcPr>
                  <w:tcW w:w="324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EC233AD">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3、加强工业源重污染天气应对。完善应急减排清单，确保涉气企业全覆盖。将应急减排措施纳入排污许可证管理。严厉打击在线监控运维及手工监测报告弄虚作假、治理设施不正常运行和重污染应急减排措施未落实等违法行为。积极提升应急减排重点行业企业环境绩效水平。</w:t>
                  </w:r>
                </w:p>
              </w:tc>
              <w:tc>
                <w:tcPr>
                  <w:tcW w:w="240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FD174C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本项目废气经处理后均为达标排放</w:t>
                  </w:r>
                  <w:r>
                    <w:rPr>
                      <w:rFonts w:hint="eastAsia" w:cs="Times New Roman"/>
                      <w:color w:val="auto"/>
                      <w:kern w:val="2"/>
                      <w:sz w:val="21"/>
                      <w:szCs w:val="24"/>
                      <w:u w:val="none"/>
                      <w:lang w:val="en-US" w:eastAsia="zh-CN" w:bidi="ar-SA"/>
                    </w:rPr>
                    <w:t>，无需安装在线监测</w:t>
                  </w:r>
                  <w:r>
                    <w:rPr>
                      <w:rFonts w:hint="default" w:ascii="Times New Roman" w:hAnsi="Times New Roman" w:eastAsia="宋体" w:cs="Times New Roman"/>
                      <w:color w:val="auto"/>
                      <w:kern w:val="2"/>
                      <w:sz w:val="21"/>
                      <w:szCs w:val="24"/>
                      <w:u w:val="none"/>
                      <w:lang w:val="en-US" w:eastAsia="zh-CN" w:bidi="ar-SA"/>
                    </w:rPr>
                    <w:t>；本环评要求建设单位积极配合环保部门进行重污染天气应对。</w:t>
                  </w:r>
                </w:p>
              </w:tc>
              <w:tc>
                <w:tcPr>
                  <w:tcW w:w="756" w:type="dxa"/>
                  <w:tcBorders>
                    <w:top w:val="single" w:color="auto" w:sz="4" w:space="0"/>
                    <w:left w:val="single" w:color="auto" w:sz="4" w:space="0"/>
                    <w:bottom w:val="single" w:color="auto" w:sz="12" w:space="0"/>
                    <w:right w:val="nil"/>
                    <w:tl2br w:val="nil"/>
                    <w:tr2bl w:val="nil"/>
                  </w:tcBorders>
                  <w:noWrap w:val="0"/>
                  <w:vAlign w:val="center"/>
                </w:tcPr>
                <w:p w14:paraId="0CB4CC93">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bl>
          <w:p w14:paraId="3C257702">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根据上述内容可知，本项目符合《湖南省大气污染防治“守护蓝天”攻坚行动计划（2023-2025年）》（湘政办发〔2023〕34 号）相关要求。</w:t>
            </w:r>
          </w:p>
          <w:p w14:paraId="34CE8520">
            <w:pPr>
              <w:widowControl w:val="0"/>
              <w:bidi w:val="0"/>
              <w:adjustRightInd/>
              <w:snapToGrid/>
              <w:spacing w:after="2" w:line="360" w:lineRule="auto"/>
              <w:ind w:firstLine="482" w:firstLineChars="200"/>
              <w:jc w:val="both"/>
              <w:rPr>
                <w:rFonts w:hint="default"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b/>
                <w:bCs/>
                <w:color w:val="auto"/>
                <w:kern w:val="2"/>
                <w:sz w:val="24"/>
                <w:szCs w:val="22"/>
                <w:highlight w:val="none"/>
                <w:u w:val="none"/>
                <w:lang w:val="en-US" w:eastAsia="zh-CN" w:bidi="ar-SA"/>
              </w:rPr>
              <w:t>12、与《国家污染防治技术指导目录（2025年）》符合性分析</w:t>
            </w:r>
          </w:p>
          <w:p w14:paraId="4C4B13E3">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根据《国家污染防治技术指导目录（2025年）》内容可知，鼓励类技术中推广技术为：低温吸收-孔径级配材料吸附油气净化技术</w:t>
            </w:r>
            <w:r>
              <w:rPr>
                <w:rFonts w:hint="eastAsia" w:cs="Times New Roman"/>
                <w:color w:val="auto"/>
                <w:kern w:val="2"/>
                <w:sz w:val="24"/>
                <w:szCs w:val="22"/>
                <w:highlight w:val="none"/>
                <w:u w:val="none"/>
                <w:lang w:val="en-US" w:eastAsia="zh-CN" w:bidi="ar-SA"/>
              </w:rPr>
              <w:t>等</w:t>
            </w:r>
            <w:r>
              <w:rPr>
                <w:rFonts w:hint="eastAsia" w:ascii="Times New Roman" w:hAnsi="Times New Roman" w:eastAsia="宋体" w:cs="Times New Roman"/>
                <w:color w:val="auto"/>
                <w:kern w:val="2"/>
                <w:sz w:val="24"/>
                <w:szCs w:val="22"/>
                <w:highlight w:val="none"/>
                <w:u w:val="none"/>
                <w:lang w:val="en-US" w:eastAsia="zh-CN" w:bidi="ar-SA"/>
              </w:rPr>
              <w:t>；</w:t>
            </w:r>
          </w:p>
          <w:p w14:paraId="168BD2F5">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鼓励类技术中示范技术为：入口渐扩段预荷电耦合小区域隔离振打电除尘技术，均流式静电除尘技术，生物法恶臭气体治理技术</w:t>
            </w:r>
            <w:r>
              <w:rPr>
                <w:rFonts w:hint="eastAsia" w:cs="Times New Roman"/>
                <w:color w:val="auto"/>
                <w:kern w:val="2"/>
                <w:sz w:val="24"/>
                <w:szCs w:val="22"/>
                <w:highlight w:val="none"/>
                <w:u w:val="none"/>
                <w:lang w:val="en-US" w:eastAsia="zh-CN" w:bidi="ar-SA"/>
              </w:rPr>
              <w:t>等</w:t>
            </w:r>
            <w:r>
              <w:rPr>
                <w:rFonts w:hint="eastAsia" w:ascii="Times New Roman" w:hAnsi="Times New Roman" w:eastAsia="宋体" w:cs="Times New Roman"/>
                <w:color w:val="auto"/>
                <w:kern w:val="2"/>
                <w:sz w:val="24"/>
                <w:szCs w:val="22"/>
                <w:highlight w:val="none"/>
                <w:u w:val="none"/>
                <w:lang w:val="en-US" w:eastAsia="zh-CN" w:bidi="ar-SA"/>
              </w:rPr>
              <w:t>；</w:t>
            </w:r>
          </w:p>
          <w:p w14:paraId="29BC8814">
            <w:pPr>
              <w:widowControl w:val="0"/>
              <w:bidi w:val="0"/>
              <w:adjustRightInd/>
              <w:snapToGrid/>
              <w:spacing w:after="2" w:line="360" w:lineRule="auto"/>
              <w:ind w:firstLine="480" w:firstLineChars="200"/>
              <w:jc w:val="both"/>
              <w:rPr>
                <w:rFonts w:hint="default" w:ascii="Times New Roman" w:hAnsi="Times New Roman" w:eastAsia="宋体" w:cs="Times New Roman"/>
                <w:color w:val="auto"/>
                <w:kern w:val="2"/>
                <w:sz w:val="24"/>
                <w:szCs w:val="22"/>
                <w:highlight w:val="none"/>
                <w:u w:val="none"/>
                <w:lang w:val="en-US" w:eastAsia="zh-CN" w:bidi="ar-SA"/>
              </w:rPr>
            </w:pPr>
            <w:r>
              <w:rPr>
                <w:rFonts w:hint="default" w:ascii="Times New Roman" w:hAnsi="Times New Roman" w:eastAsia="宋体" w:cs="Times New Roman"/>
                <w:color w:val="auto"/>
                <w:kern w:val="2"/>
                <w:sz w:val="24"/>
                <w:szCs w:val="22"/>
                <w:highlight w:val="none"/>
                <w:u w:val="none"/>
                <w:lang w:val="en-US" w:eastAsia="zh-CN" w:bidi="ar-SA"/>
              </w:rPr>
              <w:t>低效类技术</w:t>
            </w:r>
            <w:r>
              <w:rPr>
                <w:rFonts w:hint="eastAsia" w:ascii="Times New Roman" w:hAnsi="Times New Roman" w:eastAsia="宋体" w:cs="Times New Roman"/>
                <w:color w:val="auto"/>
                <w:kern w:val="2"/>
                <w:sz w:val="24"/>
                <w:szCs w:val="22"/>
                <w:highlight w:val="none"/>
                <w:u w:val="none"/>
                <w:lang w:val="en-US" w:eastAsia="zh-CN" w:bidi="ar-SA"/>
              </w:rPr>
              <w:t>：洗涤、水膜（浴）、文丘里湿式除尘技术，低效干式除尘技术，正压反吸风类袋式除尘技术，VOCs（挥发性有机物）洗涤吸收净化技术，VOCs 光催化及其组合净化技术，VOCs 低温等离子体及其组合净化技术，VOCs 光解（光氧化）及其组合净化技术</w:t>
            </w:r>
            <w:r>
              <w:rPr>
                <w:rFonts w:hint="eastAsia" w:cs="Times New Roman"/>
                <w:color w:val="auto"/>
                <w:kern w:val="2"/>
                <w:sz w:val="24"/>
                <w:szCs w:val="22"/>
                <w:highlight w:val="none"/>
                <w:u w:val="none"/>
                <w:lang w:val="en-US" w:eastAsia="zh-CN" w:bidi="ar-SA"/>
              </w:rPr>
              <w:t>等</w:t>
            </w:r>
            <w:r>
              <w:rPr>
                <w:rFonts w:hint="eastAsia" w:ascii="Times New Roman" w:hAnsi="Times New Roman" w:eastAsia="宋体" w:cs="Times New Roman"/>
                <w:color w:val="auto"/>
                <w:kern w:val="2"/>
                <w:sz w:val="24"/>
                <w:szCs w:val="22"/>
                <w:highlight w:val="none"/>
                <w:u w:val="none"/>
                <w:lang w:val="en-US" w:eastAsia="zh-CN" w:bidi="ar-SA"/>
              </w:rPr>
              <w:t>。</w:t>
            </w:r>
          </w:p>
          <w:p w14:paraId="01DECEB8">
            <w:pPr>
              <w:widowControl w:val="0"/>
              <w:bidi w:val="0"/>
              <w:adjustRightInd/>
              <w:snapToGrid/>
              <w:spacing w:after="2" w:line="360" w:lineRule="auto"/>
              <w:ind w:firstLine="480" w:firstLineChars="20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cs="Times New Roman"/>
                <w:color w:val="auto"/>
                <w:sz w:val="24"/>
                <w:szCs w:val="24"/>
                <w:u w:val="none"/>
                <w:lang w:val="en-US" w:eastAsia="zh-CN"/>
              </w:rPr>
              <w:t>本项目</w:t>
            </w:r>
            <w:r>
              <w:rPr>
                <w:rFonts w:hint="eastAsia" w:ascii="Times New Roman" w:hAnsi="Times New Roman" w:cs="Times New Roman"/>
                <w:color w:val="auto"/>
                <w:sz w:val="24"/>
                <w:szCs w:val="24"/>
                <w:u w:val="none"/>
                <w:lang w:val="en-US" w:eastAsia="zh-CN"/>
              </w:rPr>
              <w:t>有机废气</w:t>
            </w:r>
            <w:r>
              <w:rPr>
                <w:rFonts w:hint="default" w:ascii="Times New Roman" w:hAnsi="Times New Roman" w:cs="Times New Roman"/>
                <w:color w:val="auto"/>
                <w:sz w:val="24"/>
                <w:szCs w:val="24"/>
                <w:u w:val="none"/>
                <w:lang w:val="en-US" w:eastAsia="zh-CN"/>
              </w:rPr>
              <w:t>经</w:t>
            </w:r>
            <w:r>
              <w:rPr>
                <w:rFonts w:hint="eastAsia" w:ascii="Times New Roman" w:hAnsi="Times New Roman" w:cs="Times New Roman"/>
                <w:color w:val="auto"/>
                <w:sz w:val="24"/>
                <w:szCs w:val="24"/>
                <w:u w:val="none"/>
                <w:lang w:val="en-US" w:eastAsia="zh-CN"/>
              </w:rPr>
              <w:t>密闭喷漆</w:t>
            </w:r>
            <w:r>
              <w:rPr>
                <w:rFonts w:hint="eastAsia" w:ascii="Times New Roman" w:hAnsi="Times New Roman" w:eastAsia="宋体" w:cs="Times New Roman"/>
                <w:color w:val="auto"/>
                <w:kern w:val="2"/>
                <w:sz w:val="24"/>
                <w:szCs w:val="22"/>
                <w:highlight w:val="none"/>
                <w:u w:val="none"/>
                <w:lang w:val="en-US" w:eastAsia="zh-CN" w:bidi="ar-SA"/>
              </w:rPr>
              <w:t>烤漆房</w:t>
            </w:r>
            <w:r>
              <w:rPr>
                <w:rFonts w:hint="default" w:ascii="Times New Roman" w:hAnsi="Times New Roman" w:eastAsia="宋体" w:cs="Times New Roman"/>
                <w:color w:val="auto"/>
                <w:kern w:val="2"/>
                <w:sz w:val="24"/>
                <w:szCs w:val="22"/>
                <w:highlight w:val="none"/>
                <w:u w:val="none"/>
                <w:lang w:val="en-US" w:eastAsia="zh-CN" w:bidi="ar-SA"/>
              </w:rPr>
              <w:t>集气设施+</w:t>
            </w:r>
            <w:r>
              <w:rPr>
                <w:rFonts w:hint="eastAsia" w:ascii="Times New Roman" w:hAnsi="Times New Roman" w:eastAsia="宋体" w:cs="Times New Roman"/>
                <w:color w:val="auto"/>
                <w:kern w:val="2"/>
                <w:sz w:val="24"/>
                <w:szCs w:val="22"/>
                <w:highlight w:val="none"/>
                <w:u w:val="none"/>
                <w:lang w:val="en-US" w:eastAsia="zh-CN" w:bidi="ar-SA"/>
              </w:rPr>
              <w:t>水帘柜+干式过滤+吸附浓缩脱附+催化燃烧装置</w:t>
            </w:r>
            <w:r>
              <w:rPr>
                <w:rFonts w:hint="default" w:ascii="Times New Roman" w:hAnsi="Times New Roman" w:eastAsia="宋体" w:cs="Times New Roman"/>
                <w:color w:val="auto"/>
                <w:kern w:val="2"/>
                <w:sz w:val="24"/>
                <w:szCs w:val="22"/>
                <w:highlight w:val="none"/>
                <w:u w:val="none"/>
                <w:lang w:val="en-US" w:eastAsia="zh-CN" w:bidi="ar-SA"/>
              </w:rPr>
              <w:t>收集处理</w:t>
            </w:r>
            <w:r>
              <w:rPr>
                <w:rFonts w:hint="default" w:ascii="Times New Roman" w:hAnsi="Times New Roman" w:cs="Times New Roman"/>
                <w:color w:val="auto"/>
                <w:sz w:val="24"/>
                <w:szCs w:val="24"/>
                <w:u w:val="none"/>
                <w:lang w:val="en-US" w:eastAsia="zh-CN"/>
              </w:rPr>
              <w:t>后，通过</w:t>
            </w:r>
            <w:r>
              <w:rPr>
                <w:rFonts w:hint="eastAsia" w:cs="Times New Roman"/>
                <w:color w:val="auto"/>
                <w:sz w:val="24"/>
                <w:szCs w:val="24"/>
                <w:u w:val="none"/>
                <w:lang w:val="en-US" w:eastAsia="zh-CN"/>
              </w:rPr>
              <w:t>1</w:t>
            </w:r>
            <w:r>
              <w:rPr>
                <w:rFonts w:hint="default" w:ascii="Times New Roman" w:hAnsi="Times New Roman" w:cs="Times New Roman"/>
                <w:color w:val="auto"/>
                <w:sz w:val="24"/>
                <w:szCs w:val="24"/>
                <w:u w:val="none"/>
                <w:lang w:val="en-US" w:eastAsia="zh-CN"/>
              </w:rPr>
              <w:t>5m排气筒（DA00</w:t>
            </w:r>
            <w:r>
              <w:rPr>
                <w:rFonts w:hint="eastAsia" w:ascii="Times New Roman" w:hAnsi="Times New Roman" w:cs="Times New Roman"/>
                <w:color w:val="auto"/>
                <w:sz w:val="24"/>
                <w:szCs w:val="24"/>
                <w:u w:val="none"/>
                <w:lang w:val="en-US" w:eastAsia="zh-CN"/>
              </w:rPr>
              <w:t>1</w:t>
            </w:r>
            <w:r>
              <w:rPr>
                <w:rFonts w:hint="default" w:ascii="Times New Roman" w:hAnsi="Times New Roman" w:cs="Times New Roman"/>
                <w:color w:val="auto"/>
                <w:sz w:val="24"/>
                <w:szCs w:val="24"/>
                <w:u w:val="none"/>
                <w:lang w:val="en-US" w:eastAsia="zh-CN"/>
              </w:rPr>
              <w:t>）外排</w:t>
            </w:r>
            <w:r>
              <w:rPr>
                <w:rFonts w:hint="eastAsia" w:ascii="Times New Roman" w:hAnsi="Times New Roman" w:cs="Times New Roman"/>
                <w:color w:val="auto"/>
                <w:sz w:val="24"/>
                <w:szCs w:val="24"/>
                <w:u w:val="none"/>
                <w:lang w:val="en-US" w:eastAsia="zh-CN"/>
              </w:rPr>
              <w:t>，</w:t>
            </w:r>
            <w:r>
              <w:rPr>
                <w:rFonts w:hint="eastAsia" w:ascii="Times New Roman" w:hAnsi="Times New Roman" w:cs="Times New Roman"/>
                <w:color w:val="auto"/>
                <w:sz w:val="24"/>
                <w:szCs w:val="24"/>
                <w:u w:val="single"/>
                <w:lang w:val="en-US" w:eastAsia="zh-CN"/>
              </w:rPr>
              <w:t>打磨废气采用</w:t>
            </w:r>
            <w:r>
              <w:rPr>
                <w:rFonts w:hint="eastAsia" w:cs="Times New Roman"/>
                <w:color w:val="auto"/>
                <w:sz w:val="24"/>
                <w:szCs w:val="24"/>
                <w:u w:val="single"/>
                <w:lang w:val="en-US" w:eastAsia="zh-CN"/>
              </w:rPr>
              <w:t>水帘柜+</w:t>
            </w:r>
            <w:r>
              <w:rPr>
                <w:rFonts w:hint="eastAsia" w:ascii="Times New Roman" w:hAnsi="Times New Roman" w:cs="Times New Roman"/>
                <w:color w:val="auto"/>
                <w:sz w:val="24"/>
                <w:szCs w:val="24"/>
                <w:u w:val="single"/>
                <w:lang w:val="en-US" w:eastAsia="zh-CN"/>
              </w:rPr>
              <w:t>布袋除尘器</w:t>
            </w:r>
            <w:r>
              <w:rPr>
                <w:rFonts w:hint="eastAsia" w:cs="Times New Roman"/>
                <w:color w:val="auto"/>
                <w:sz w:val="24"/>
                <w:szCs w:val="24"/>
                <w:u w:val="single"/>
                <w:lang w:val="en-US" w:eastAsia="zh-CN"/>
              </w:rPr>
              <w:t>组合工艺</w:t>
            </w:r>
            <w:r>
              <w:rPr>
                <w:rFonts w:hint="eastAsia" w:ascii="Times New Roman" w:hAnsi="Times New Roman" w:cs="Times New Roman"/>
                <w:color w:val="auto"/>
                <w:sz w:val="24"/>
                <w:szCs w:val="24"/>
                <w:u w:val="single"/>
                <w:lang w:val="en-US" w:eastAsia="zh-CN"/>
              </w:rPr>
              <w:t>收集处理后</w:t>
            </w:r>
            <w:r>
              <w:rPr>
                <w:rFonts w:hint="eastAsia" w:cs="Times New Roman"/>
                <w:color w:val="auto"/>
                <w:sz w:val="24"/>
                <w:szCs w:val="24"/>
                <w:u w:val="single"/>
                <w:lang w:val="en-US" w:eastAsia="zh-CN"/>
              </w:rPr>
              <w:t>无组织</w:t>
            </w:r>
            <w:r>
              <w:rPr>
                <w:rFonts w:hint="eastAsia" w:ascii="Times New Roman" w:hAnsi="Times New Roman" w:cs="Times New Roman"/>
                <w:color w:val="auto"/>
                <w:sz w:val="24"/>
                <w:szCs w:val="24"/>
                <w:u w:val="single"/>
                <w:lang w:val="en-US" w:eastAsia="zh-CN"/>
              </w:rPr>
              <w:t>排放</w:t>
            </w:r>
            <w:r>
              <w:rPr>
                <w:rFonts w:hint="eastAsia" w:ascii="Times New Roman" w:hAnsi="Times New Roman" w:eastAsia="宋体" w:cs="Times New Roman"/>
                <w:color w:val="auto"/>
                <w:kern w:val="2"/>
                <w:sz w:val="24"/>
                <w:szCs w:val="24"/>
                <w:highlight w:val="none"/>
                <w:u w:val="single"/>
                <w:lang w:val="en-US" w:eastAsia="zh-CN" w:bidi="ar-SA"/>
              </w:rPr>
              <w:t>。</w:t>
            </w:r>
          </w:p>
          <w:p w14:paraId="786A0D30">
            <w:pPr>
              <w:widowControl w:val="0"/>
              <w:bidi w:val="0"/>
              <w:adjustRightInd/>
              <w:snapToGrid/>
              <w:spacing w:after="2" w:line="360" w:lineRule="auto"/>
              <w:ind w:firstLine="480" w:firstLineChars="200"/>
              <w:jc w:val="both"/>
              <w:rPr>
                <w:rFonts w:hint="default"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综上所述，本项目废气处理措施均不涉及《国家污染防治技术指导目录（2025年）》中低效类技术，故本项目不违反《国家污染防治技术指导目录（2025年）》相关要求。</w:t>
            </w:r>
          </w:p>
          <w:p w14:paraId="340CDA38">
            <w:pPr>
              <w:widowControl w:val="0"/>
              <w:bidi w:val="0"/>
              <w:adjustRightInd/>
              <w:snapToGrid/>
              <w:spacing w:after="2" w:line="360" w:lineRule="auto"/>
              <w:ind w:firstLine="482" w:firstLineChars="200"/>
              <w:jc w:val="both"/>
              <w:rPr>
                <w:rFonts w:hint="default"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b/>
                <w:bCs/>
                <w:color w:val="auto"/>
                <w:kern w:val="2"/>
                <w:sz w:val="24"/>
                <w:szCs w:val="22"/>
                <w:highlight w:val="none"/>
                <w:u w:val="none"/>
                <w:lang w:val="en-US" w:eastAsia="zh-CN" w:bidi="ar-SA"/>
              </w:rPr>
              <w:t>13、与《湖南省空气质量持续改善行动计划实施方案》符合性分析</w:t>
            </w:r>
          </w:p>
          <w:p w14:paraId="50B2DB4E">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highlight w:val="none"/>
                <w:u w:val="none"/>
                <w:lang w:val="en-US" w:eastAsia="zh-CN" w:bidi="ar-SA"/>
              </w:rPr>
            </w:pPr>
            <w:r>
              <w:rPr>
                <w:rFonts w:hint="eastAsia" w:ascii="Times New Roman" w:hAnsi="Times New Roman" w:eastAsia="宋体" w:cs="Times New Roman"/>
                <w:color w:val="auto"/>
                <w:kern w:val="2"/>
                <w:sz w:val="24"/>
                <w:szCs w:val="22"/>
                <w:highlight w:val="none"/>
                <w:u w:val="none"/>
                <w:lang w:val="en-US" w:eastAsia="zh-CN" w:bidi="ar-SA"/>
              </w:rPr>
              <w:t>本项目与《湖南省空气质量持续改善行动计划实施方案》符合性分析情况见表1-13。</w:t>
            </w:r>
          </w:p>
          <w:p w14:paraId="33C3E3A1">
            <w:pPr>
              <w:widowControl w:val="0"/>
              <w:autoSpaceDE/>
              <w:autoSpaceDN/>
              <w:bidi w:val="0"/>
              <w:adjustRightInd/>
              <w:snapToGrid/>
              <w:spacing w:before="50" w:beforeLines="50" w:line="240" w:lineRule="auto"/>
              <w:ind w:firstLine="0" w:firstLineChars="0"/>
              <w:jc w:val="center"/>
              <w:rPr>
                <w:rFonts w:hint="default" w:ascii="Times New Roman" w:hAnsi="Times New Roman" w:eastAsia="宋体" w:cs="Times New Roman"/>
                <w:b/>
                <w:color w:val="auto"/>
                <w:kern w:val="2"/>
                <w:sz w:val="21"/>
                <w:szCs w:val="22"/>
                <w:highlight w:val="none"/>
                <w:u w:val="none"/>
                <w:lang w:val="en-US" w:eastAsia="zh-CN" w:bidi="ar-SA"/>
              </w:rPr>
            </w:pPr>
            <w:r>
              <w:rPr>
                <w:rFonts w:hint="default" w:ascii="Times New Roman" w:hAnsi="Times New Roman" w:eastAsia="宋体" w:cs="Times New Roman"/>
                <w:b/>
                <w:color w:val="auto"/>
                <w:kern w:val="2"/>
                <w:sz w:val="21"/>
                <w:szCs w:val="22"/>
                <w:u w:val="none"/>
                <w:lang w:val="en-US" w:eastAsia="zh-CN" w:bidi="ar-SA"/>
              </w:rPr>
              <w:t>表1-1</w:t>
            </w:r>
            <w:r>
              <w:rPr>
                <w:rFonts w:hint="eastAsia" w:ascii="Times New Roman" w:hAnsi="Times New Roman" w:eastAsia="宋体" w:cs="Times New Roman"/>
                <w:b/>
                <w:color w:val="auto"/>
                <w:kern w:val="2"/>
                <w:sz w:val="21"/>
                <w:szCs w:val="22"/>
                <w:u w:val="none"/>
                <w:lang w:val="en-US" w:eastAsia="zh-CN" w:bidi="ar-SA"/>
              </w:rPr>
              <w:t>3</w:t>
            </w:r>
            <w:r>
              <w:rPr>
                <w:rFonts w:hint="default" w:ascii="Times New Roman" w:hAnsi="Times New Roman" w:eastAsia="宋体" w:cs="Times New Roman"/>
                <w:b/>
                <w:color w:val="auto"/>
                <w:kern w:val="2"/>
                <w:sz w:val="21"/>
                <w:szCs w:val="22"/>
                <w:u w:val="none"/>
                <w:lang w:val="en-US" w:eastAsia="zh-CN" w:bidi="ar-SA"/>
              </w:rPr>
              <w:t xml:space="preserve">  项目与《湖南省空气质量持续改善行动计划实施方案》符合性分析情况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2922"/>
              <w:gridCol w:w="2686"/>
              <w:gridCol w:w="756"/>
            </w:tblGrid>
            <w:tr w14:paraId="38CA6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12" w:space="0"/>
                    <w:left w:val="nil"/>
                    <w:bottom w:val="single" w:color="auto" w:sz="4" w:space="0"/>
                    <w:right w:val="single" w:color="auto" w:sz="4" w:space="0"/>
                    <w:tl2br w:val="nil"/>
                    <w:tr2bl w:val="nil"/>
                  </w:tcBorders>
                  <w:noWrap w:val="0"/>
                  <w:vAlign w:val="center"/>
                </w:tcPr>
                <w:p w14:paraId="6C0D8070">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内容</w:t>
                  </w:r>
                </w:p>
              </w:tc>
              <w:tc>
                <w:tcPr>
                  <w:tcW w:w="287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5720E14">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与本项目有关要求</w:t>
                  </w:r>
                </w:p>
              </w:tc>
              <w:tc>
                <w:tcPr>
                  <w:tcW w:w="264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79BC4768">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项目实际情况</w:t>
                  </w:r>
                </w:p>
              </w:tc>
              <w:tc>
                <w:tcPr>
                  <w:tcW w:w="744" w:type="dxa"/>
                  <w:tcBorders>
                    <w:top w:val="single" w:color="auto" w:sz="12" w:space="0"/>
                    <w:left w:val="single" w:color="auto" w:sz="4" w:space="0"/>
                    <w:bottom w:val="single" w:color="auto" w:sz="4" w:space="0"/>
                    <w:right w:val="nil"/>
                    <w:tl2br w:val="nil"/>
                    <w:tr2bl w:val="nil"/>
                  </w:tcBorders>
                  <w:noWrap w:val="0"/>
                  <w:vAlign w:val="center"/>
                </w:tcPr>
                <w:p w14:paraId="74010935">
                  <w:pPr>
                    <w:widowControl w:val="0"/>
                    <w:adjustRightInd/>
                    <w:snapToGrid/>
                    <w:spacing w:line="240" w:lineRule="auto"/>
                    <w:ind w:firstLine="0" w:firstLineChars="0"/>
                    <w:jc w:val="center"/>
                    <w:rPr>
                      <w:rFonts w:hint="default" w:ascii="Times New Roman" w:hAnsi="Times New Roman" w:eastAsia="宋体" w:cs="Times New Roman"/>
                      <w:b/>
                      <w:color w:val="auto"/>
                      <w:kern w:val="2"/>
                      <w:sz w:val="21"/>
                      <w:szCs w:val="24"/>
                      <w:u w:val="none"/>
                      <w:lang w:val="en-US" w:eastAsia="zh-CN" w:bidi="ar-SA"/>
                    </w:rPr>
                  </w:pPr>
                  <w:r>
                    <w:rPr>
                      <w:rFonts w:hint="default" w:ascii="Times New Roman" w:hAnsi="Times New Roman" w:eastAsia="宋体" w:cs="Times New Roman"/>
                      <w:b/>
                      <w:color w:val="auto"/>
                      <w:kern w:val="2"/>
                      <w:sz w:val="21"/>
                      <w:szCs w:val="24"/>
                      <w:u w:val="none"/>
                      <w:lang w:val="en-US" w:eastAsia="zh-CN" w:bidi="ar-SA"/>
                    </w:rPr>
                    <w:t>是否符合</w:t>
                  </w:r>
                </w:p>
              </w:tc>
            </w:tr>
            <w:tr w14:paraId="48401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left w:val="nil"/>
                    <w:bottom w:val="single" w:color="auto" w:sz="4" w:space="0"/>
                    <w:right w:val="single" w:color="auto" w:sz="4" w:space="0"/>
                    <w:tl2br w:val="nil"/>
                    <w:tr2bl w:val="nil"/>
                  </w:tcBorders>
                  <w:noWrap w:val="0"/>
                  <w:vAlign w:val="center"/>
                </w:tcPr>
                <w:p w14:paraId="42D4C861">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（一）加强“两高”项目管理</w:t>
                  </w:r>
                </w:p>
              </w:tc>
              <w:tc>
                <w:tcPr>
                  <w:tcW w:w="287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BED74AD">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新改扩建项目严格落实国家和省级产业规划、产业政策、生态环境分区管控方案、规划环评、项目环评、节能审查、产能置换、重点污染物总量控制、污染物排放区域削减、碳排放达峰目标等相关要求，原则上达到国内清洁生产先进水平、采用清洁运输方式，主要产品能效达到标杆水平。</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A8C007">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w:t>
                  </w:r>
                  <w:r>
                    <w:rPr>
                      <w:rFonts w:hint="eastAsia" w:ascii="Times New Roman" w:hAnsi="Times New Roman" w:eastAsia="宋体" w:cs="Times New Roman"/>
                      <w:color w:val="auto"/>
                      <w:kern w:val="2"/>
                      <w:sz w:val="21"/>
                      <w:szCs w:val="24"/>
                      <w:u w:val="none"/>
                      <w:lang w:val="en-US" w:eastAsia="zh-CN" w:bidi="ar-SA"/>
                    </w:rPr>
                    <w:t>属于C3823 配电开关控制设备制造</w:t>
                  </w:r>
                  <w:r>
                    <w:rPr>
                      <w:rFonts w:hint="default" w:ascii="Times New Roman" w:hAnsi="Times New Roman" w:eastAsia="宋体" w:cs="Times New Roman"/>
                      <w:color w:val="auto"/>
                      <w:kern w:val="2"/>
                      <w:sz w:val="21"/>
                      <w:szCs w:val="24"/>
                      <w:u w:val="none"/>
                      <w:lang w:val="en-US" w:eastAsia="zh-CN" w:bidi="ar-SA"/>
                    </w:rPr>
                    <w:t>，不属于“两高”项目，不涉及钢铁产能；建设项目符合国家和省级产业规划、产业政策、生态环境分区管控方案、规划环评、项目环评、节能审查、产能置换、重点污染物总量控制、污染物排放区域削减、碳排放达峰目标等相关要求。</w:t>
                  </w:r>
                </w:p>
              </w:tc>
              <w:tc>
                <w:tcPr>
                  <w:tcW w:w="744" w:type="dxa"/>
                  <w:tcBorders>
                    <w:top w:val="single" w:color="auto" w:sz="4" w:space="0"/>
                    <w:left w:val="single" w:color="auto" w:sz="4" w:space="0"/>
                    <w:bottom w:val="single" w:color="auto" w:sz="4" w:space="0"/>
                    <w:right w:val="nil"/>
                    <w:tl2br w:val="nil"/>
                    <w:tr2bl w:val="nil"/>
                  </w:tcBorders>
                  <w:noWrap w:val="0"/>
                  <w:vAlign w:val="center"/>
                </w:tcPr>
                <w:p w14:paraId="283BFE0E">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3E751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left w:val="nil"/>
                    <w:bottom w:val="single" w:color="auto" w:sz="4" w:space="0"/>
                    <w:right w:val="single" w:color="auto" w:sz="4" w:space="0"/>
                    <w:tl2br w:val="nil"/>
                    <w:tr2bl w:val="nil"/>
                  </w:tcBorders>
                  <w:noWrap w:val="0"/>
                  <w:vAlign w:val="center"/>
                </w:tcPr>
                <w:p w14:paraId="24BA8ECF">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（二）加快退出重点行业落后产能</w:t>
                  </w:r>
                </w:p>
              </w:tc>
              <w:tc>
                <w:tcPr>
                  <w:tcW w:w="287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B13B4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严格执行《产业结构调整指导目录》，制定实施利用能耗、环保、质量、安全、技术等标准推动落后产能退出年度工作方案，加大重点行业落后产能淘汰力度，推动大规模设备更新，开展小型生物质锅炉清理整合。到 2025年，全省砖瓦窑企业全部完成综合整治，基本完成 2 蒸吨/小时及以下生物质锅炉淘汰。</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790896">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，不属于《产业结构调整指导目录（2024 年本）》中鼓励类、限制类和淘汰类；本项目涉及工艺、设备和产品均不在淘汰落后生产工艺装备目录中；本项目不涉及生物质锅炉。</w:t>
                  </w:r>
                </w:p>
              </w:tc>
              <w:tc>
                <w:tcPr>
                  <w:tcW w:w="744" w:type="dxa"/>
                  <w:tcBorders>
                    <w:top w:val="single" w:color="auto" w:sz="4" w:space="0"/>
                    <w:left w:val="single" w:color="auto" w:sz="4" w:space="0"/>
                    <w:bottom w:val="single" w:color="auto" w:sz="4" w:space="0"/>
                    <w:right w:val="nil"/>
                    <w:tl2br w:val="nil"/>
                    <w:tr2bl w:val="nil"/>
                  </w:tcBorders>
                  <w:noWrap w:val="0"/>
                  <w:vAlign w:val="center"/>
                </w:tcPr>
                <w:p w14:paraId="6E18C508">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47610F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left w:val="nil"/>
                    <w:bottom w:val="single" w:color="auto" w:sz="4" w:space="0"/>
                    <w:right w:val="single" w:color="auto" w:sz="4" w:space="0"/>
                    <w:tl2br w:val="nil"/>
                    <w:tr2bl w:val="nil"/>
                  </w:tcBorders>
                  <w:noWrap w:val="0"/>
                  <w:vAlign w:val="center"/>
                </w:tcPr>
                <w:p w14:paraId="50AFA175">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（三）全面开展传统产业和园区改造提升</w:t>
                  </w:r>
                </w:p>
              </w:tc>
              <w:tc>
                <w:tcPr>
                  <w:tcW w:w="287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E9016F6">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开展重点涉气产业集群和作坊式产业小集群排查整治，按照“四个一批”实施分类治理。到 2025年，制造业企业入园率达到 85%以上。实施园区节能环保提升工程，支持长沙、株洲、衡阳以及国家级园区开展清洁生产整体审核试点示范。引导各地因地制宜规划建设一批涉VOCs“绿岛”项目。</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FFFC7D6">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本项目位于衡阳市衡阳高新技术产业开发区</w:t>
                  </w:r>
                  <w:r>
                    <w:rPr>
                      <w:rFonts w:hint="eastAsia" w:ascii="Times New Roman" w:hAnsi="Times New Roman" w:eastAsia="宋体" w:cs="Times New Roman"/>
                      <w:color w:val="auto"/>
                      <w:kern w:val="2"/>
                      <w:sz w:val="21"/>
                      <w:szCs w:val="24"/>
                      <w:u w:val="none"/>
                      <w:lang w:val="en-US" w:eastAsia="zh-CN" w:bidi="ar-SA"/>
                    </w:rPr>
                    <w:t>湖南新岳电力设备有限公司内（富强路11号）</w:t>
                  </w:r>
                  <w:r>
                    <w:rPr>
                      <w:rFonts w:hint="default" w:ascii="Times New Roman" w:hAnsi="Times New Roman" w:eastAsia="宋体" w:cs="Times New Roman"/>
                      <w:color w:val="auto"/>
                      <w:kern w:val="2"/>
                      <w:sz w:val="21"/>
                      <w:szCs w:val="24"/>
                      <w:u w:val="none"/>
                      <w:lang w:val="en-US" w:eastAsia="zh-CN" w:bidi="ar-SA"/>
                    </w:rPr>
                    <w:t>，属于衡阳高新技术产业开发区白沙片区。本环评建议企业开展清洁生产工作。</w:t>
                  </w:r>
                </w:p>
              </w:tc>
              <w:tc>
                <w:tcPr>
                  <w:tcW w:w="744" w:type="dxa"/>
                  <w:tcBorders>
                    <w:top w:val="single" w:color="auto" w:sz="4" w:space="0"/>
                    <w:left w:val="single" w:color="auto" w:sz="4" w:space="0"/>
                    <w:bottom w:val="single" w:color="auto" w:sz="4" w:space="0"/>
                    <w:right w:val="nil"/>
                    <w:tl2br w:val="nil"/>
                    <w:tr2bl w:val="nil"/>
                  </w:tcBorders>
                  <w:noWrap w:val="0"/>
                  <w:vAlign w:val="center"/>
                </w:tcPr>
                <w:p w14:paraId="531A2B54">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3C26E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left w:val="nil"/>
                    <w:bottom w:val="single" w:color="auto" w:sz="4" w:space="0"/>
                    <w:right w:val="single" w:color="auto" w:sz="4" w:space="0"/>
                    <w:tl2br w:val="nil"/>
                    <w:tr2bl w:val="nil"/>
                  </w:tcBorders>
                  <w:noWrap w:val="0"/>
                  <w:vAlign w:val="center"/>
                </w:tcPr>
                <w:p w14:paraId="3B8E87B7">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（四）推动低VOCs含量原辅材料和产品源头替代</w:t>
                  </w:r>
                </w:p>
              </w:tc>
              <w:tc>
                <w:tcPr>
                  <w:tcW w:w="287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E3AB7C4">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严格执行 VOCs 含量限值标准，严格控制生产和使用高 VOCs 含量原辅材料建设项目。以工业涂装、包装印刷、家具制造和电子行业等为重点，指导企业制定低（无）VOCs 含量原辅材料替代计划，大力推动“应替尽替”。室外构筑物防护和城市道路交通标志推广使用低（无）VOCs 含量涂料。</w:t>
                  </w:r>
                </w:p>
              </w:tc>
              <w:tc>
                <w:tcPr>
                  <w:tcW w:w="264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EB464C">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本项目属于</w:t>
                  </w:r>
                  <w:r>
                    <w:rPr>
                      <w:rFonts w:hint="eastAsia" w:ascii="Times New Roman" w:hAnsi="Times New Roman" w:eastAsia="宋体" w:cs="Times New Roman"/>
                      <w:color w:val="auto"/>
                      <w:kern w:val="2"/>
                      <w:sz w:val="21"/>
                      <w:szCs w:val="24"/>
                      <w:u w:val="none"/>
                      <w:lang w:val="en-US" w:eastAsia="zh-CN" w:bidi="ar-SA"/>
                    </w:rPr>
                    <w:t>C3823 配电开关控制设备制造</w:t>
                  </w:r>
                  <w:r>
                    <w:rPr>
                      <w:rFonts w:hint="default" w:ascii="Times New Roman" w:hAnsi="Times New Roman" w:eastAsia="宋体" w:cs="Times New Roman"/>
                      <w:color w:val="auto"/>
                      <w:kern w:val="2"/>
                      <w:sz w:val="21"/>
                      <w:szCs w:val="24"/>
                      <w:u w:val="none"/>
                      <w:lang w:val="en-US" w:eastAsia="zh-CN" w:bidi="ar-SA"/>
                    </w:rPr>
                    <w:t>，属于工业涂装。</w:t>
                  </w:r>
                  <w:r>
                    <w:rPr>
                      <w:rFonts w:hint="eastAsia" w:ascii="Times New Roman" w:hAnsi="Times New Roman" w:cs="Times New Roman"/>
                      <w:color w:val="auto"/>
                      <w:u w:val="single"/>
                      <w:lang w:val="en-US" w:eastAsia="zh-CN"/>
                    </w:rPr>
                    <w:t>根据建设单位提供的油漆MSDS，使用的底漆、面漆满足《GB/T 38597-2020》中低挥发性有机化合物涂料要求</w:t>
                  </w:r>
                </w:p>
              </w:tc>
              <w:tc>
                <w:tcPr>
                  <w:tcW w:w="744" w:type="dxa"/>
                  <w:tcBorders>
                    <w:top w:val="single" w:color="auto" w:sz="4" w:space="0"/>
                    <w:left w:val="single" w:color="auto" w:sz="4" w:space="0"/>
                    <w:bottom w:val="single" w:color="auto" w:sz="4" w:space="0"/>
                    <w:right w:val="nil"/>
                    <w:tl2br w:val="nil"/>
                    <w:tr2bl w:val="nil"/>
                  </w:tcBorders>
                  <w:noWrap w:val="0"/>
                  <w:vAlign w:val="center"/>
                </w:tcPr>
                <w:p w14:paraId="6A8BCCE6">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r w14:paraId="47BB6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left w:val="nil"/>
                    <w:bottom w:val="single" w:color="auto" w:sz="12" w:space="0"/>
                    <w:right w:val="single" w:color="auto" w:sz="4" w:space="0"/>
                    <w:tl2br w:val="nil"/>
                    <w:tr2bl w:val="nil"/>
                  </w:tcBorders>
                  <w:noWrap w:val="0"/>
                  <w:vAlign w:val="center"/>
                </w:tcPr>
                <w:p w14:paraId="5A6E6A9B">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（十六）深化VOCs全流程综合治理</w:t>
                  </w:r>
                </w:p>
              </w:tc>
              <w:tc>
                <w:tcPr>
                  <w:tcW w:w="287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7932917">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highlight w:val="yellow"/>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全面开展 VOCs 收集治理设施排查整治，加快淘汰不合规定、低效失效、无法稳定达标的治理设施。落实非正常工况作业产生的 VOCs 废气、污水处理场所高浓度有机废气、含 VOCs有机废水储罐和装置区集水井（池）有机废气收集处理要求。规范开展泄漏检测与修复，2025 年年底前省级及以上石化、化工园区建立统一的泄漏检测与修复信息管理平台。</w:t>
                  </w:r>
                </w:p>
              </w:tc>
              <w:tc>
                <w:tcPr>
                  <w:tcW w:w="264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9E74975">
                  <w:pPr>
                    <w:widowControl w:val="0"/>
                    <w:adjustRightInd/>
                    <w:snapToGrid/>
                    <w:spacing w:line="240" w:lineRule="auto"/>
                    <w:ind w:firstLine="0" w:firstLineChars="0"/>
                    <w:jc w:val="center"/>
                    <w:rPr>
                      <w:rFonts w:hint="eastAsia"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本项目位于衡阳市衡阳高新技术产业开发区</w:t>
                  </w:r>
                  <w:r>
                    <w:rPr>
                      <w:rFonts w:hint="eastAsia" w:ascii="Times New Roman" w:hAnsi="Times New Roman" w:eastAsia="宋体" w:cs="Times New Roman"/>
                      <w:color w:val="auto"/>
                      <w:kern w:val="2"/>
                      <w:sz w:val="21"/>
                      <w:szCs w:val="24"/>
                      <w:u w:val="none"/>
                      <w:lang w:val="en-US" w:eastAsia="zh-CN" w:bidi="ar-SA"/>
                    </w:rPr>
                    <w:t>湖南新岳电力设备有限公司内（富强路11号）</w:t>
                  </w:r>
                  <w:r>
                    <w:rPr>
                      <w:rFonts w:hint="default" w:ascii="Times New Roman" w:hAnsi="Times New Roman" w:eastAsia="宋体" w:cs="Times New Roman"/>
                      <w:color w:val="auto"/>
                      <w:kern w:val="2"/>
                      <w:sz w:val="21"/>
                      <w:szCs w:val="24"/>
                      <w:u w:val="none"/>
                      <w:lang w:val="en-US" w:eastAsia="zh-CN" w:bidi="ar-SA"/>
                    </w:rPr>
                    <w:t>，属于衡阳高新技术产业开发区白沙片区，不属于石化、化工园区；本项目有机废气经密闭喷漆烤漆房集气设施+吸附浓缩</w:t>
                  </w:r>
                  <w:r>
                    <w:rPr>
                      <w:rFonts w:hint="eastAsia" w:cs="Times New Roman"/>
                      <w:color w:val="auto"/>
                      <w:kern w:val="2"/>
                      <w:sz w:val="21"/>
                      <w:szCs w:val="24"/>
                      <w:u w:val="none"/>
                      <w:lang w:val="en-US" w:eastAsia="zh-CN" w:bidi="ar-SA"/>
                    </w:rPr>
                    <w:t>脱附+</w:t>
                  </w:r>
                  <w:r>
                    <w:rPr>
                      <w:rFonts w:hint="default" w:ascii="Times New Roman" w:hAnsi="Times New Roman" w:eastAsia="宋体" w:cs="Times New Roman"/>
                      <w:color w:val="auto"/>
                      <w:kern w:val="2"/>
                      <w:sz w:val="21"/>
                      <w:szCs w:val="24"/>
                      <w:u w:val="none"/>
                      <w:lang w:val="en-US" w:eastAsia="zh-CN" w:bidi="ar-SA"/>
                    </w:rPr>
                    <w:t>催化燃烧装置收集处理后，通过15m排气筒（DA001）外排。</w:t>
                  </w:r>
                  <w:r>
                    <w:rPr>
                      <w:rFonts w:hint="eastAsia" w:ascii="Times New Roman" w:hAnsi="Times New Roman" w:eastAsia="宋体" w:cs="Times New Roman"/>
                      <w:color w:val="auto"/>
                      <w:kern w:val="2"/>
                      <w:sz w:val="21"/>
                      <w:szCs w:val="24"/>
                      <w:u w:val="none"/>
                      <w:lang w:val="en-US" w:eastAsia="zh-CN" w:bidi="ar-SA"/>
                    </w:rPr>
                    <w:t xml:space="preserve"> </w:t>
                  </w:r>
                </w:p>
              </w:tc>
              <w:tc>
                <w:tcPr>
                  <w:tcW w:w="744" w:type="dxa"/>
                  <w:tcBorders>
                    <w:top w:val="single" w:color="auto" w:sz="4" w:space="0"/>
                    <w:left w:val="single" w:color="auto" w:sz="4" w:space="0"/>
                    <w:bottom w:val="single" w:color="auto" w:sz="12" w:space="0"/>
                    <w:right w:val="nil"/>
                    <w:tl2br w:val="nil"/>
                    <w:tr2bl w:val="nil"/>
                  </w:tcBorders>
                  <w:noWrap w:val="0"/>
                  <w:vAlign w:val="center"/>
                </w:tcPr>
                <w:p w14:paraId="171E0904">
                  <w:pPr>
                    <w:widowControl w:val="0"/>
                    <w:adjustRightInd/>
                    <w:snapToGrid/>
                    <w:spacing w:line="240" w:lineRule="auto"/>
                    <w:ind w:firstLine="0" w:firstLineChars="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符合</w:t>
                  </w:r>
                </w:p>
              </w:tc>
            </w:tr>
          </w:tbl>
          <w:p w14:paraId="380309F3">
            <w:pPr>
              <w:pStyle w:val="29"/>
              <w:bidi w:val="0"/>
              <w:rPr>
                <w:rFonts w:hint="default" w:ascii="Times New Roman" w:hAnsi="Times New Roman" w:cs="Times New Roman"/>
                <w:color w:val="auto"/>
              </w:rPr>
            </w:pPr>
            <w:r>
              <w:rPr>
                <w:rFonts w:hint="eastAsia" w:ascii="Times New Roman" w:hAnsi="Times New Roman" w:eastAsia="宋体" w:cs="Times New Roman"/>
                <w:color w:val="auto"/>
                <w:kern w:val="2"/>
                <w:sz w:val="24"/>
                <w:szCs w:val="22"/>
                <w:highlight w:val="none"/>
                <w:u w:val="none"/>
                <w:lang w:val="en-US" w:eastAsia="zh-CN" w:bidi="ar-SA"/>
              </w:rPr>
              <w:t>根据上述内容可知，本项目符合《湖南省空气质量持续改善行动计划实施方案》（湘政办发〔2024〕33 号）相关要求。</w:t>
            </w:r>
          </w:p>
          <w:p w14:paraId="66482465">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14、选址合理性分析</w:t>
            </w:r>
          </w:p>
          <w:p w14:paraId="36931B6A">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color w:val="auto"/>
                <w:highlight w:val="none"/>
                <w:lang w:val="en-US" w:eastAsia="zh-CN"/>
              </w:rPr>
              <w:t>本项目位于湖南省衡阳高新技术产业开发区湖南新岳电力设备有限公司内（富强路11号），项目拟建地为工业用地，选址不在水源保护区范围内，不在风景名胜区、自然保护区内，不属于环境空气质量一类功能区，不属于声环境1类区，无明显环境制约因子。</w:t>
            </w:r>
          </w:p>
          <w:p w14:paraId="4FCAEF84">
            <w:pPr>
              <w:pStyle w:val="29"/>
              <w:bidi w:val="0"/>
              <w:rPr>
                <w:rFonts w:hint="default" w:ascii="Times New Roman" w:hAnsi="Times New Roman" w:cs="Times New Roman"/>
                <w:color w:val="auto"/>
              </w:rPr>
            </w:pPr>
            <w:r>
              <w:rPr>
                <w:rFonts w:hint="default" w:ascii="Times New Roman" w:hAnsi="Times New Roman" w:cs="Times New Roman"/>
                <w:color w:val="auto"/>
                <w:highlight w:val="none"/>
              </w:rPr>
              <w:t>本项目平面布置充分利用厂区空间与资源，工艺流程顺畅，功能分区明确，交通运输条件便利。同时本项目在采取本报告提出的污染防治措施后，污染物均可做到达标排放，对周围环境污染影响较小，符合周边环境要求。综上所述，从环境保护角度分析，本项目选址合理、可行。</w:t>
            </w:r>
          </w:p>
          <w:p w14:paraId="3B952F18">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15、环境相容性分析</w:t>
            </w:r>
          </w:p>
          <w:p w14:paraId="3F1FA1A6">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本项目位于</w:t>
            </w:r>
            <w:r>
              <w:rPr>
                <w:rFonts w:hint="eastAsia" w:ascii="Times New Roman" w:hAnsi="Times New Roman" w:cs="Times New Roman"/>
                <w:color w:val="auto"/>
                <w:highlight w:val="none"/>
                <w:lang w:eastAsia="zh-CN"/>
              </w:rPr>
              <w:t>湖南省衡阳高新技术产业开发区湖南新岳电力设备有限公司内（富强路11号）</w:t>
            </w:r>
            <w:r>
              <w:rPr>
                <w:rFonts w:hint="default" w:ascii="Times New Roman" w:hAnsi="Times New Roman" w:cs="Times New Roman"/>
                <w:color w:val="auto"/>
                <w:highlight w:val="none"/>
              </w:rPr>
              <w:t>，项目拟建地为工业用地，</w:t>
            </w:r>
            <w:r>
              <w:rPr>
                <w:rFonts w:hint="eastAsia" w:ascii="Times New Roman" w:hAnsi="Times New Roman" w:cs="Times New Roman"/>
                <w:color w:val="auto"/>
                <w:highlight w:val="none"/>
                <w:lang w:val="en-US" w:eastAsia="zh-CN"/>
              </w:rPr>
              <w:t>周边用地类型以工业用地为主。且项目所在地周边居民较少。</w:t>
            </w:r>
          </w:p>
          <w:p w14:paraId="05CDFA95">
            <w:pPr>
              <w:pStyle w:val="29"/>
              <w:bidi w:val="0"/>
              <w:rPr>
                <w:rFonts w:hint="default" w:ascii="Times New Roman" w:hAnsi="Times New Roman" w:cs="Times New Roman"/>
                <w:color w:val="FF0000"/>
                <w:highlight w:val="none"/>
              </w:rPr>
            </w:pPr>
            <w:r>
              <w:rPr>
                <w:rFonts w:hint="default" w:ascii="Times New Roman" w:hAnsi="Times New Roman" w:cs="Times New Roman"/>
                <w:color w:val="auto"/>
                <w:highlight w:val="none"/>
              </w:rPr>
              <w:t>综上所述，</w:t>
            </w:r>
            <w:r>
              <w:rPr>
                <w:rFonts w:hint="eastAsia"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项目与周围环境相容。</w:t>
            </w:r>
          </w:p>
        </w:tc>
      </w:tr>
    </w:tbl>
    <w:p w14:paraId="102B5ACD">
      <w:pPr>
        <w:spacing w:line="360" w:lineRule="auto"/>
        <w:outlineLvl w:val="9"/>
        <w:rPr>
          <w:rFonts w:eastAsia="黑体"/>
          <w:color w:val="FF0000"/>
          <w:sz w:val="30"/>
        </w:rPr>
        <w:sectPr>
          <w:footerReference r:id="rId6" w:type="default"/>
          <w:pgSz w:w="11906" w:h="16838"/>
          <w:pgMar w:top="1531" w:right="1531" w:bottom="153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1ABCDAC">
      <w:pPr>
        <w:pStyle w:val="14"/>
        <w:jc w:val="center"/>
        <w:outlineLvl w:val="0"/>
        <w:rPr>
          <w:rFonts w:ascii="黑体" w:hAnsi="黑体" w:eastAsia="黑体"/>
          <w:snapToGrid w:val="0"/>
          <w:color w:val="auto"/>
          <w:sz w:val="30"/>
          <w:szCs w:val="30"/>
        </w:rPr>
      </w:pPr>
      <w:bookmarkStart w:id="3" w:name="_Toc13585"/>
      <w:r>
        <w:rPr>
          <w:rFonts w:hint="eastAsia" w:ascii="黑体" w:hAnsi="黑体" w:eastAsia="黑体"/>
          <w:snapToGrid w:val="0"/>
          <w:color w:val="auto"/>
          <w:sz w:val="30"/>
          <w:szCs w:val="30"/>
        </w:rPr>
        <w:t>二、建设项目工程分析</w:t>
      </w:r>
      <w:bookmarkEnd w:id="3"/>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191"/>
      </w:tblGrid>
      <w:tr w14:paraId="28501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4" w:hRule="atLeast"/>
          <w:jc w:val="center"/>
        </w:trPr>
        <w:tc>
          <w:tcPr>
            <w:tcW w:w="823" w:type="dxa"/>
            <w:noWrap w:val="0"/>
            <w:vAlign w:val="center"/>
          </w:tcPr>
          <w:p w14:paraId="40EB9489">
            <w:pPr>
              <w:pStyle w:val="14"/>
              <w:adjustRightInd w:val="0"/>
              <w:snapToGrid w:val="0"/>
              <w:spacing w:before="0" w:beforeAutospacing="0" w:after="0" w:afterAutospacing="0"/>
              <w:jc w:val="center"/>
              <w:rPr>
                <w:rFonts w:cs="宋体"/>
                <w:color w:val="auto"/>
                <w:sz w:val="24"/>
                <w:szCs w:val="24"/>
              </w:rPr>
            </w:pPr>
            <w:r>
              <w:rPr>
                <w:rFonts w:hint="eastAsia" w:cs="宋体"/>
                <w:color w:val="auto"/>
                <w:sz w:val="24"/>
                <w:szCs w:val="24"/>
              </w:rPr>
              <w:t>建设内容</w:t>
            </w:r>
          </w:p>
        </w:tc>
        <w:tc>
          <w:tcPr>
            <w:tcW w:w="8161" w:type="dxa"/>
            <w:noWrap w:val="0"/>
            <w:vAlign w:val="top"/>
          </w:tcPr>
          <w:p w14:paraId="6D148682">
            <w:pPr>
              <w:pStyle w:val="29"/>
              <w:bidi w:val="0"/>
              <w:rPr>
                <w:rFonts w:hint="default" w:ascii="Times New Roman" w:hAnsi="Times New Roman" w:cs="Times New Roman"/>
                <w:color w:val="auto"/>
              </w:rPr>
            </w:pPr>
            <w:r>
              <w:rPr>
                <w:rFonts w:hint="default" w:ascii="Times New Roman" w:hAnsi="Times New Roman" w:cs="Times New Roman"/>
                <w:b/>
                <w:bCs/>
                <w:color w:val="auto"/>
              </w:rPr>
              <w:t>1、项目由来</w:t>
            </w:r>
          </w:p>
          <w:p w14:paraId="34F3DEA7">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衡阳市凌云智科技有限公司</w:t>
            </w:r>
            <w:r>
              <w:rPr>
                <w:rFonts w:hint="eastAsia" w:ascii="Times New Roman" w:hAnsi="Times New Roman" w:cs="Times New Roman"/>
                <w:color w:val="auto"/>
                <w:highlight w:val="none"/>
                <w:lang w:val="en-US" w:eastAsia="zh-CN"/>
              </w:rPr>
              <w:t>成立于2025年6月，公司地址位于</w:t>
            </w:r>
            <w:r>
              <w:rPr>
                <w:rFonts w:hint="eastAsia" w:ascii="Times New Roman" w:hAnsi="Times New Roman" w:cs="Times New Roman"/>
                <w:color w:val="auto"/>
                <w:highlight w:val="none"/>
                <w:lang w:eastAsia="zh-CN"/>
              </w:rPr>
              <w:t>湖南省衡阳高新技术产业开发区湖南新岳电力设备有限公司内（富强路11号），</w:t>
            </w:r>
            <w:r>
              <w:rPr>
                <w:rFonts w:hint="eastAsia" w:ascii="Times New Roman" w:hAnsi="Times New Roman" w:cs="Times New Roman"/>
                <w:color w:val="auto"/>
                <w:highlight w:val="none"/>
                <w:lang w:val="en-US" w:eastAsia="zh-CN"/>
              </w:rPr>
              <w:t>主要从事</w:t>
            </w:r>
            <w:r>
              <w:rPr>
                <w:rFonts w:hint="eastAsia" w:ascii="Times New Roman" w:hAnsi="Times New Roman" w:cs="Times New Roman"/>
                <w:color w:val="auto"/>
                <w:highlight w:val="none"/>
                <w:lang w:eastAsia="zh-CN"/>
              </w:rPr>
              <w:t>变配电成套设备生产</w:t>
            </w:r>
            <w:r>
              <w:rPr>
                <w:rFonts w:hint="eastAsia" w:ascii="Times New Roman" w:hAnsi="Times New Roman" w:cs="Times New Roman"/>
                <w:color w:val="auto"/>
                <w:highlight w:val="none"/>
                <w:lang w:val="en-US" w:eastAsia="zh-CN"/>
              </w:rPr>
              <w:t>和销售。</w:t>
            </w:r>
          </w:p>
          <w:p w14:paraId="75EF007D">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highlight w:val="none"/>
                <w:lang w:val="en-US" w:eastAsia="zh-CN"/>
              </w:rPr>
              <w:t>衡阳市凌云智科技有限公司拟在</w:t>
            </w:r>
            <w:r>
              <w:rPr>
                <w:rFonts w:hint="eastAsia" w:ascii="Times New Roman" w:hAnsi="Times New Roman" w:cs="Times New Roman"/>
                <w:color w:val="auto"/>
                <w:highlight w:val="none"/>
                <w:lang w:eastAsia="zh-CN"/>
              </w:rPr>
              <w:t>湖南省衡阳高新技术产业开发区湖南新岳电力设备有限公司内（富强路11号）</w:t>
            </w:r>
            <w:r>
              <w:rPr>
                <w:rFonts w:hint="eastAsia" w:ascii="Times New Roman" w:hAnsi="Times New Roman" w:cs="Times New Roman"/>
                <w:color w:val="auto"/>
                <w:highlight w:val="none"/>
                <w:lang w:val="en-US" w:eastAsia="zh-CN"/>
              </w:rPr>
              <w:t>建设“衡阳市凌云智科技有限公司特变电工输变电配套件生产项目”，建成后，年产变压器配件1万件、高压开关配件2万件。</w:t>
            </w:r>
          </w:p>
          <w:p w14:paraId="02023F3B">
            <w:pPr>
              <w:pStyle w:val="29"/>
              <w:bidi w:val="0"/>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根据《建设项目环境影响评价分类管理名录》（2021 年版）内容，本项目属于</w:t>
            </w:r>
            <w:r>
              <w:rPr>
                <w:rFonts w:hint="eastAsia" w:ascii="Times New Roman" w:hAnsi="Times New Roman" w:cs="Times New Roman"/>
                <w:color w:val="auto"/>
                <w:highlight w:val="none"/>
                <w:lang w:val="en-US" w:eastAsia="zh-CN"/>
              </w:rPr>
              <w:t>“</w:t>
            </w:r>
            <w:r>
              <w:rPr>
                <w:rFonts w:hint="eastAsia" w:cs="Times New Roman"/>
                <w:color w:val="auto"/>
                <w:sz w:val="24"/>
                <w:szCs w:val="24"/>
                <w:lang w:val="en-US" w:eastAsia="zh-CN"/>
              </w:rPr>
              <w:t>三十五</w:t>
            </w:r>
            <w:r>
              <w:rPr>
                <w:rFonts w:hint="default" w:ascii="Times New Roman" w:hAnsi="Times New Roman" w:cs="Times New Roman"/>
                <w:color w:val="auto"/>
                <w:sz w:val="24"/>
                <w:szCs w:val="24"/>
              </w:rPr>
              <w:t>、</w:t>
            </w:r>
            <w:r>
              <w:rPr>
                <w:rFonts w:hint="eastAsia" w:cs="Times New Roman"/>
                <w:color w:val="auto"/>
                <w:sz w:val="24"/>
                <w:szCs w:val="24"/>
                <w:lang w:val="en-US" w:eastAsia="zh-CN"/>
              </w:rPr>
              <w:t>电气机械和器材制造业</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输配电及控制设备制造382</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其他（</w:t>
            </w:r>
            <w:r>
              <w:rPr>
                <w:rFonts w:hint="eastAsia" w:cs="Times New Roman"/>
                <w:color w:val="auto"/>
                <w:sz w:val="24"/>
                <w:szCs w:val="24"/>
                <w:lang w:val="en-US" w:eastAsia="zh-CN"/>
              </w:rPr>
              <w:t>仅分割、焊接、组装的除外；</w:t>
            </w:r>
            <w:r>
              <w:rPr>
                <w:rFonts w:hint="default" w:ascii="Times New Roman" w:hAnsi="Times New Roman" w:cs="Times New Roman"/>
                <w:color w:val="auto"/>
                <w:sz w:val="24"/>
                <w:szCs w:val="24"/>
              </w:rPr>
              <w:t>年用非溶剂型低 VOCs 含量涂料10 吨以下的除外）</w:t>
            </w:r>
            <w:r>
              <w:rPr>
                <w:rFonts w:hint="eastAsia" w:ascii="Times New Roman" w:hAnsi="Times New Roman" w:cs="Times New Roman"/>
                <w:color w:val="auto"/>
                <w:highlight w:val="none"/>
                <w:lang w:val="en-US" w:eastAsia="zh-CN"/>
              </w:rPr>
              <w:t>”，应编制环境影响报告表。</w:t>
            </w:r>
          </w:p>
          <w:p w14:paraId="2CCCD4D0">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建设单位于202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w:t>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en-US" w:eastAsia="zh-CN"/>
              </w:rPr>
              <w:t>月2</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日委托长沙楚清环保科技有限公司开展本项目环境影响评价工作。长沙楚清环保科技有限公司接受委托后即组织有关技术人员对项目进行现场勘查、资料收集，并依据国家相关规定和技术规范，通过项目资料的收集和充分论证，编制完成本项目环境影响报告表。</w:t>
            </w:r>
          </w:p>
          <w:p w14:paraId="588530F4">
            <w:pPr>
              <w:pStyle w:val="29"/>
              <w:bidi w:val="0"/>
              <w:rPr>
                <w:rFonts w:hint="eastAsia" w:ascii="Times New Roman" w:hAnsi="Times New Roman" w:eastAsia="宋体" w:cs="Times New Roman"/>
                <w:color w:val="auto"/>
                <w:highlight w:val="none"/>
                <w:lang w:val="en-US" w:eastAsia="zh-CN"/>
              </w:rPr>
            </w:pPr>
            <w:r>
              <w:rPr>
                <w:rFonts w:hint="eastAsia" w:ascii="Times New Roman" w:hAnsi="Times New Roman" w:cs="Times New Roman"/>
                <w:b/>
                <w:bCs/>
                <w:color w:val="auto"/>
                <w:highlight w:val="none"/>
                <w:lang w:val="en-US" w:eastAsia="zh-CN"/>
              </w:rPr>
              <w:t>2、项目建设内容</w:t>
            </w:r>
          </w:p>
          <w:p w14:paraId="7C705D6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本项目总占地面积约</w:t>
            </w:r>
            <w:r>
              <w:rPr>
                <w:rFonts w:hint="eastAsia" w:ascii="Times New Roman" w:hAnsi="Times New Roman" w:cs="Times New Roman"/>
                <w:color w:val="auto"/>
                <w:highlight w:val="none"/>
                <w:lang w:val="en-US" w:eastAsia="zh-CN"/>
              </w:rPr>
              <w:t>2800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，总建筑面积约</w:t>
            </w:r>
            <w:r>
              <w:rPr>
                <w:rFonts w:hint="eastAsia" w:ascii="Times New Roman" w:hAnsi="Times New Roman" w:cs="Times New Roman"/>
                <w:color w:val="auto"/>
                <w:highlight w:val="none"/>
                <w:lang w:val="en-US" w:eastAsia="zh-CN"/>
              </w:rPr>
              <w:t>2800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ascii="Times New Roman" w:hAnsi="Times New Roman" w:cs="Times New Roman"/>
                <w:color w:val="auto"/>
                <w:highlight w:val="none"/>
                <w:lang w:eastAsia="zh-CN"/>
              </w:rPr>
              <w:t>。</w:t>
            </w:r>
          </w:p>
          <w:p w14:paraId="6F70775E">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详情见表2-1。</w:t>
            </w:r>
          </w:p>
          <w:p w14:paraId="40C492DD">
            <w:pPr>
              <w:pStyle w:val="29"/>
              <w:bidi w:val="0"/>
              <w:rPr>
                <w:rFonts w:hint="eastAsia" w:ascii="Times New Roman" w:hAnsi="Times New Roman" w:cs="Times New Roman"/>
                <w:color w:val="auto"/>
                <w:highlight w:val="none"/>
                <w:lang w:val="en-US" w:eastAsia="zh-CN"/>
              </w:rPr>
            </w:pPr>
          </w:p>
          <w:p w14:paraId="2BFB01F1">
            <w:pPr>
              <w:pStyle w:val="29"/>
              <w:bidi w:val="0"/>
              <w:rPr>
                <w:rFonts w:hint="eastAsia" w:ascii="Times New Roman" w:hAnsi="Times New Roman" w:cs="Times New Roman"/>
                <w:color w:val="auto"/>
                <w:highlight w:val="none"/>
                <w:lang w:val="en-US" w:eastAsia="zh-CN"/>
              </w:rPr>
            </w:pPr>
          </w:p>
          <w:p w14:paraId="68C139D0">
            <w:pPr>
              <w:pStyle w:val="29"/>
              <w:bidi w:val="0"/>
              <w:rPr>
                <w:rFonts w:hint="eastAsia" w:ascii="Times New Roman" w:hAnsi="Times New Roman" w:cs="Times New Roman"/>
                <w:color w:val="auto"/>
                <w:highlight w:val="none"/>
                <w:lang w:val="en-US" w:eastAsia="zh-CN"/>
              </w:rPr>
            </w:pPr>
          </w:p>
          <w:p w14:paraId="55DA1AD0">
            <w:pPr>
              <w:pStyle w:val="29"/>
              <w:bidi w:val="0"/>
              <w:rPr>
                <w:rFonts w:hint="eastAsia" w:ascii="Times New Roman" w:hAnsi="Times New Roman" w:cs="Times New Roman"/>
                <w:color w:val="auto"/>
                <w:highlight w:val="none"/>
                <w:lang w:val="en-US" w:eastAsia="zh-CN"/>
              </w:rPr>
            </w:pPr>
          </w:p>
          <w:p w14:paraId="7B76ABE2">
            <w:pPr>
              <w:pStyle w:val="29"/>
              <w:bidi w:val="0"/>
              <w:rPr>
                <w:rFonts w:hint="eastAsia" w:ascii="Times New Roman" w:hAnsi="Times New Roman" w:cs="Times New Roman"/>
                <w:color w:val="auto"/>
                <w:highlight w:val="none"/>
                <w:lang w:val="en-US" w:eastAsia="zh-CN"/>
              </w:rPr>
            </w:pPr>
          </w:p>
          <w:p w14:paraId="060DA5F1">
            <w:pPr>
              <w:pStyle w:val="29"/>
              <w:bidi w:val="0"/>
              <w:rPr>
                <w:rFonts w:hint="eastAsia" w:ascii="Times New Roman" w:hAnsi="Times New Roman" w:cs="Times New Roman"/>
                <w:color w:val="auto"/>
                <w:highlight w:val="none"/>
                <w:lang w:val="en-US" w:eastAsia="zh-CN"/>
              </w:rPr>
            </w:pPr>
          </w:p>
          <w:p w14:paraId="3CF554C5">
            <w:pPr>
              <w:pStyle w:val="29"/>
              <w:bidi w:val="0"/>
              <w:rPr>
                <w:rFonts w:hint="eastAsia" w:ascii="Times New Roman" w:hAnsi="Times New Roman" w:cs="Times New Roman"/>
                <w:color w:val="auto"/>
                <w:highlight w:val="none"/>
                <w:lang w:val="en-US" w:eastAsia="zh-CN"/>
              </w:rPr>
            </w:pPr>
          </w:p>
          <w:p w14:paraId="729A66AC">
            <w:pPr>
              <w:pStyle w:val="29"/>
              <w:bidi w:val="0"/>
              <w:rPr>
                <w:rFonts w:hint="eastAsia" w:ascii="Times New Roman" w:hAnsi="Times New Roman" w:cs="Times New Roman"/>
                <w:color w:val="auto"/>
                <w:highlight w:val="none"/>
                <w:lang w:val="en-US" w:eastAsia="zh-CN"/>
              </w:rPr>
            </w:pPr>
          </w:p>
          <w:p w14:paraId="10820CC3">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表2-1  建设内容组成一览</w:t>
            </w:r>
          </w:p>
          <w:tbl>
            <w:tblPr>
              <w:tblStyle w:val="18"/>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908"/>
              <w:gridCol w:w="5482"/>
              <w:gridCol w:w="845"/>
            </w:tblGrid>
            <w:tr w14:paraId="16D45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8" w:type="dxa"/>
                  <w:gridSpan w:val="2"/>
                  <w:tcBorders>
                    <w:top w:val="single" w:color="auto" w:sz="12" w:space="0"/>
                    <w:left w:val="nil"/>
                    <w:bottom w:val="single" w:color="auto" w:sz="4" w:space="0"/>
                    <w:right w:val="single" w:color="auto" w:sz="4" w:space="0"/>
                    <w:tl2br w:val="nil"/>
                    <w:tr2bl w:val="nil"/>
                  </w:tcBorders>
                  <w:noWrap w:val="0"/>
                  <w:vAlign w:val="center"/>
                </w:tcPr>
                <w:p w14:paraId="32A1EC9B">
                  <w:pPr>
                    <w:pStyle w:val="3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工程组成</w:t>
                  </w:r>
                </w:p>
              </w:tc>
              <w:tc>
                <w:tcPr>
                  <w:tcW w:w="548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3FAD498">
                  <w:pPr>
                    <w:pStyle w:val="3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建设内容及规模</w:t>
                  </w:r>
                </w:p>
              </w:tc>
              <w:tc>
                <w:tcPr>
                  <w:tcW w:w="845" w:type="dxa"/>
                  <w:tcBorders>
                    <w:top w:val="single" w:color="auto" w:sz="12" w:space="0"/>
                    <w:left w:val="single" w:color="auto" w:sz="4" w:space="0"/>
                    <w:bottom w:val="single" w:color="auto" w:sz="4" w:space="0"/>
                    <w:right w:val="nil"/>
                    <w:tl2br w:val="nil"/>
                    <w:tr2bl w:val="nil"/>
                  </w:tcBorders>
                  <w:noWrap w:val="0"/>
                  <w:vAlign w:val="center"/>
                </w:tcPr>
                <w:p w14:paraId="5E4B0EFA">
                  <w:pPr>
                    <w:pStyle w:val="3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14:paraId="7FF9C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710" w:type="dxa"/>
                  <w:tcBorders>
                    <w:top w:val="single" w:color="auto" w:sz="4" w:space="0"/>
                    <w:left w:val="nil"/>
                    <w:bottom w:val="single" w:color="auto" w:sz="4" w:space="0"/>
                    <w:right w:val="single" w:color="auto" w:sz="4" w:space="0"/>
                    <w:tl2br w:val="nil"/>
                    <w:tr2bl w:val="nil"/>
                  </w:tcBorders>
                  <w:noWrap w:val="0"/>
                  <w:vAlign w:val="center"/>
                </w:tcPr>
                <w:p w14:paraId="68E99680">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主体工程</w:t>
                  </w: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627D5C7">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生产厂房</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B6C42E">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租赁一座1F标准厂房，东侧作为生产厂房，占地面积1400m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，建筑面积1400m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，层高8m，内设有喷漆房、烤漆房、打磨房等各项生产相关分区。</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4A0AD611">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新建</w:t>
                  </w:r>
                </w:p>
              </w:tc>
            </w:tr>
            <w:tr w14:paraId="1B39D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nil"/>
                    <w:bottom w:val="single" w:color="auto" w:sz="4" w:space="0"/>
                    <w:right w:val="single" w:color="auto" w:sz="4" w:space="0"/>
                    <w:tl2br w:val="nil"/>
                    <w:tr2bl w:val="nil"/>
                  </w:tcBorders>
                  <w:noWrap w:val="0"/>
                  <w:vAlign w:val="center"/>
                </w:tcPr>
                <w:p w14:paraId="5A31CC98">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81CCCA">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办公区</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B00BF3B">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在生产厂房内部南侧建设2F办公用房，占地面积200m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vertAlign w:val="baseline"/>
                      <w:lang w:val="en-US" w:eastAsia="zh-CN"/>
                    </w:rPr>
                    <w:t>建筑面积400</w:t>
                  </w:r>
                  <w:r>
                    <w:rPr>
                      <w:rFonts w:hint="eastAsia"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2</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4C712DCE">
                  <w:pPr>
                    <w:pStyle w:val="30"/>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新建</w:t>
                  </w:r>
                </w:p>
              </w:tc>
            </w:tr>
            <w:tr w14:paraId="461D9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tcBorders>
                    <w:top w:val="single" w:color="auto" w:sz="4" w:space="0"/>
                    <w:left w:val="nil"/>
                    <w:right w:val="single" w:color="auto" w:sz="4" w:space="0"/>
                    <w:tl2br w:val="nil"/>
                    <w:tr2bl w:val="nil"/>
                  </w:tcBorders>
                  <w:noWrap w:val="0"/>
                  <w:vAlign w:val="center"/>
                </w:tcPr>
                <w:p w14:paraId="2EB19102">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储运工程</w:t>
                  </w: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BB0C47">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仓库</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888A6E">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位于生产厂房西侧，占地1400m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，内分为原料仓库和成品仓库</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0ABEB619">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新建</w:t>
                  </w:r>
                </w:p>
              </w:tc>
            </w:tr>
            <w:tr w14:paraId="24534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restart"/>
                  <w:tcBorders>
                    <w:top w:val="single" w:color="auto" w:sz="4" w:space="0"/>
                    <w:left w:val="nil"/>
                    <w:bottom w:val="single" w:color="auto" w:sz="4" w:space="0"/>
                    <w:right w:val="single" w:color="auto" w:sz="4" w:space="0"/>
                    <w:tl2br w:val="nil"/>
                    <w:tr2bl w:val="nil"/>
                  </w:tcBorders>
                  <w:noWrap w:val="0"/>
                  <w:vAlign w:val="center"/>
                </w:tcPr>
                <w:p w14:paraId="3201CCF8">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6EA443">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供水</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06C658">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园区市政给管管网</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546CE956">
                  <w:pPr>
                    <w:pStyle w:val="30"/>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新建</w:t>
                  </w:r>
                </w:p>
              </w:tc>
            </w:tr>
            <w:tr w14:paraId="3B8DB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2737F909">
                  <w:pPr>
                    <w:pStyle w:val="30"/>
                    <w:bidi w:val="0"/>
                    <w:rPr>
                      <w:rFonts w:hint="default" w:ascii="Times New Roman" w:hAnsi="Times New Roman" w:cs="Times New Roman"/>
                      <w:color w:val="auto"/>
                      <w:highlight w:val="none"/>
                    </w:rPr>
                  </w:pPr>
                </w:p>
              </w:tc>
              <w:tc>
                <w:tcPr>
                  <w:tcW w:w="908" w:type="dxa"/>
                  <w:tcBorders>
                    <w:top w:val="single" w:color="auto" w:sz="4" w:space="0"/>
                    <w:left w:val="single" w:color="auto" w:sz="4" w:space="0"/>
                    <w:right w:val="single" w:color="auto" w:sz="4" w:space="0"/>
                    <w:tl2br w:val="nil"/>
                    <w:tr2bl w:val="nil"/>
                  </w:tcBorders>
                  <w:noWrap w:val="0"/>
                  <w:vAlign w:val="center"/>
                </w:tcPr>
                <w:p w14:paraId="5312ADB9">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排水</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BA5B437">
                  <w:pPr>
                    <w:pStyle w:val="30"/>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生活污水经化粪池处理达到《污水综合排放标准》（GB8978-1996）表4 中三级标准（其中氨氮、总磷参照执行《污水排入城镇下水道水质标准》GB/T 31962-2015表1中B级排放限值要求）后经市政污水管网进入</w:t>
                  </w:r>
                  <w:r>
                    <w:rPr>
                      <w:rFonts w:hint="eastAsia" w:ascii="Times New Roman" w:hAnsi="Times New Roman" w:cs="Times New Roman"/>
                      <w:color w:val="auto"/>
                      <w:highlight w:val="none"/>
                      <w:lang w:eastAsia="zh-CN"/>
                    </w:rPr>
                    <w:t>铜桥港污水处理厂</w:t>
                  </w:r>
                </w:p>
              </w:tc>
              <w:tc>
                <w:tcPr>
                  <w:tcW w:w="845" w:type="dxa"/>
                  <w:tcBorders>
                    <w:top w:val="single" w:color="auto" w:sz="4" w:space="0"/>
                    <w:left w:val="single" w:color="auto" w:sz="4" w:space="0"/>
                    <w:right w:val="nil"/>
                    <w:tl2br w:val="nil"/>
                    <w:tr2bl w:val="nil"/>
                  </w:tcBorders>
                  <w:noWrap w:val="0"/>
                  <w:vAlign w:val="center"/>
                </w:tcPr>
                <w:p w14:paraId="2F271F1D">
                  <w:pPr>
                    <w:pStyle w:val="30"/>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依托园区配套</w:t>
                  </w:r>
                </w:p>
              </w:tc>
            </w:tr>
            <w:tr w14:paraId="445A7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6A12D584">
                  <w:pPr>
                    <w:pStyle w:val="30"/>
                    <w:bidi w:val="0"/>
                    <w:rPr>
                      <w:rFonts w:hint="default" w:ascii="Times New Roman" w:hAnsi="Times New Roman" w:cs="Times New Roman"/>
                      <w:color w:val="auto"/>
                      <w:highlight w:val="none"/>
                    </w:rPr>
                  </w:pP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322D304">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供电</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68661D">
                  <w:pPr>
                    <w:pStyle w:val="30"/>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由当地电网提供</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466142B9">
                  <w:pPr>
                    <w:pStyle w:val="30"/>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依托园区配套</w:t>
                  </w:r>
                </w:p>
              </w:tc>
            </w:tr>
            <w:tr w14:paraId="6F6F8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restart"/>
                  <w:tcBorders>
                    <w:top w:val="single" w:color="auto" w:sz="4" w:space="0"/>
                    <w:left w:val="nil"/>
                    <w:bottom w:val="single" w:color="auto" w:sz="4" w:space="0"/>
                    <w:right w:val="single" w:color="auto" w:sz="4" w:space="0"/>
                    <w:tl2br w:val="nil"/>
                    <w:tr2bl w:val="nil"/>
                  </w:tcBorders>
                  <w:noWrap w:val="0"/>
                  <w:vAlign w:val="center"/>
                </w:tcPr>
                <w:p w14:paraId="22955C1A">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90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E58D4B7">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BDE8DE">
                  <w:pPr>
                    <w:pStyle w:val="30"/>
                    <w:bidi w:val="0"/>
                    <w:rPr>
                      <w:rFonts w:hint="default" w:ascii="Times New Roman" w:hAnsi="Times New Roman" w:cs="Times New Roman"/>
                      <w:color w:val="auto"/>
                      <w:highlight w:val="none"/>
                    </w:rPr>
                  </w:pPr>
                  <w:r>
                    <w:rPr>
                      <w:rFonts w:hint="default" w:ascii="Times New Roman" w:hAnsi="Times New Roman" w:cs="Times New Roman"/>
                      <w:color w:val="auto"/>
                      <w:lang w:val="en-US" w:eastAsia="zh-CN"/>
                    </w:rPr>
                    <w:t>本项目</w:t>
                  </w:r>
                  <w:r>
                    <w:rPr>
                      <w:rFonts w:hint="eastAsia" w:ascii="Times New Roman" w:hAnsi="Times New Roman" w:cs="Times New Roman"/>
                      <w:color w:val="auto"/>
                      <w:lang w:val="en-US" w:eastAsia="zh-CN"/>
                    </w:rPr>
                    <w:t>喷漆、调漆、烤漆废气</w:t>
                  </w:r>
                  <w:r>
                    <w:rPr>
                      <w:rFonts w:hint="default" w:ascii="Times New Roman" w:hAnsi="Times New Roman" w:cs="Times New Roman"/>
                      <w:color w:val="auto"/>
                      <w:sz w:val="21"/>
                      <w:szCs w:val="21"/>
                      <w:lang w:val="en-US" w:eastAsia="zh-CN"/>
                    </w:rPr>
                    <w:t>经</w:t>
                  </w:r>
                  <w:r>
                    <w:rPr>
                      <w:rFonts w:hint="eastAsia" w:ascii="Times New Roman" w:hAnsi="Times New Roman" w:cs="Times New Roman"/>
                      <w:color w:val="auto"/>
                      <w:sz w:val="21"/>
                      <w:szCs w:val="21"/>
                      <w:lang w:val="en-US" w:eastAsia="zh-CN"/>
                    </w:rPr>
                    <w:t>密闭负压</w:t>
                  </w:r>
                  <w:r>
                    <w:rPr>
                      <w:rFonts w:hint="default" w:ascii="Times New Roman" w:hAnsi="Times New Roman" w:cs="Times New Roman"/>
                      <w:color w:val="auto"/>
                      <w:sz w:val="21"/>
                      <w:szCs w:val="21"/>
                      <w:lang w:val="en-US" w:eastAsia="zh-CN"/>
                    </w:rPr>
                    <w:t>集气设施+</w:t>
                  </w:r>
                  <w:r>
                    <w:rPr>
                      <w:rFonts w:hint="eastAsia" w:ascii="Times New Roman" w:hAnsi="Times New Roman" w:cs="Times New Roman"/>
                      <w:color w:val="auto"/>
                      <w:sz w:val="21"/>
                      <w:szCs w:val="21"/>
                      <w:lang w:val="en-US" w:eastAsia="zh-CN"/>
                    </w:rPr>
                    <w:t>水帘+干式过滤+</w:t>
                  </w:r>
                  <w:r>
                    <w:rPr>
                      <w:rFonts w:hint="eastAsia" w:cs="Times New Roman"/>
                      <w:color w:val="auto"/>
                      <w:sz w:val="21"/>
                      <w:szCs w:val="21"/>
                      <w:lang w:val="en-US" w:eastAsia="zh-CN"/>
                    </w:rPr>
                    <w:t>活性炭吸附脱附+催化燃烧装置</w:t>
                  </w:r>
                  <w:r>
                    <w:rPr>
                      <w:rFonts w:hint="default" w:ascii="Times New Roman" w:hAnsi="Times New Roman" w:cs="Times New Roman"/>
                      <w:color w:val="auto"/>
                      <w:sz w:val="21"/>
                      <w:szCs w:val="21"/>
                      <w:lang w:val="en-US" w:eastAsia="zh-CN"/>
                    </w:rPr>
                    <w:t>处理后，通过</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5m排气筒（DA001）外排</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483D6061">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12820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644A0DBA">
                  <w:pPr>
                    <w:pStyle w:val="30"/>
                    <w:bidi w:val="0"/>
                    <w:rPr>
                      <w:rFonts w:hint="default" w:ascii="Times New Roman" w:hAnsi="Times New Roman" w:cs="Times New Roman"/>
                      <w:color w:val="auto"/>
                      <w:highlight w:val="none"/>
                    </w:rPr>
                  </w:pPr>
                </w:p>
              </w:tc>
              <w:tc>
                <w:tcPr>
                  <w:tcW w:w="90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F85785C">
                  <w:pPr>
                    <w:pStyle w:val="30"/>
                    <w:bidi w:val="0"/>
                    <w:rPr>
                      <w:rFonts w:hint="default" w:ascii="Times New Roman" w:hAnsi="Times New Roman" w:cs="Times New Roman"/>
                      <w:color w:val="auto"/>
                      <w:highlight w:val="none"/>
                    </w:rPr>
                  </w:pP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9A51889">
                  <w:pPr>
                    <w:pStyle w:val="30"/>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打磨废气经水帘柜处理后无组织排放</w:t>
                  </w:r>
                </w:p>
              </w:tc>
              <w:tc>
                <w:tcPr>
                  <w:tcW w:w="845"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129470A3">
                  <w:pPr>
                    <w:pStyle w:val="3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新建</w:t>
                  </w:r>
                </w:p>
              </w:tc>
            </w:tr>
            <w:tr w14:paraId="1D6DA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56421DFA">
                  <w:pPr>
                    <w:pStyle w:val="30"/>
                    <w:bidi w:val="0"/>
                    <w:rPr>
                      <w:rFonts w:hint="default" w:ascii="Times New Roman" w:hAnsi="Times New Roman" w:cs="Times New Roman"/>
                      <w:color w:val="auto"/>
                      <w:highlight w:val="none"/>
                    </w:rPr>
                  </w:pPr>
                </w:p>
              </w:tc>
              <w:tc>
                <w:tcPr>
                  <w:tcW w:w="90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EE9194F">
                  <w:pPr>
                    <w:pStyle w:val="30"/>
                    <w:bidi w:val="0"/>
                    <w:rPr>
                      <w:rFonts w:hint="default" w:ascii="Times New Roman" w:hAnsi="Times New Roman" w:cs="Times New Roman"/>
                      <w:color w:val="auto"/>
                      <w:highlight w:val="none"/>
                    </w:rPr>
                  </w:pP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9812F2">
                  <w:pPr>
                    <w:pStyle w:val="30"/>
                    <w:bidi w:val="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无组织排放废气</w:t>
                  </w:r>
                  <w:r>
                    <w:rPr>
                      <w:rFonts w:hint="eastAsia" w:ascii="Times New Roman" w:hAnsi="Times New Roman" w:cs="Times New Roman"/>
                      <w:color w:val="auto"/>
                      <w:highlight w:val="none"/>
                      <w:lang w:eastAsia="zh-CN"/>
                    </w:rPr>
                    <w:t>：封闭式厂房，加强车间通风</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713EAEC9">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30A27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639BAB95">
                  <w:pPr>
                    <w:pStyle w:val="30"/>
                    <w:bidi w:val="0"/>
                    <w:rPr>
                      <w:rFonts w:hint="default" w:ascii="Times New Roman" w:hAnsi="Times New Roman" w:cs="Times New Roman"/>
                      <w:color w:val="auto"/>
                      <w:highlight w:val="none"/>
                    </w:rPr>
                  </w:pP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9F76F6">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4CDFE0">
                  <w:pPr>
                    <w:pStyle w:val="30"/>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水帘柜废水定期清理作为危废委托有资质单位处理</w:t>
                  </w:r>
                </w:p>
                <w:p w14:paraId="685653C8">
                  <w:pPr>
                    <w:pStyle w:val="30"/>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生活污水：经化粪池处理达到《污水综合排放标准》（GB8978-1996）表4 中三级标准（其中氨氮、总磷参照执行《污水排入城镇下水道水质标准》GB/T 31962-2015表1中B级排放限值要求）后经市政污水管网进入铜桥港污水处理厂</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1BF9EC40">
                  <w:pPr>
                    <w:pStyle w:val="30"/>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依托园区配套</w:t>
                  </w:r>
                </w:p>
              </w:tc>
            </w:tr>
            <w:tr w14:paraId="39F9D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6069CB11">
                  <w:pPr>
                    <w:pStyle w:val="30"/>
                    <w:bidi w:val="0"/>
                    <w:rPr>
                      <w:rFonts w:hint="default" w:ascii="Times New Roman" w:hAnsi="Times New Roman" w:cs="Times New Roman"/>
                      <w:color w:val="auto"/>
                      <w:highlight w:val="none"/>
                    </w:rPr>
                  </w:pPr>
                </w:p>
              </w:tc>
              <w:tc>
                <w:tcPr>
                  <w:tcW w:w="90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D19FB4">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59892C">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室内设备：选用低噪声设备、基础减振、建筑隔声；</w:t>
                  </w:r>
                </w:p>
                <w:p w14:paraId="7783EBCE">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室外设备：选用低噪声设备、基础减振、消声器、隔声罩</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5D095995">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0BC2E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2198B1A1">
                  <w:pPr>
                    <w:pStyle w:val="30"/>
                    <w:bidi w:val="0"/>
                    <w:rPr>
                      <w:rFonts w:hint="default" w:ascii="Times New Roman" w:hAnsi="Times New Roman" w:cs="Times New Roman"/>
                      <w:color w:val="auto"/>
                      <w:highlight w:val="none"/>
                    </w:rPr>
                  </w:pPr>
                </w:p>
              </w:tc>
              <w:tc>
                <w:tcPr>
                  <w:tcW w:w="90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3271775">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C85B89">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生活垃圾：由员工收集至垃圾桶，交由环卫部门清运处理</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1072BBBD">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14BBB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0" w:type="dxa"/>
                  <w:vMerge w:val="continue"/>
                  <w:tcBorders>
                    <w:top w:val="single" w:color="auto" w:sz="4" w:space="0"/>
                    <w:left w:val="nil"/>
                    <w:bottom w:val="single" w:color="auto" w:sz="4" w:space="0"/>
                    <w:right w:val="single" w:color="auto" w:sz="4" w:space="0"/>
                    <w:tl2br w:val="nil"/>
                    <w:tr2bl w:val="nil"/>
                  </w:tcBorders>
                  <w:noWrap w:val="0"/>
                  <w:vAlign w:val="center"/>
                </w:tcPr>
                <w:p w14:paraId="1BB6DF49">
                  <w:pPr>
                    <w:pStyle w:val="30"/>
                    <w:bidi w:val="0"/>
                    <w:rPr>
                      <w:rFonts w:hint="default" w:ascii="Times New Roman" w:hAnsi="Times New Roman" w:cs="Times New Roman"/>
                      <w:color w:val="FF0000"/>
                      <w:highlight w:val="none"/>
                    </w:rPr>
                  </w:pPr>
                </w:p>
              </w:tc>
              <w:tc>
                <w:tcPr>
                  <w:tcW w:w="90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4A8E1F5">
                  <w:pPr>
                    <w:pStyle w:val="30"/>
                    <w:bidi w:val="0"/>
                    <w:rPr>
                      <w:rFonts w:hint="default" w:ascii="Times New Roman" w:hAnsi="Times New Roman" w:cs="Times New Roman"/>
                      <w:color w:val="auto"/>
                      <w:highlight w:val="none"/>
                    </w:rPr>
                  </w:pPr>
                </w:p>
              </w:tc>
              <w:tc>
                <w:tcPr>
                  <w:tcW w:w="54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AF79AC">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一般工业固废：一般</w:t>
                  </w:r>
                  <w:r>
                    <w:rPr>
                      <w:rFonts w:hint="eastAsia" w:ascii="Times New Roman" w:hAnsi="Times New Roman" w:cs="Times New Roman"/>
                      <w:color w:val="auto"/>
                      <w:highlight w:val="none"/>
                      <w:lang w:val="en-US" w:eastAsia="zh-CN"/>
                    </w:rPr>
                    <w:t>固废</w:t>
                  </w:r>
                  <w:r>
                    <w:rPr>
                      <w:rFonts w:hint="default" w:ascii="Times New Roman" w:hAnsi="Times New Roman" w:cs="Times New Roman"/>
                      <w:color w:val="auto"/>
                      <w:highlight w:val="none"/>
                    </w:rPr>
                    <w:t>外售至废弃资源回收单位；除尘器收集粉尘定期回用于生产</w:t>
                  </w:r>
                </w:p>
              </w:tc>
              <w:tc>
                <w:tcPr>
                  <w:tcW w:w="845" w:type="dxa"/>
                  <w:tcBorders>
                    <w:top w:val="single" w:color="auto" w:sz="4" w:space="0"/>
                    <w:left w:val="single" w:color="auto" w:sz="4" w:space="0"/>
                    <w:bottom w:val="single" w:color="auto" w:sz="4" w:space="0"/>
                    <w:right w:val="nil"/>
                    <w:tl2br w:val="nil"/>
                    <w:tr2bl w:val="nil"/>
                  </w:tcBorders>
                  <w:noWrap w:val="0"/>
                  <w:vAlign w:val="center"/>
                </w:tcPr>
                <w:p w14:paraId="7FC3048C">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454B6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0" w:type="dxa"/>
                  <w:vMerge w:val="continue"/>
                  <w:tcBorders>
                    <w:top w:val="single" w:color="auto" w:sz="4" w:space="0"/>
                    <w:left w:val="nil"/>
                    <w:bottom w:val="single" w:color="auto" w:sz="12" w:space="0"/>
                    <w:right w:val="single" w:color="auto" w:sz="4" w:space="0"/>
                    <w:tl2br w:val="nil"/>
                    <w:tr2bl w:val="nil"/>
                  </w:tcBorders>
                  <w:noWrap w:val="0"/>
                  <w:vAlign w:val="center"/>
                </w:tcPr>
                <w:p w14:paraId="61CCE587">
                  <w:pPr>
                    <w:pStyle w:val="30"/>
                    <w:bidi w:val="0"/>
                    <w:rPr>
                      <w:rFonts w:hint="default" w:ascii="Times New Roman" w:hAnsi="Times New Roman" w:cs="Times New Roman"/>
                      <w:color w:val="FF0000"/>
                      <w:highlight w:val="none"/>
                    </w:rPr>
                  </w:pPr>
                </w:p>
              </w:tc>
              <w:tc>
                <w:tcPr>
                  <w:tcW w:w="908" w:type="dxa"/>
                  <w:vMerge w:val="continue"/>
                  <w:tcBorders>
                    <w:top w:val="single" w:color="auto" w:sz="4" w:space="0"/>
                    <w:left w:val="single" w:color="auto" w:sz="4" w:space="0"/>
                    <w:bottom w:val="single" w:color="auto" w:sz="12" w:space="0"/>
                    <w:right w:val="single" w:color="auto" w:sz="4" w:space="0"/>
                    <w:tl2br w:val="nil"/>
                    <w:tr2bl w:val="nil"/>
                  </w:tcBorders>
                  <w:noWrap w:val="0"/>
                  <w:vAlign w:val="center"/>
                </w:tcPr>
                <w:p w14:paraId="78390189">
                  <w:pPr>
                    <w:pStyle w:val="30"/>
                    <w:bidi w:val="0"/>
                    <w:rPr>
                      <w:rFonts w:hint="default" w:ascii="Times New Roman" w:hAnsi="Times New Roman" w:cs="Times New Roman"/>
                      <w:color w:val="auto"/>
                      <w:highlight w:val="none"/>
                    </w:rPr>
                  </w:pPr>
                </w:p>
              </w:tc>
              <w:tc>
                <w:tcPr>
                  <w:tcW w:w="548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255132F">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危险废物：废</w:t>
                  </w:r>
                  <w:r>
                    <w:rPr>
                      <w:rFonts w:hint="eastAsia" w:ascii="Times New Roman" w:hAnsi="Times New Roman" w:cs="Times New Roman"/>
                      <w:color w:val="auto"/>
                      <w:highlight w:val="none"/>
                      <w:lang w:val="en-US" w:eastAsia="zh-CN"/>
                    </w:rPr>
                    <w:t>油漆桶、漆渣</w:t>
                  </w:r>
                  <w:r>
                    <w:rPr>
                      <w:rFonts w:hint="default" w:ascii="Times New Roman" w:hAnsi="Times New Roman" w:cs="Times New Roman"/>
                      <w:color w:val="auto"/>
                      <w:highlight w:val="none"/>
                    </w:rPr>
                    <w:t>、废活性炭、废机油、废机油桶</w:t>
                  </w:r>
                  <w:r>
                    <w:rPr>
                      <w:rFonts w:hint="eastAsia"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由员工收集暂存于危废暂存间（20 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），定期交有资质单位处置</w:t>
                  </w:r>
                </w:p>
              </w:tc>
              <w:tc>
                <w:tcPr>
                  <w:tcW w:w="845" w:type="dxa"/>
                  <w:tcBorders>
                    <w:top w:val="single" w:color="auto" w:sz="4" w:space="0"/>
                    <w:left w:val="single" w:color="auto" w:sz="4" w:space="0"/>
                    <w:bottom w:val="single" w:color="auto" w:sz="12" w:space="0"/>
                    <w:right w:val="nil"/>
                    <w:tl2br w:val="nil"/>
                    <w:tr2bl w:val="nil"/>
                  </w:tcBorders>
                  <w:noWrap w:val="0"/>
                  <w:vAlign w:val="center"/>
                </w:tcPr>
                <w:p w14:paraId="3EA0458F">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bl>
          <w:p w14:paraId="62CBE2D2">
            <w:pPr>
              <w:pStyle w:val="29"/>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3、产品及产能</w:t>
            </w:r>
          </w:p>
          <w:p w14:paraId="56B810D7">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本项目产品及产能情况见表2-2。</w:t>
            </w:r>
          </w:p>
          <w:p w14:paraId="0341527D">
            <w:pPr>
              <w:pStyle w:val="29"/>
              <w:bidi w:val="0"/>
              <w:rPr>
                <w:rFonts w:hint="default" w:ascii="Times New Roman" w:hAnsi="Times New Roman" w:cs="Times New Roman"/>
                <w:color w:val="auto"/>
                <w:highlight w:val="none"/>
              </w:rPr>
            </w:pPr>
          </w:p>
          <w:p w14:paraId="38796532">
            <w:pPr>
              <w:pStyle w:val="29"/>
              <w:bidi w:val="0"/>
              <w:rPr>
                <w:rFonts w:hint="default" w:ascii="Times New Roman" w:hAnsi="Times New Roman" w:cs="Times New Roman"/>
                <w:color w:val="FF0000"/>
                <w:highlight w:val="none"/>
              </w:rPr>
            </w:pPr>
          </w:p>
          <w:p w14:paraId="042F0C3B">
            <w:pPr>
              <w:pStyle w:val="29"/>
              <w:bidi w:val="0"/>
              <w:rPr>
                <w:rFonts w:hint="default" w:ascii="Times New Roman" w:hAnsi="Times New Roman" w:cs="Times New Roman"/>
                <w:color w:val="FF0000"/>
                <w:highlight w:val="none"/>
              </w:rPr>
            </w:pPr>
          </w:p>
          <w:p w14:paraId="7F11986F">
            <w:pPr>
              <w:pStyle w:val="29"/>
              <w:bidi w:val="0"/>
              <w:rPr>
                <w:rFonts w:hint="default" w:ascii="Times New Roman" w:hAnsi="Times New Roman" w:cs="Times New Roman"/>
                <w:color w:val="FF0000"/>
                <w:highlight w:val="none"/>
              </w:rPr>
            </w:pPr>
          </w:p>
          <w:p w14:paraId="617D6E84">
            <w:pPr>
              <w:pStyle w:val="29"/>
              <w:bidi w:val="0"/>
              <w:rPr>
                <w:rFonts w:hint="default" w:ascii="Times New Roman" w:hAnsi="Times New Roman" w:cs="Times New Roman"/>
                <w:color w:val="FF0000"/>
                <w:highlight w:val="none"/>
              </w:rPr>
            </w:pPr>
          </w:p>
          <w:p w14:paraId="24475233">
            <w:pPr>
              <w:pStyle w:val="31"/>
              <w:spacing w:afterLines="0"/>
              <w:jc w:val="center"/>
              <w:rPr>
                <w:rFonts w:hint="default" w:ascii="Times New Roman" w:hAnsi="Times New Roman" w:cs="Times New Roman"/>
                <w:color w:val="auto"/>
                <w:sz w:val="21"/>
                <w:szCs w:val="22"/>
                <w:highlight w:val="none"/>
              </w:rPr>
            </w:pPr>
            <w:r>
              <w:rPr>
                <w:rFonts w:hint="default" w:ascii="Times New Roman" w:hAnsi="Times New Roman" w:cs="Times New Roman"/>
                <w:color w:val="auto"/>
                <w:sz w:val="21"/>
                <w:szCs w:val="22"/>
                <w:highlight w:val="none"/>
              </w:rPr>
              <w:t>表2-2  项目产品及产能</w:t>
            </w:r>
          </w:p>
          <w:tbl>
            <w:tblPr>
              <w:tblStyle w:val="19"/>
              <w:tblW w:w="4996"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autofit"/>
              <w:tblCellMar>
                <w:top w:w="0" w:type="dxa"/>
                <w:left w:w="51" w:type="dxa"/>
                <w:bottom w:w="0" w:type="dxa"/>
                <w:right w:w="51" w:type="dxa"/>
              </w:tblCellMar>
            </w:tblPr>
            <w:tblGrid>
              <w:gridCol w:w="421"/>
              <w:gridCol w:w="849"/>
              <w:gridCol w:w="804"/>
              <w:gridCol w:w="572"/>
              <w:gridCol w:w="1220"/>
              <w:gridCol w:w="1036"/>
              <w:gridCol w:w="1845"/>
              <w:gridCol w:w="1192"/>
            </w:tblGrid>
            <w:tr w14:paraId="2132650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51" w:type="dxa"/>
                  <w:bottom w:w="0" w:type="dxa"/>
                  <w:right w:w="51" w:type="dxa"/>
                </w:tblCellMar>
              </w:tblPrEx>
              <w:trPr>
                <w:trHeight w:val="90" w:hRule="atLeast"/>
                <w:jc w:val="center"/>
              </w:trPr>
              <w:tc>
                <w:tcPr>
                  <w:tcW w:w="265" w:type="pct"/>
                  <w:vAlign w:val="center"/>
                </w:tcPr>
                <w:p w14:paraId="06C95F78">
                  <w:pPr>
                    <w:widowControl/>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534" w:type="pct"/>
                  <w:vAlign w:val="center"/>
                </w:tcPr>
                <w:p w14:paraId="573ECCCF">
                  <w:pPr>
                    <w:widowControl/>
                    <w:jc w:val="center"/>
                    <w:rPr>
                      <w:rFonts w:ascii="Times New Roman" w:hAnsi="Times New Roman" w:cs="Times New Roman"/>
                      <w:b/>
                      <w:color w:val="auto"/>
                      <w:szCs w:val="21"/>
                    </w:rPr>
                  </w:pPr>
                  <w:r>
                    <w:rPr>
                      <w:rFonts w:ascii="Times New Roman" w:hAnsi="Times New Roman" w:cs="Times New Roman"/>
                      <w:b/>
                      <w:color w:val="auto"/>
                      <w:szCs w:val="21"/>
                    </w:rPr>
                    <w:t>产品名称</w:t>
                  </w:r>
                </w:p>
              </w:tc>
              <w:tc>
                <w:tcPr>
                  <w:tcW w:w="506" w:type="pct"/>
                  <w:vAlign w:val="center"/>
                </w:tcPr>
                <w:p w14:paraId="27881C79">
                  <w:pPr>
                    <w:widowControl/>
                    <w:jc w:val="center"/>
                    <w:rPr>
                      <w:rFonts w:ascii="Times New Roman" w:hAnsi="Times New Roman" w:cs="Times New Roman"/>
                      <w:b/>
                      <w:color w:val="auto"/>
                      <w:szCs w:val="21"/>
                    </w:rPr>
                  </w:pPr>
                  <w:r>
                    <w:rPr>
                      <w:rFonts w:ascii="Times New Roman" w:hAnsi="Times New Roman" w:cs="Times New Roman"/>
                      <w:b/>
                      <w:color w:val="auto"/>
                      <w:szCs w:val="21"/>
                    </w:rPr>
                    <w:t>年产量</w:t>
                  </w:r>
                </w:p>
              </w:tc>
              <w:tc>
                <w:tcPr>
                  <w:tcW w:w="360" w:type="pct"/>
                  <w:vAlign w:val="center"/>
                </w:tcPr>
                <w:p w14:paraId="7AB6891D">
                  <w:pPr>
                    <w:widowControl/>
                    <w:jc w:val="center"/>
                    <w:rPr>
                      <w:rFonts w:ascii="Times New Roman" w:hAnsi="Times New Roman" w:cs="Times New Roman"/>
                      <w:b/>
                      <w:color w:val="auto"/>
                      <w:szCs w:val="21"/>
                    </w:rPr>
                  </w:pPr>
                  <w:r>
                    <w:rPr>
                      <w:rFonts w:ascii="Times New Roman" w:hAnsi="Times New Roman" w:cs="Times New Roman"/>
                      <w:b/>
                      <w:color w:val="auto"/>
                      <w:szCs w:val="21"/>
                    </w:rPr>
                    <w:t>规格</w:t>
                  </w:r>
                  <w:r>
                    <w:rPr>
                      <w:rFonts w:hint="eastAsia" w:ascii="Times New Roman" w:hAnsi="Times New Roman" w:cs="Times New Roman"/>
                      <w:b/>
                      <w:color w:val="auto"/>
                      <w:szCs w:val="21"/>
                    </w:rPr>
                    <w:t>型号</w:t>
                  </w:r>
                </w:p>
              </w:tc>
              <w:tc>
                <w:tcPr>
                  <w:tcW w:w="768" w:type="pct"/>
                  <w:tcBorders>
                    <w:right w:val="single" w:color="auto" w:sz="4" w:space="0"/>
                  </w:tcBorders>
                  <w:vAlign w:val="center"/>
                </w:tcPr>
                <w:p w14:paraId="7680504E">
                  <w:pPr>
                    <w:widowControl/>
                    <w:jc w:val="center"/>
                    <w:rPr>
                      <w:rFonts w:hint="eastAsia" w:ascii="Times New Roman" w:hAnsi="Times New Roman" w:eastAsia="宋体" w:cs="Times New Roman"/>
                      <w:b/>
                      <w:color w:val="auto"/>
                      <w:szCs w:val="21"/>
                      <w:lang w:val="en-US" w:eastAsia="zh-CN"/>
                    </w:rPr>
                  </w:pPr>
                  <w:r>
                    <w:rPr>
                      <w:rFonts w:hint="eastAsia" w:cs="Times New Roman"/>
                      <w:b/>
                      <w:color w:val="auto"/>
                      <w:szCs w:val="21"/>
                      <w:lang w:val="en-US" w:eastAsia="zh-CN"/>
                    </w:rPr>
                    <w:t>涂装</w:t>
                  </w:r>
                  <w:r>
                    <w:rPr>
                      <w:rFonts w:hint="eastAsia" w:ascii="Times New Roman" w:hAnsi="Times New Roman" w:cs="Times New Roman"/>
                      <w:b/>
                      <w:color w:val="auto"/>
                      <w:szCs w:val="21"/>
                      <w:lang w:val="en-US" w:eastAsia="zh-CN"/>
                    </w:rPr>
                    <w:t>面积</w:t>
                  </w:r>
                  <w:r>
                    <w:rPr>
                      <w:rFonts w:hint="eastAsia"/>
                      <w:b/>
                      <w:bCs/>
                      <w:color w:val="auto"/>
                      <w:szCs w:val="21"/>
                    </w:rPr>
                    <w:t>(m</w:t>
                  </w:r>
                  <w:r>
                    <w:rPr>
                      <w:rFonts w:hint="eastAsia"/>
                      <w:b/>
                      <w:bCs/>
                      <w:color w:val="auto"/>
                      <w:szCs w:val="21"/>
                      <w:vertAlign w:val="superscript"/>
                    </w:rPr>
                    <w:t>2</w:t>
                  </w:r>
                  <w:r>
                    <w:rPr>
                      <w:rFonts w:hint="eastAsia"/>
                      <w:b/>
                      <w:bCs/>
                      <w:color w:val="auto"/>
                      <w:szCs w:val="21"/>
                    </w:rPr>
                    <w:t>/</w:t>
                  </w:r>
                  <w:r>
                    <w:rPr>
                      <w:rFonts w:hint="eastAsia"/>
                      <w:b/>
                      <w:bCs/>
                      <w:color w:val="auto"/>
                      <w:szCs w:val="21"/>
                      <w:lang w:val="en-US" w:eastAsia="zh-CN"/>
                    </w:rPr>
                    <w:t>件</w:t>
                  </w:r>
                  <w:r>
                    <w:rPr>
                      <w:b/>
                      <w:color w:val="auto"/>
                      <w:kern w:val="0"/>
                      <w:szCs w:val="21"/>
                      <w:lang w:bidi="ar"/>
                    </w:rPr>
                    <w:t>）</w:t>
                  </w:r>
                  <w:r>
                    <w:rPr>
                      <w:rFonts w:hint="eastAsia"/>
                      <w:b/>
                      <w:bCs/>
                      <w:color w:val="auto"/>
                      <w:szCs w:val="21"/>
                      <w:lang w:val="en-US" w:eastAsia="zh-CN"/>
                    </w:rPr>
                    <w:t>*</w:t>
                  </w:r>
                </w:p>
              </w:tc>
              <w:tc>
                <w:tcPr>
                  <w:tcW w:w="652" w:type="pct"/>
                  <w:tcBorders>
                    <w:left w:val="single" w:color="auto" w:sz="4" w:space="0"/>
                  </w:tcBorders>
                  <w:shd w:val="clear" w:color="auto" w:fill="auto"/>
                  <w:vAlign w:val="center"/>
                </w:tcPr>
                <w:p w14:paraId="1B4134B0">
                  <w:pPr>
                    <w:jc w:val="center"/>
                    <w:rPr>
                      <w:rFonts w:hint="default" w:eastAsia="宋体"/>
                      <w:b/>
                      <w:color w:val="auto"/>
                      <w:kern w:val="0"/>
                      <w:szCs w:val="21"/>
                      <w:lang w:val="en-US" w:eastAsia="zh-CN" w:bidi="ar"/>
                    </w:rPr>
                  </w:pPr>
                  <w:r>
                    <w:rPr>
                      <w:rFonts w:hint="eastAsia"/>
                      <w:b/>
                      <w:color w:val="auto"/>
                      <w:kern w:val="0"/>
                      <w:szCs w:val="21"/>
                      <w:lang w:val="en-US" w:eastAsia="zh-CN" w:bidi="ar"/>
                    </w:rPr>
                    <w:t>总涂装面积</w:t>
                  </w:r>
                  <w:r>
                    <w:rPr>
                      <w:rFonts w:hint="eastAsia"/>
                      <w:b/>
                      <w:bCs/>
                      <w:color w:val="auto"/>
                      <w:szCs w:val="21"/>
                    </w:rPr>
                    <w:t>m</w:t>
                  </w:r>
                  <w:r>
                    <w:rPr>
                      <w:rFonts w:hint="eastAsia"/>
                      <w:b/>
                      <w:bCs/>
                      <w:color w:val="auto"/>
                      <w:szCs w:val="21"/>
                      <w:vertAlign w:val="superscript"/>
                    </w:rPr>
                    <w:t>2</w:t>
                  </w:r>
                </w:p>
              </w:tc>
              <w:tc>
                <w:tcPr>
                  <w:tcW w:w="1161" w:type="pct"/>
                  <w:tcBorders>
                    <w:left w:val="single" w:color="auto" w:sz="4" w:space="0"/>
                  </w:tcBorders>
                  <w:shd w:val="clear" w:color="auto" w:fill="auto"/>
                  <w:vAlign w:val="center"/>
                </w:tcPr>
                <w:p w14:paraId="1E17B8A0">
                  <w:pPr>
                    <w:jc w:val="center"/>
                    <w:rPr>
                      <w:rFonts w:ascii="Times New Roman" w:hAnsi="Times New Roman" w:eastAsia="宋体" w:cs="Times New Roman"/>
                      <w:b/>
                      <w:color w:val="auto"/>
                      <w:kern w:val="0"/>
                      <w:sz w:val="21"/>
                      <w:szCs w:val="21"/>
                      <w:lang w:val="en-US" w:eastAsia="zh-CN" w:bidi="ar"/>
                    </w:rPr>
                  </w:pPr>
                  <w:r>
                    <w:rPr>
                      <w:b/>
                      <w:color w:val="auto"/>
                      <w:kern w:val="0"/>
                      <w:szCs w:val="21"/>
                      <w:lang w:bidi="ar"/>
                    </w:rPr>
                    <w:t>涂层成膜厚度（μm）</w:t>
                  </w:r>
                </w:p>
              </w:tc>
              <w:tc>
                <w:tcPr>
                  <w:tcW w:w="750" w:type="pct"/>
                  <w:vAlign w:val="center"/>
                </w:tcPr>
                <w:p w14:paraId="2BDA6B53">
                  <w:pPr>
                    <w:widowControl/>
                    <w:jc w:val="center"/>
                    <w:rPr>
                      <w:rFonts w:ascii="Times New Roman" w:hAnsi="Times New Roman" w:cs="Times New Roman"/>
                      <w:b/>
                      <w:color w:val="auto"/>
                      <w:szCs w:val="21"/>
                    </w:rPr>
                  </w:pPr>
                  <w:r>
                    <w:rPr>
                      <w:rFonts w:ascii="Times New Roman" w:hAnsi="Times New Roman" w:cs="Times New Roman"/>
                      <w:b/>
                      <w:color w:val="auto"/>
                      <w:szCs w:val="21"/>
                    </w:rPr>
                    <w:t>备注</w:t>
                  </w:r>
                </w:p>
              </w:tc>
            </w:tr>
            <w:tr w14:paraId="2864306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51" w:type="dxa"/>
                  <w:bottom w:w="0" w:type="dxa"/>
                  <w:right w:w="51" w:type="dxa"/>
                </w:tblCellMar>
              </w:tblPrEx>
              <w:trPr>
                <w:trHeight w:val="397" w:hRule="atLeast"/>
                <w:jc w:val="center"/>
              </w:trPr>
              <w:tc>
                <w:tcPr>
                  <w:tcW w:w="265" w:type="pct"/>
                  <w:vAlign w:val="center"/>
                </w:tcPr>
                <w:p w14:paraId="09175604">
                  <w:pPr>
                    <w:widowControl/>
                    <w:jc w:val="center"/>
                    <w:rPr>
                      <w:rFonts w:ascii="Times New Roman" w:hAnsi="Times New Roman" w:cs="Times New Roman"/>
                      <w:color w:val="auto"/>
                      <w:szCs w:val="21"/>
                    </w:rPr>
                  </w:pPr>
                  <w:r>
                    <w:rPr>
                      <w:rFonts w:hint="eastAsia" w:ascii="Times New Roman" w:hAnsi="Times New Roman" w:cs="Times New Roman"/>
                      <w:color w:val="auto"/>
                      <w:szCs w:val="21"/>
                    </w:rPr>
                    <w:t>1</w:t>
                  </w:r>
                </w:p>
              </w:tc>
              <w:tc>
                <w:tcPr>
                  <w:tcW w:w="534" w:type="pct"/>
                  <w:vAlign w:val="center"/>
                </w:tcPr>
                <w:p w14:paraId="7B4CEA86">
                  <w:pPr>
                    <w:widowControl/>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变压器配件</w:t>
                  </w:r>
                </w:p>
              </w:tc>
              <w:tc>
                <w:tcPr>
                  <w:tcW w:w="506" w:type="pct"/>
                  <w:vAlign w:val="center"/>
                </w:tcPr>
                <w:p w14:paraId="3FF91382">
                  <w:pPr>
                    <w:widowControl/>
                    <w:jc w:val="center"/>
                    <w:rPr>
                      <w:rFonts w:hint="default" w:ascii="Times New Roman" w:hAnsi="Times New Roman" w:cs="Times New Roman" w:eastAsiaTheme="minorEastAsia"/>
                      <w:color w:val="auto"/>
                      <w:szCs w:val="21"/>
                      <w:lang w:val="en-US" w:eastAsia="zh-CN"/>
                    </w:rPr>
                  </w:pPr>
                  <w:r>
                    <w:rPr>
                      <w:rFonts w:hint="eastAsia" w:cs="Times New Roman"/>
                      <w:color w:val="auto"/>
                      <w:szCs w:val="21"/>
                      <w:lang w:val="en-US" w:eastAsia="zh-CN"/>
                    </w:rPr>
                    <w:t>1</w:t>
                  </w:r>
                  <w:r>
                    <w:rPr>
                      <w:rFonts w:hint="eastAsia" w:ascii="Times New Roman" w:hAnsi="Times New Roman" w:cs="Times New Roman"/>
                      <w:color w:val="auto"/>
                      <w:szCs w:val="21"/>
                      <w:lang w:val="en-US" w:eastAsia="zh-CN"/>
                    </w:rPr>
                    <w:t>万件</w:t>
                  </w:r>
                </w:p>
              </w:tc>
              <w:tc>
                <w:tcPr>
                  <w:tcW w:w="360" w:type="pct"/>
                  <w:vAlign w:val="center"/>
                </w:tcPr>
                <w:p w14:paraId="2FB19D38">
                  <w:pPr>
                    <w:widowControl/>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w:t>
                  </w:r>
                </w:p>
              </w:tc>
              <w:tc>
                <w:tcPr>
                  <w:tcW w:w="768" w:type="pct"/>
                  <w:vMerge w:val="restart"/>
                  <w:tcBorders>
                    <w:right w:val="single" w:color="auto" w:sz="4" w:space="0"/>
                  </w:tcBorders>
                  <w:vAlign w:val="center"/>
                </w:tcPr>
                <w:p w14:paraId="2E0FCD1C">
                  <w:pPr>
                    <w:widowControl/>
                    <w:jc w:val="center"/>
                    <w:rPr>
                      <w:rFonts w:hint="default" w:ascii="Times New Roman" w:hAnsi="Times New Roman" w:cs="Times New Roman"/>
                      <w:color w:val="auto"/>
                      <w:szCs w:val="21"/>
                      <w:u w:val="single"/>
                      <w:lang w:val="en-US" w:eastAsia="zh-CN"/>
                    </w:rPr>
                  </w:pPr>
                  <w:r>
                    <w:rPr>
                      <w:rFonts w:hint="eastAsia" w:cs="Times New Roman"/>
                      <w:color w:val="auto"/>
                      <w:szCs w:val="21"/>
                      <w:u w:val="single"/>
                      <w:lang w:val="en-US" w:eastAsia="zh-CN"/>
                    </w:rPr>
                    <w:t>单件涂装面积在0.1-5m</w:t>
                  </w:r>
                  <w:r>
                    <w:rPr>
                      <w:rFonts w:hint="eastAsia"/>
                      <w:b/>
                      <w:bCs/>
                      <w:color w:val="auto"/>
                      <w:szCs w:val="21"/>
                      <w:u w:val="single"/>
                      <w:vertAlign w:val="superscript"/>
                    </w:rPr>
                    <w:t>2</w:t>
                  </w:r>
                  <w:r>
                    <w:rPr>
                      <w:rFonts w:hint="eastAsia" w:cs="Times New Roman"/>
                      <w:color w:val="auto"/>
                      <w:szCs w:val="21"/>
                      <w:u w:val="single"/>
                      <w:lang w:val="en-US" w:eastAsia="zh-CN"/>
                    </w:rPr>
                    <w:t>范围内，小件居多，计算取0.6m</w:t>
                  </w:r>
                  <w:r>
                    <w:rPr>
                      <w:rFonts w:hint="eastAsia"/>
                      <w:b/>
                      <w:bCs/>
                      <w:color w:val="auto"/>
                      <w:szCs w:val="21"/>
                      <w:u w:val="single"/>
                      <w:vertAlign w:val="superscript"/>
                    </w:rPr>
                    <w:t>2</w:t>
                  </w:r>
                  <w:r>
                    <w:rPr>
                      <w:rFonts w:hint="eastAsia"/>
                      <w:b w:val="0"/>
                      <w:bCs w:val="0"/>
                      <w:color w:val="auto"/>
                      <w:szCs w:val="21"/>
                      <w:u w:val="single"/>
                      <w:vertAlign w:val="baseline"/>
                      <w:lang w:val="en-US" w:eastAsia="zh-CN"/>
                    </w:rPr>
                    <w:t>为</w:t>
                  </w:r>
                  <w:r>
                    <w:rPr>
                      <w:rFonts w:hint="eastAsia" w:cs="Times New Roman"/>
                      <w:color w:val="auto"/>
                      <w:szCs w:val="21"/>
                      <w:u w:val="single"/>
                      <w:lang w:val="en-US" w:eastAsia="zh-CN"/>
                    </w:rPr>
                    <w:t>均值</w:t>
                  </w:r>
                </w:p>
              </w:tc>
              <w:tc>
                <w:tcPr>
                  <w:tcW w:w="652" w:type="pct"/>
                  <w:tcBorders>
                    <w:left w:val="single" w:color="auto" w:sz="4" w:space="0"/>
                  </w:tcBorders>
                  <w:vAlign w:val="center"/>
                </w:tcPr>
                <w:p w14:paraId="13474574">
                  <w:pPr>
                    <w:widowControl/>
                    <w:jc w:val="center"/>
                    <w:rPr>
                      <w:rFonts w:hint="default" w:ascii="Times New Roman" w:hAnsi="Times New Roman" w:cs="Times New Roman"/>
                      <w:color w:val="auto"/>
                      <w:szCs w:val="21"/>
                      <w:u w:val="single"/>
                      <w:lang w:val="en-US" w:eastAsia="zh-CN"/>
                    </w:rPr>
                  </w:pPr>
                  <w:r>
                    <w:rPr>
                      <w:rFonts w:hint="eastAsia" w:cs="Times New Roman"/>
                      <w:color w:val="auto"/>
                      <w:szCs w:val="21"/>
                      <w:u w:val="single"/>
                      <w:lang w:val="en-US" w:eastAsia="zh-CN"/>
                    </w:rPr>
                    <w:t>6000</w:t>
                  </w:r>
                </w:p>
              </w:tc>
              <w:tc>
                <w:tcPr>
                  <w:tcW w:w="1161" w:type="pct"/>
                  <w:vMerge w:val="restart"/>
                  <w:tcBorders>
                    <w:left w:val="single" w:color="auto" w:sz="4" w:space="0"/>
                  </w:tcBorders>
                  <w:vAlign w:val="center"/>
                </w:tcPr>
                <w:p w14:paraId="0CEDB8DE">
                  <w:pPr>
                    <w:widowControl/>
                    <w:jc w:val="center"/>
                    <w:rPr>
                      <w:rFonts w:hint="default"/>
                      <w:lang w:val="en-US" w:eastAsia="zh-CN"/>
                    </w:rPr>
                  </w:pPr>
                  <w:r>
                    <w:rPr>
                      <w:rFonts w:hint="eastAsia" w:cs="Times New Roman"/>
                      <w:color w:val="auto"/>
                      <w:szCs w:val="21"/>
                      <w:u w:val="single"/>
                      <w:lang w:val="en-US" w:eastAsia="zh-CN"/>
                    </w:rPr>
                    <w:t>底漆成膜厚度为30μm左右，面漆成膜厚度为40μm左右，平均总成膜厚度取70μm</w:t>
                  </w:r>
                </w:p>
              </w:tc>
              <w:tc>
                <w:tcPr>
                  <w:tcW w:w="750" w:type="pct"/>
                  <w:vAlign w:val="center"/>
                </w:tcPr>
                <w:p w14:paraId="28E8C452">
                  <w:pPr>
                    <w:widowControl/>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重量</w:t>
                  </w:r>
                  <w:r>
                    <w:rPr>
                      <w:rFonts w:hint="eastAsia" w:cs="Times New Roman"/>
                      <w:color w:val="auto"/>
                      <w:szCs w:val="21"/>
                      <w:lang w:val="en-US" w:eastAsia="zh-CN"/>
                    </w:rPr>
                    <w:t>约</w:t>
                  </w:r>
                  <w:r>
                    <w:rPr>
                      <w:rFonts w:hint="eastAsia" w:ascii="Times New Roman" w:hAnsi="Times New Roman" w:cs="Times New Roman"/>
                      <w:color w:val="auto"/>
                      <w:szCs w:val="21"/>
                      <w:lang w:val="en-US" w:eastAsia="zh-CN"/>
                    </w:rPr>
                    <w:t>在</w:t>
                  </w:r>
                  <w:r>
                    <w:rPr>
                      <w:rFonts w:hint="eastAsia" w:cs="Times New Roman"/>
                      <w:color w:val="auto"/>
                      <w:szCs w:val="21"/>
                      <w:lang w:val="en-US" w:eastAsia="zh-CN"/>
                    </w:rPr>
                    <w:t>5</w:t>
                  </w:r>
                  <w:r>
                    <w:rPr>
                      <w:rFonts w:hint="eastAsia" w:ascii="Times New Roman" w:hAnsi="Times New Roman" w:cs="Times New Roman"/>
                      <w:color w:val="auto"/>
                      <w:szCs w:val="21"/>
                      <w:lang w:val="en-US" w:eastAsia="zh-CN"/>
                    </w:rPr>
                    <w:t>-5</w:t>
                  </w:r>
                  <w:r>
                    <w:rPr>
                      <w:rFonts w:hint="eastAsia" w:cs="Times New Roman"/>
                      <w:color w:val="auto"/>
                      <w:szCs w:val="21"/>
                      <w:lang w:val="en-US" w:eastAsia="zh-CN"/>
                    </w:rPr>
                    <w:t>0kg</w:t>
                  </w:r>
                  <w:r>
                    <w:rPr>
                      <w:rFonts w:hint="eastAsia" w:ascii="Times New Roman" w:hAnsi="Times New Roman" w:cs="Times New Roman"/>
                      <w:color w:val="auto"/>
                      <w:szCs w:val="21"/>
                      <w:lang w:val="en-US" w:eastAsia="zh-CN"/>
                    </w:rPr>
                    <w:t>/</w:t>
                  </w:r>
                  <w:r>
                    <w:rPr>
                      <w:rFonts w:hint="eastAsia" w:cs="Times New Roman"/>
                      <w:color w:val="auto"/>
                      <w:szCs w:val="21"/>
                      <w:lang w:val="en-US" w:eastAsia="zh-CN"/>
                    </w:rPr>
                    <w:t>件</w:t>
                  </w:r>
                </w:p>
              </w:tc>
            </w:tr>
            <w:tr w14:paraId="46E2777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51" w:type="dxa"/>
                  <w:bottom w:w="0" w:type="dxa"/>
                  <w:right w:w="51" w:type="dxa"/>
                </w:tblCellMar>
              </w:tblPrEx>
              <w:trPr>
                <w:trHeight w:val="397" w:hRule="atLeast"/>
                <w:jc w:val="center"/>
              </w:trPr>
              <w:tc>
                <w:tcPr>
                  <w:tcW w:w="265" w:type="pct"/>
                  <w:vAlign w:val="center"/>
                </w:tcPr>
                <w:p w14:paraId="08FBA47D">
                  <w:pPr>
                    <w:widowControl/>
                    <w:jc w:val="center"/>
                    <w:rPr>
                      <w:rFonts w:ascii="Times New Roman" w:hAnsi="Times New Roman" w:cs="Times New Roman"/>
                      <w:color w:val="auto"/>
                      <w:szCs w:val="21"/>
                    </w:rPr>
                  </w:pPr>
                  <w:r>
                    <w:rPr>
                      <w:rFonts w:hint="eastAsia" w:ascii="Times New Roman" w:hAnsi="Times New Roman" w:cs="Times New Roman"/>
                      <w:color w:val="auto"/>
                      <w:szCs w:val="21"/>
                    </w:rPr>
                    <w:t>2</w:t>
                  </w:r>
                </w:p>
              </w:tc>
              <w:tc>
                <w:tcPr>
                  <w:tcW w:w="534" w:type="pct"/>
                  <w:vAlign w:val="center"/>
                </w:tcPr>
                <w:p w14:paraId="471965DF">
                  <w:pPr>
                    <w:widowControl/>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高压开关配件</w:t>
                  </w:r>
                </w:p>
              </w:tc>
              <w:tc>
                <w:tcPr>
                  <w:tcW w:w="506" w:type="pct"/>
                  <w:shd w:val="clear" w:color="auto" w:fill="auto"/>
                  <w:vAlign w:val="center"/>
                </w:tcPr>
                <w:p w14:paraId="55F31813">
                  <w:pPr>
                    <w:widowControl/>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color w:val="auto"/>
                      <w:szCs w:val="21"/>
                      <w:lang w:val="en-US" w:eastAsia="zh-CN"/>
                    </w:rPr>
                    <w:t>2</w:t>
                  </w:r>
                  <w:r>
                    <w:rPr>
                      <w:rFonts w:hint="eastAsia" w:ascii="Times New Roman" w:hAnsi="Times New Roman" w:cs="Times New Roman"/>
                      <w:color w:val="auto"/>
                      <w:szCs w:val="21"/>
                      <w:lang w:val="en-US" w:eastAsia="zh-CN"/>
                    </w:rPr>
                    <w:t>万件</w:t>
                  </w:r>
                </w:p>
              </w:tc>
              <w:tc>
                <w:tcPr>
                  <w:tcW w:w="360" w:type="pct"/>
                  <w:vAlign w:val="center"/>
                </w:tcPr>
                <w:p w14:paraId="2F296447">
                  <w:pPr>
                    <w:widowControl/>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w:t>
                  </w:r>
                </w:p>
              </w:tc>
              <w:tc>
                <w:tcPr>
                  <w:tcW w:w="768" w:type="pct"/>
                  <w:vMerge w:val="continue"/>
                  <w:tcBorders>
                    <w:right w:val="single" w:color="auto" w:sz="4" w:space="0"/>
                  </w:tcBorders>
                  <w:vAlign w:val="center"/>
                </w:tcPr>
                <w:p w14:paraId="611E6228">
                  <w:pPr>
                    <w:widowControl/>
                    <w:jc w:val="center"/>
                    <w:rPr>
                      <w:rFonts w:hint="default" w:ascii="Times New Roman" w:hAnsi="Times New Roman" w:cs="Times New Roman"/>
                      <w:color w:val="auto"/>
                      <w:szCs w:val="21"/>
                      <w:u w:val="single"/>
                      <w:lang w:val="en-US" w:eastAsia="zh-CN"/>
                    </w:rPr>
                  </w:pPr>
                </w:p>
              </w:tc>
              <w:tc>
                <w:tcPr>
                  <w:tcW w:w="652" w:type="pct"/>
                  <w:tcBorders>
                    <w:left w:val="single" w:color="auto" w:sz="4" w:space="0"/>
                  </w:tcBorders>
                  <w:vAlign w:val="center"/>
                </w:tcPr>
                <w:p w14:paraId="0CAF0D07">
                  <w:pPr>
                    <w:widowControl/>
                    <w:jc w:val="center"/>
                    <w:rPr>
                      <w:rFonts w:hint="default" w:cs="Times New Roman"/>
                      <w:color w:val="auto"/>
                      <w:szCs w:val="21"/>
                      <w:u w:val="single"/>
                      <w:lang w:val="en-US" w:eastAsia="zh-CN"/>
                    </w:rPr>
                  </w:pPr>
                  <w:r>
                    <w:rPr>
                      <w:rFonts w:hint="eastAsia" w:cs="Times New Roman"/>
                      <w:color w:val="auto"/>
                      <w:szCs w:val="21"/>
                      <w:u w:val="single"/>
                      <w:lang w:val="en-US" w:eastAsia="zh-CN"/>
                    </w:rPr>
                    <w:t>12000</w:t>
                  </w:r>
                </w:p>
              </w:tc>
              <w:tc>
                <w:tcPr>
                  <w:tcW w:w="1161" w:type="pct"/>
                  <w:vMerge w:val="continue"/>
                  <w:tcBorders>
                    <w:left w:val="single" w:color="auto" w:sz="4" w:space="0"/>
                  </w:tcBorders>
                  <w:vAlign w:val="center"/>
                </w:tcPr>
                <w:p w14:paraId="1AFD6491">
                  <w:pPr>
                    <w:widowControl/>
                    <w:jc w:val="center"/>
                    <w:rPr>
                      <w:rFonts w:hint="eastAsia" w:ascii="Times New Roman" w:hAnsi="Times New Roman" w:cs="Times New Roman"/>
                      <w:color w:val="auto"/>
                      <w:szCs w:val="21"/>
                      <w:lang w:val="en-US" w:eastAsia="zh-CN"/>
                    </w:rPr>
                  </w:pPr>
                </w:p>
              </w:tc>
              <w:tc>
                <w:tcPr>
                  <w:tcW w:w="750" w:type="pct"/>
                  <w:vAlign w:val="center"/>
                </w:tcPr>
                <w:p w14:paraId="45391763">
                  <w:pPr>
                    <w:widowControl/>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重量</w:t>
                  </w:r>
                  <w:r>
                    <w:rPr>
                      <w:rFonts w:hint="eastAsia" w:cs="Times New Roman"/>
                      <w:color w:val="auto"/>
                      <w:szCs w:val="21"/>
                      <w:lang w:val="en-US" w:eastAsia="zh-CN"/>
                    </w:rPr>
                    <w:t>约</w:t>
                  </w:r>
                  <w:r>
                    <w:rPr>
                      <w:rFonts w:hint="eastAsia" w:ascii="Times New Roman" w:hAnsi="Times New Roman" w:cs="Times New Roman"/>
                      <w:color w:val="auto"/>
                      <w:szCs w:val="21"/>
                      <w:lang w:val="en-US" w:eastAsia="zh-CN"/>
                    </w:rPr>
                    <w:t>在</w:t>
                  </w:r>
                  <w:r>
                    <w:rPr>
                      <w:rFonts w:hint="eastAsia" w:cs="Times New Roman"/>
                      <w:color w:val="auto"/>
                      <w:szCs w:val="21"/>
                      <w:lang w:val="en-US" w:eastAsia="zh-CN"/>
                    </w:rPr>
                    <w:t>5</w:t>
                  </w:r>
                  <w:r>
                    <w:rPr>
                      <w:rFonts w:hint="eastAsia" w:ascii="Times New Roman" w:hAnsi="Times New Roman" w:cs="Times New Roman"/>
                      <w:color w:val="auto"/>
                      <w:szCs w:val="21"/>
                      <w:lang w:val="en-US" w:eastAsia="zh-CN"/>
                    </w:rPr>
                    <w:t>-8</w:t>
                  </w:r>
                  <w:r>
                    <w:rPr>
                      <w:rFonts w:hint="eastAsia" w:cs="Times New Roman"/>
                      <w:color w:val="auto"/>
                      <w:szCs w:val="21"/>
                      <w:lang w:val="en-US" w:eastAsia="zh-CN"/>
                    </w:rPr>
                    <w:t>0kg</w:t>
                  </w:r>
                  <w:r>
                    <w:rPr>
                      <w:rFonts w:hint="eastAsia" w:ascii="Times New Roman" w:hAnsi="Times New Roman" w:cs="Times New Roman"/>
                      <w:color w:val="auto"/>
                      <w:szCs w:val="21"/>
                      <w:lang w:val="en-US" w:eastAsia="zh-CN"/>
                    </w:rPr>
                    <w:t>/</w:t>
                  </w:r>
                  <w:r>
                    <w:rPr>
                      <w:rFonts w:hint="eastAsia" w:cs="Times New Roman"/>
                      <w:color w:val="auto"/>
                      <w:szCs w:val="21"/>
                      <w:lang w:val="en-US" w:eastAsia="zh-CN"/>
                    </w:rPr>
                    <w:t>件</w:t>
                  </w:r>
                </w:p>
              </w:tc>
            </w:tr>
          </w:tbl>
          <w:p w14:paraId="086A7C31">
            <w:pPr>
              <w:pStyle w:val="29"/>
              <w:bidi w:val="0"/>
              <w:rPr>
                <w:rFonts w:hint="default" w:ascii="Times New Roman" w:hAnsi="Times New Roman" w:eastAsia="宋体" w:cs="Times New Roman"/>
                <w:color w:val="FF0000"/>
                <w:sz w:val="21"/>
                <w:szCs w:val="21"/>
                <w:highlight w:val="none"/>
                <w:lang w:val="en-US" w:eastAsia="zh-CN"/>
              </w:rPr>
            </w:pPr>
            <w:r>
              <w:rPr>
                <w:rFonts w:hint="eastAsia"/>
                <w:b/>
                <w:bCs/>
                <w:color w:val="auto"/>
                <w:sz w:val="21"/>
                <w:szCs w:val="21"/>
                <w:lang w:val="en-US" w:eastAsia="zh-CN"/>
              </w:rPr>
              <w:t>注：*各配件大小和涂装面积差别很大，本表取平均值.</w:t>
            </w:r>
          </w:p>
          <w:p w14:paraId="24E7E900">
            <w:pPr>
              <w:pStyle w:val="29"/>
              <w:bidi w:val="0"/>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产能匹配性分析：</w:t>
            </w:r>
          </w:p>
          <w:p w14:paraId="66DDA1FD">
            <w:pPr>
              <w:pStyle w:val="29"/>
              <w:bidi w:val="0"/>
              <w:rPr>
                <w:rFonts w:hint="default" w:ascii="Times New Roman" w:hAnsi="Times New Roman" w:cs="Times New Roman"/>
                <w:color w:val="000000" w:themeColor="text1"/>
                <w:highlight w:val="none"/>
                <w:u w:val="single"/>
                <w:lang w:val="en-US" w:eastAsia="zh-CN"/>
                <w14:textFill>
                  <w14:solidFill>
                    <w14:schemeClr w14:val="tx1"/>
                  </w14:solidFill>
                </w14:textFill>
              </w:rPr>
            </w:pPr>
            <w:r>
              <w:rPr>
                <w:rFonts w:hint="eastAsia" w:ascii="Times New Roman" w:hAnsi="Times New Roman" w:cs="Times New Roman"/>
                <w:color w:val="000000" w:themeColor="text1"/>
                <w:highlight w:val="none"/>
                <w:u w:val="single"/>
                <w:lang w:val="en-US" w:eastAsia="zh-CN"/>
                <w14:textFill>
                  <w14:solidFill>
                    <w14:schemeClr w14:val="tx1"/>
                  </w14:solidFill>
                </w14:textFill>
              </w:rPr>
              <w:t>根据建设单位提供资料，涂层成膜平均密度约为1.15-1.2g/cm</w:t>
            </w:r>
            <w:r>
              <w:rPr>
                <w:rFonts w:hint="eastAsia" w:ascii="Times New Roman" w:hAnsi="Times New Roman" w:cs="Times New Roman"/>
                <w:color w:val="000000" w:themeColor="text1"/>
                <w:highlight w:val="none"/>
                <w:u w:val="single"/>
                <w:vertAlign w:val="superscript"/>
                <w:lang w:val="en-US" w:eastAsia="zh-CN"/>
                <w14:textFill>
                  <w14:solidFill>
                    <w14:schemeClr w14:val="tx1"/>
                  </w14:solidFill>
                </w14:textFill>
              </w:rPr>
              <w:t>3</w:t>
            </w:r>
            <w:r>
              <w:rPr>
                <w:rFonts w:hint="eastAsia" w:ascii="Times New Roman" w:hAnsi="Times New Roman" w:cs="Times New Roman"/>
                <w:color w:val="000000" w:themeColor="text1"/>
                <w:highlight w:val="none"/>
                <w:u w:val="single"/>
                <w:lang w:val="en-US" w:eastAsia="zh-CN"/>
                <w14:textFill>
                  <w14:solidFill>
                    <w14:schemeClr w14:val="tx1"/>
                  </w14:solidFill>
                </w14:textFill>
              </w:rPr>
              <w:t>，根据物料平衡核实1.661t固体组分进入产品，涂层总体积1.384m</w:t>
            </w:r>
            <w:r>
              <w:rPr>
                <w:rFonts w:hint="eastAsia" w:ascii="Times New Roman" w:hAnsi="Times New Roman" w:cs="Times New Roman"/>
                <w:color w:val="000000" w:themeColor="text1"/>
                <w:highlight w:val="none"/>
                <w:u w:val="single"/>
                <w:vertAlign w:val="superscript"/>
                <w:lang w:val="en-US" w:eastAsia="zh-CN"/>
                <w14:textFill>
                  <w14:solidFill>
                    <w14:schemeClr w14:val="tx1"/>
                  </w14:solidFill>
                </w14:textFill>
              </w:rPr>
              <w:t>3</w:t>
            </w:r>
            <w:r>
              <w:rPr>
                <w:rFonts w:hint="eastAsia" w:ascii="Times New Roman" w:hAnsi="Times New Roman" w:cs="Times New Roman"/>
                <w:color w:val="000000" w:themeColor="text1"/>
                <w:highlight w:val="none"/>
                <w:u w:val="single"/>
                <w:lang w:val="en-US" w:eastAsia="zh-CN"/>
                <w14:textFill>
                  <w14:solidFill>
                    <w14:schemeClr w14:val="tx1"/>
                  </w14:solidFill>
                </w14:textFill>
              </w:rPr>
              <w:t>-1.444m</w:t>
            </w:r>
            <w:r>
              <w:rPr>
                <w:rFonts w:hint="eastAsia" w:ascii="Times New Roman" w:hAnsi="Times New Roman" w:cs="Times New Roman"/>
                <w:color w:val="000000" w:themeColor="text1"/>
                <w:highlight w:val="none"/>
                <w:u w:val="single"/>
                <w:vertAlign w:val="superscript"/>
                <w:lang w:val="en-US" w:eastAsia="zh-CN"/>
                <w14:textFill>
                  <w14:solidFill>
                    <w14:schemeClr w14:val="tx1"/>
                  </w14:solidFill>
                </w14:textFill>
              </w:rPr>
              <w:t>3</w:t>
            </w:r>
            <w:r>
              <w:rPr>
                <w:rFonts w:hint="eastAsia" w:ascii="Times New Roman" w:hAnsi="Times New Roman" w:cs="Times New Roman"/>
                <w:color w:val="000000" w:themeColor="text1"/>
                <w:highlight w:val="none"/>
                <w:u w:val="single"/>
                <w:lang w:val="en-US" w:eastAsia="zh-CN"/>
                <w14:textFill>
                  <w14:solidFill>
                    <w14:schemeClr w14:val="tx1"/>
                  </w14:solidFill>
                </w14:textFill>
              </w:rPr>
              <w:t>，根据成膜厚度核算总涂装面积为19773m</w:t>
            </w:r>
            <w:r>
              <w:rPr>
                <w:rFonts w:hint="eastAsia" w:ascii="Times New Roman" w:hAnsi="Times New Roman" w:cs="Times New Roman"/>
                <w:color w:val="000000" w:themeColor="text1"/>
                <w:highlight w:val="none"/>
                <w:u w:val="single"/>
                <w:vertAlign w:val="superscript"/>
                <w:lang w:val="en-US" w:eastAsia="zh-CN"/>
                <w14:textFill>
                  <w14:solidFill>
                    <w14:schemeClr w14:val="tx1"/>
                  </w14:solidFill>
                </w14:textFill>
              </w:rPr>
              <w:t>2</w:t>
            </w:r>
            <w:r>
              <w:rPr>
                <w:rFonts w:hint="eastAsia" w:ascii="Times New Roman" w:hAnsi="Times New Roman" w:cs="Times New Roman"/>
                <w:color w:val="000000" w:themeColor="text1"/>
                <w:highlight w:val="none"/>
                <w:u w:val="single"/>
                <w:lang w:val="en-US" w:eastAsia="zh-CN"/>
                <w14:textFill>
                  <w14:solidFill>
                    <w14:schemeClr w14:val="tx1"/>
                  </w14:solidFill>
                </w14:textFill>
              </w:rPr>
              <w:t>-20633m</w:t>
            </w:r>
            <w:r>
              <w:rPr>
                <w:rFonts w:hint="eastAsia" w:ascii="Times New Roman" w:hAnsi="Times New Roman" w:cs="Times New Roman"/>
                <w:color w:val="000000" w:themeColor="text1"/>
                <w:highlight w:val="none"/>
                <w:u w:val="single"/>
                <w:vertAlign w:val="superscript"/>
                <w:lang w:val="en-US" w:eastAsia="zh-CN"/>
                <w14:textFill>
                  <w14:solidFill>
                    <w14:schemeClr w14:val="tx1"/>
                  </w14:solidFill>
                </w14:textFill>
              </w:rPr>
              <w:t>2</w:t>
            </w:r>
            <w:r>
              <w:rPr>
                <w:rFonts w:hint="eastAsia" w:ascii="Times New Roman" w:hAnsi="Times New Roman" w:cs="Times New Roman"/>
                <w:color w:val="000000" w:themeColor="text1"/>
                <w:highlight w:val="none"/>
                <w:u w:val="single"/>
                <w:vertAlign w:val="baseline"/>
                <w:lang w:val="en-US" w:eastAsia="zh-CN"/>
                <w14:textFill>
                  <w14:solidFill>
                    <w14:schemeClr w14:val="tx1"/>
                  </w14:solidFill>
                </w14:textFill>
              </w:rPr>
              <w:t>，根据表2-2核算可见本项目油漆用量满足产能要求。</w:t>
            </w:r>
          </w:p>
          <w:p w14:paraId="0918F1A4">
            <w:pPr>
              <w:pStyle w:val="29"/>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4、主要生产设备</w:t>
            </w:r>
          </w:p>
          <w:p w14:paraId="090CF671">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本项目主要生产设备见表2-3。</w:t>
            </w:r>
          </w:p>
          <w:p w14:paraId="309752E8">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表2-3  主要生产设备一览</w:t>
            </w:r>
          </w:p>
          <w:tbl>
            <w:tblPr>
              <w:tblStyle w:val="19"/>
              <w:tblW w:w="7617"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autofit"/>
              <w:tblCellMar>
                <w:top w:w="0" w:type="dxa"/>
                <w:left w:w="0" w:type="dxa"/>
                <w:bottom w:w="0" w:type="dxa"/>
                <w:right w:w="0" w:type="dxa"/>
              </w:tblCellMar>
            </w:tblPr>
            <w:tblGrid>
              <w:gridCol w:w="652"/>
              <w:gridCol w:w="2063"/>
              <w:gridCol w:w="1609"/>
              <w:gridCol w:w="713"/>
              <w:gridCol w:w="1290"/>
              <w:gridCol w:w="1290"/>
            </w:tblGrid>
            <w:tr w14:paraId="52CB272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679" w:hRule="atLeast"/>
                <w:jc w:val="center"/>
              </w:trPr>
              <w:tc>
                <w:tcPr>
                  <w:tcW w:w="652" w:type="dxa"/>
                  <w:vAlign w:val="center"/>
                </w:tcPr>
                <w:p w14:paraId="029E954D">
                  <w:pPr>
                    <w:jc w:val="center"/>
                    <w:rPr>
                      <w:rFonts w:ascii="Times New Roman" w:hAnsi="Times New Roman" w:cs="Times New Roman"/>
                      <w:b/>
                      <w:szCs w:val="21"/>
                    </w:rPr>
                  </w:pPr>
                  <w:r>
                    <w:rPr>
                      <w:rFonts w:ascii="Times New Roman" w:cs="Times New Roman" w:hAnsiTheme="minorEastAsia"/>
                      <w:b/>
                      <w:szCs w:val="21"/>
                    </w:rPr>
                    <w:t>序号</w:t>
                  </w:r>
                </w:p>
              </w:tc>
              <w:tc>
                <w:tcPr>
                  <w:tcW w:w="2063" w:type="dxa"/>
                  <w:vAlign w:val="center"/>
                </w:tcPr>
                <w:p w14:paraId="69E228BA">
                  <w:pPr>
                    <w:jc w:val="center"/>
                    <w:rPr>
                      <w:rFonts w:ascii="Times New Roman" w:hAnsi="Times New Roman" w:cs="Times New Roman"/>
                      <w:b/>
                      <w:szCs w:val="21"/>
                    </w:rPr>
                  </w:pPr>
                  <w:r>
                    <w:rPr>
                      <w:rFonts w:ascii="Times New Roman" w:cs="Times New Roman" w:hAnsiTheme="minorEastAsia"/>
                      <w:b/>
                      <w:szCs w:val="21"/>
                    </w:rPr>
                    <w:t>设备名称</w:t>
                  </w:r>
                </w:p>
              </w:tc>
              <w:tc>
                <w:tcPr>
                  <w:tcW w:w="1609" w:type="dxa"/>
                  <w:vAlign w:val="center"/>
                </w:tcPr>
                <w:p w14:paraId="47A7A8A9">
                  <w:pPr>
                    <w:jc w:val="center"/>
                    <w:rPr>
                      <w:rFonts w:ascii="Times New Roman" w:hAnsi="Times New Roman" w:cs="Times New Roman"/>
                      <w:b/>
                      <w:szCs w:val="21"/>
                    </w:rPr>
                  </w:pPr>
                  <w:r>
                    <w:rPr>
                      <w:rFonts w:ascii="Times New Roman" w:cs="Times New Roman" w:hAnsiTheme="minorEastAsia"/>
                      <w:b/>
                      <w:szCs w:val="21"/>
                    </w:rPr>
                    <w:t>规格型号</w:t>
                  </w:r>
                </w:p>
              </w:tc>
              <w:tc>
                <w:tcPr>
                  <w:tcW w:w="713" w:type="dxa"/>
                  <w:vAlign w:val="center"/>
                </w:tcPr>
                <w:p w14:paraId="39CF5C02">
                  <w:pPr>
                    <w:jc w:val="center"/>
                    <w:rPr>
                      <w:rFonts w:ascii="Times New Roman" w:hAnsi="Times New Roman" w:cs="Times New Roman"/>
                      <w:b/>
                      <w:szCs w:val="21"/>
                    </w:rPr>
                  </w:pPr>
                  <w:r>
                    <w:rPr>
                      <w:rFonts w:ascii="Times New Roman" w:cs="Times New Roman" w:hAnsiTheme="minorEastAsia"/>
                      <w:b/>
                      <w:szCs w:val="21"/>
                    </w:rPr>
                    <w:t>单位</w:t>
                  </w:r>
                </w:p>
              </w:tc>
              <w:tc>
                <w:tcPr>
                  <w:tcW w:w="1290" w:type="dxa"/>
                  <w:vAlign w:val="center"/>
                </w:tcPr>
                <w:p w14:paraId="56534B7F">
                  <w:pPr>
                    <w:jc w:val="center"/>
                    <w:rPr>
                      <w:rFonts w:hint="eastAsia" w:ascii="Times New Roman" w:cs="Times New Roman" w:hAnsiTheme="minorEastAsia" w:eastAsiaTheme="minorEastAsia"/>
                      <w:b/>
                      <w:szCs w:val="21"/>
                      <w:lang w:val="en-US" w:eastAsia="zh-CN"/>
                    </w:rPr>
                  </w:pPr>
                  <w:r>
                    <w:rPr>
                      <w:rFonts w:hint="eastAsia" w:ascii="Times New Roman" w:cs="Times New Roman" w:hAnsiTheme="minorEastAsia"/>
                      <w:b/>
                      <w:szCs w:val="21"/>
                      <w:lang w:val="en-US" w:eastAsia="zh-CN"/>
                    </w:rPr>
                    <w:t>数量</w:t>
                  </w:r>
                </w:p>
              </w:tc>
              <w:tc>
                <w:tcPr>
                  <w:tcW w:w="1290" w:type="dxa"/>
                  <w:vAlign w:val="center"/>
                </w:tcPr>
                <w:p w14:paraId="68E66F17">
                  <w:pPr>
                    <w:jc w:val="center"/>
                    <w:rPr>
                      <w:rFonts w:ascii="Times New Roman" w:hAnsi="Times New Roman" w:cs="Times New Roman"/>
                      <w:b/>
                      <w:szCs w:val="21"/>
                    </w:rPr>
                  </w:pPr>
                  <w:r>
                    <w:rPr>
                      <w:rFonts w:ascii="Times New Roman" w:cs="Times New Roman" w:hAnsiTheme="minorEastAsia"/>
                      <w:b/>
                      <w:szCs w:val="21"/>
                    </w:rPr>
                    <w:t>备注</w:t>
                  </w:r>
                </w:p>
              </w:tc>
            </w:tr>
            <w:tr w14:paraId="524FF75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523221D1">
                  <w:pPr>
                    <w:jc w:val="center"/>
                    <w:rPr>
                      <w:rFonts w:ascii="Times New Roman" w:hAnsi="Times New Roman" w:cs="Times New Roman"/>
                      <w:szCs w:val="21"/>
                    </w:rPr>
                  </w:pPr>
                  <w:r>
                    <w:rPr>
                      <w:rFonts w:ascii="Times New Roman" w:hAnsi="Times New Roman" w:cs="Times New Roman"/>
                      <w:szCs w:val="21"/>
                    </w:rPr>
                    <w:t>1</w:t>
                  </w:r>
                </w:p>
              </w:tc>
              <w:tc>
                <w:tcPr>
                  <w:tcW w:w="2063" w:type="dxa"/>
                  <w:vAlign w:val="center"/>
                </w:tcPr>
                <w:p w14:paraId="2C7C090B">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打磨机</w:t>
                  </w:r>
                </w:p>
              </w:tc>
              <w:tc>
                <w:tcPr>
                  <w:tcW w:w="1609" w:type="dxa"/>
                  <w:vAlign w:val="center"/>
                </w:tcPr>
                <w:p w14:paraId="51FBF7FC">
                  <w:pPr>
                    <w:jc w:val="center"/>
                    <w:rPr>
                      <w:rFonts w:hint="default" w:ascii="Times New Roman" w:hAnsi="Times New Roman" w:cs="Times New Roman" w:eastAsiaTheme="minorEastAsia"/>
                      <w:szCs w:val="21"/>
                      <w:u w:val="single"/>
                      <w:lang w:val="en-US" w:eastAsia="zh-CN"/>
                    </w:rPr>
                  </w:pPr>
                  <w:r>
                    <w:rPr>
                      <w:rFonts w:hint="eastAsia" w:ascii="Times New Roman" w:hAnsi="Times New Roman" w:cs="Times New Roman"/>
                      <w:szCs w:val="21"/>
                      <w:u w:val="single"/>
                      <w:lang w:val="en-US" w:eastAsia="zh-CN"/>
                    </w:rPr>
                    <w:t>9553HNG</w:t>
                  </w:r>
                </w:p>
              </w:tc>
              <w:tc>
                <w:tcPr>
                  <w:tcW w:w="713" w:type="dxa"/>
                  <w:vAlign w:val="center"/>
                </w:tcPr>
                <w:p w14:paraId="6FAD368E">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台</w:t>
                  </w:r>
                </w:p>
              </w:tc>
              <w:tc>
                <w:tcPr>
                  <w:tcW w:w="1290" w:type="dxa"/>
                  <w:vAlign w:val="center"/>
                </w:tcPr>
                <w:p w14:paraId="40B5C733">
                  <w:pPr>
                    <w:jc w:val="center"/>
                    <w:rPr>
                      <w:rFonts w:hint="eastAsia" w:ascii="Times New Roman" w:hAnsi="Times New Roman" w:cs="Times New Roman" w:eastAsiaTheme="minorEastAsia"/>
                      <w:szCs w:val="21"/>
                      <w:lang w:val="en-US" w:eastAsia="zh-CN"/>
                    </w:rPr>
                  </w:pPr>
                  <w:r>
                    <w:rPr>
                      <w:rFonts w:hint="eastAsia" w:cs="Times New Roman"/>
                      <w:szCs w:val="21"/>
                      <w:lang w:val="en-US" w:eastAsia="zh-CN"/>
                    </w:rPr>
                    <w:t>4</w:t>
                  </w:r>
                </w:p>
              </w:tc>
              <w:tc>
                <w:tcPr>
                  <w:tcW w:w="1290" w:type="dxa"/>
                  <w:vAlign w:val="center"/>
                </w:tcPr>
                <w:p w14:paraId="5D7B7246">
                  <w:pPr>
                    <w:jc w:val="center"/>
                    <w:rPr>
                      <w:rFonts w:ascii="Times New Roman" w:hAnsi="Times New Roman" w:cs="Times New Roman"/>
                      <w:szCs w:val="21"/>
                    </w:rPr>
                  </w:pPr>
                </w:p>
              </w:tc>
            </w:tr>
            <w:tr w14:paraId="446F32D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7525B510">
                  <w:pPr>
                    <w:jc w:val="center"/>
                    <w:rPr>
                      <w:rFonts w:ascii="Times New Roman" w:hAnsi="Times New Roman" w:cs="Times New Roman"/>
                      <w:szCs w:val="21"/>
                    </w:rPr>
                  </w:pPr>
                  <w:r>
                    <w:rPr>
                      <w:rFonts w:hint="eastAsia" w:ascii="Times New Roman" w:hAnsi="Times New Roman" w:cs="Times New Roman"/>
                      <w:szCs w:val="21"/>
                    </w:rPr>
                    <w:t>2</w:t>
                  </w:r>
                </w:p>
              </w:tc>
              <w:tc>
                <w:tcPr>
                  <w:tcW w:w="2063" w:type="dxa"/>
                  <w:vAlign w:val="center"/>
                </w:tcPr>
                <w:p w14:paraId="70713FE6">
                  <w:pPr>
                    <w:jc w:val="center"/>
                    <w:rPr>
                      <w:rFonts w:hint="default" w:eastAsiaTheme="minorEastAsia"/>
                      <w:lang w:val="en-US" w:eastAsia="zh-CN"/>
                    </w:rPr>
                  </w:pPr>
                  <w:r>
                    <w:rPr>
                      <w:rFonts w:hint="eastAsia"/>
                      <w:lang w:val="en-US" w:eastAsia="zh-CN"/>
                    </w:rPr>
                    <w:t>气磨机</w:t>
                  </w:r>
                </w:p>
              </w:tc>
              <w:tc>
                <w:tcPr>
                  <w:tcW w:w="1609" w:type="dxa"/>
                  <w:vAlign w:val="center"/>
                </w:tcPr>
                <w:p w14:paraId="1075115E">
                  <w:pPr>
                    <w:jc w:val="center"/>
                    <w:rPr>
                      <w:rFonts w:hint="default" w:ascii="Times New Roman" w:hAnsi="Times New Roman" w:cs="Times New Roman" w:eastAsiaTheme="minorEastAsia"/>
                      <w:szCs w:val="21"/>
                      <w:u w:val="single"/>
                      <w:lang w:val="en-US" w:eastAsia="zh-CN"/>
                    </w:rPr>
                  </w:pPr>
                  <w:r>
                    <w:rPr>
                      <w:rFonts w:hint="eastAsia" w:ascii="Times New Roman" w:hAnsi="Times New Roman" w:cs="Times New Roman"/>
                      <w:szCs w:val="21"/>
                      <w:u w:val="single"/>
                      <w:lang w:val="en-US" w:eastAsia="zh-CN"/>
                    </w:rPr>
                    <w:t>C1025</w:t>
                  </w:r>
                </w:p>
              </w:tc>
              <w:tc>
                <w:tcPr>
                  <w:tcW w:w="713" w:type="dxa"/>
                  <w:vAlign w:val="center"/>
                </w:tcPr>
                <w:p w14:paraId="6A0C79A2">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台</w:t>
                  </w:r>
                </w:p>
              </w:tc>
              <w:tc>
                <w:tcPr>
                  <w:tcW w:w="1290" w:type="dxa"/>
                  <w:vAlign w:val="center"/>
                </w:tcPr>
                <w:p w14:paraId="3C750A0D">
                  <w:pPr>
                    <w:jc w:val="center"/>
                    <w:rPr>
                      <w:rFonts w:hint="eastAsia" w:ascii="Times New Roman" w:hAnsi="Times New Roman" w:cs="Times New Roman" w:eastAsiaTheme="minorEastAsia"/>
                      <w:szCs w:val="21"/>
                      <w:lang w:val="en-US" w:eastAsia="zh-CN"/>
                    </w:rPr>
                  </w:pPr>
                  <w:r>
                    <w:rPr>
                      <w:rFonts w:hint="eastAsia" w:cs="Times New Roman"/>
                      <w:szCs w:val="21"/>
                      <w:lang w:val="en-US" w:eastAsia="zh-CN"/>
                    </w:rPr>
                    <w:t>6</w:t>
                  </w:r>
                </w:p>
              </w:tc>
              <w:tc>
                <w:tcPr>
                  <w:tcW w:w="1290" w:type="dxa"/>
                  <w:vAlign w:val="center"/>
                </w:tcPr>
                <w:p w14:paraId="103C1B0B">
                  <w:pPr>
                    <w:jc w:val="center"/>
                    <w:rPr>
                      <w:rFonts w:ascii="Times New Roman" w:hAnsi="Times New Roman" w:cs="Times New Roman"/>
                      <w:szCs w:val="21"/>
                    </w:rPr>
                  </w:pPr>
                </w:p>
              </w:tc>
            </w:tr>
            <w:tr w14:paraId="335683A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18F0CC7E">
                  <w:pPr>
                    <w:jc w:val="center"/>
                    <w:rPr>
                      <w:rFonts w:ascii="Times New Roman" w:hAnsi="Times New Roman" w:cs="Times New Roman"/>
                      <w:szCs w:val="21"/>
                    </w:rPr>
                  </w:pPr>
                  <w:r>
                    <w:rPr>
                      <w:rFonts w:hint="eastAsia" w:ascii="Times New Roman" w:hAnsi="Times New Roman" w:cs="Times New Roman"/>
                      <w:szCs w:val="21"/>
                    </w:rPr>
                    <w:t>3</w:t>
                  </w:r>
                </w:p>
              </w:tc>
              <w:tc>
                <w:tcPr>
                  <w:tcW w:w="2063" w:type="dxa"/>
                  <w:vAlign w:val="center"/>
                </w:tcPr>
                <w:p w14:paraId="44BD99D1">
                  <w:pPr>
                    <w:jc w:val="center"/>
                    <w:rPr>
                      <w:rFonts w:hint="default" w:eastAsiaTheme="minorEastAsia"/>
                      <w:lang w:val="en-US" w:eastAsia="zh-CN"/>
                    </w:rPr>
                  </w:pPr>
                  <w:r>
                    <w:rPr>
                      <w:rFonts w:hint="eastAsia"/>
                      <w:lang w:val="en-US" w:eastAsia="zh-CN"/>
                    </w:rPr>
                    <w:t>永磁变频空压机</w:t>
                  </w:r>
                </w:p>
              </w:tc>
              <w:tc>
                <w:tcPr>
                  <w:tcW w:w="1609" w:type="dxa"/>
                  <w:vAlign w:val="center"/>
                </w:tcPr>
                <w:p w14:paraId="07C26FA1">
                  <w:pPr>
                    <w:jc w:val="center"/>
                    <w:rPr>
                      <w:rFonts w:hint="default" w:ascii="Times New Roman" w:hAnsi="Times New Roman" w:cs="Times New Roman"/>
                      <w:szCs w:val="21"/>
                      <w:u w:val="single"/>
                      <w:lang w:val="en-US" w:eastAsia="zh-CN"/>
                    </w:rPr>
                  </w:pPr>
                  <w:r>
                    <w:rPr>
                      <w:rFonts w:hint="eastAsia" w:ascii="Times New Roman" w:hAnsi="Times New Roman" w:cs="Times New Roman"/>
                      <w:szCs w:val="21"/>
                      <w:u w:val="single"/>
                      <w:lang w:val="en-US" w:eastAsia="zh-CN"/>
                    </w:rPr>
                    <w:t>SH20LV-15</w:t>
                  </w:r>
                </w:p>
              </w:tc>
              <w:tc>
                <w:tcPr>
                  <w:tcW w:w="713" w:type="dxa"/>
                  <w:vAlign w:val="center"/>
                </w:tcPr>
                <w:p w14:paraId="67C94361">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台</w:t>
                  </w:r>
                </w:p>
              </w:tc>
              <w:tc>
                <w:tcPr>
                  <w:tcW w:w="1290" w:type="dxa"/>
                  <w:vAlign w:val="center"/>
                </w:tcPr>
                <w:p w14:paraId="4A07CF21">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w:t>
                  </w:r>
                </w:p>
              </w:tc>
              <w:tc>
                <w:tcPr>
                  <w:tcW w:w="1290" w:type="dxa"/>
                  <w:vAlign w:val="center"/>
                </w:tcPr>
                <w:p w14:paraId="11580419">
                  <w:pPr>
                    <w:jc w:val="center"/>
                    <w:rPr>
                      <w:rFonts w:ascii="Times New Roman" w:hAnsi="Times New Roman" w:cs="Times New Roman"/>
                      <w:szCs w:val="21"/>
                    </w:rPr>
                  </w:pPr>
                </w:p>
              </w:tc>
            </w:tr>
            <w:tr w14:paraId="5809E58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5203E26C">
                  <w:pPr>
                    <w:jc w:val="center"/>
                    <w:rPr>
                      <w:rFonts w:ascii="Times New Roman" w:hAnsi="Times New Roman" w:cs="Times New Roman"/>
                      <w:szCs w:val="21"/>
                    </w:rPr>
                  </w:pPr>
                  <w:r>
                    <w:rPr>
                      <w:rFonts w:hint="eastAsia" w:ascii="Times New Roman" w:hAnsi="Times New Roman" w:cs="Times New Roman"/>
                      <w:szCs w:val="21"/>
                    </w:rPr>
                    <w:t>4</w:t>
                  </w:r>
                </w:p>
              </w:tc>
              <w:tc>
                <w:tcPr>
                  <w:tcW w:w="2063" w:type="dxa"/>
                  <w:vAlign w:val="center"/>
                </w:tcPr>
                <w:p w14:paraId="2FD16429">
                  <w:pPr>
                    <w:jc w:val="center"/>
                    <w:rPr>
                      <w:rFonts w:hint="default"/>
                      <w:lang w:val="en-US" w:eastAsia="zh-CN"/>
                    </w:rPr>
                  </w:pPr>
                  <w:r>
                    <w:rPr>
                      <w:rFonts w:hint="eastAsia"/>
                      <w:lang w:val="en-US" w:eastAsia="zh-CN"/>
                    </w:rPr>
                    <w:t>喷枪</w:t>
                  </w:r>
                </w:p>
              </w:tc>
              <w:tc>
                <w:tcPr>
                  <w:tcW w:w="1609" w:type="dxa"/>
                  <w:vAlign w:val="center"/>
                </w:tcPr>
                <w:p w14:paraId="7A9EE04F">
                  <w:pPr>
                    <w:jc w:val="center"/>
                    <w:rPr>
                      <w:rFonts w:hint="eastAsia" w:ascii="Times New Roman" w:hAnsi="Times New Roman" w:cs="Times New Roman"/>
                      <w:szCs w:val="21"/>
                      <w:u w:val="single"/>
                      <w:lang w:val="en-US" w:eastAsia="zh-CN"/>
                    </w:rPr>
                  </w:pPr>
                  <w:r>
                    <w:rPr>
                      <w:rFonts w:hint="default" w:ascii="Times New Roman" w:hAnsi="Times New Roman" w:cs="Times New Roman"/>
                      <w:szCs w:val="21"/>
                      <w:u w:val="single"/>
                      <w:lang w:val="en-US" w:eastAsia="zh-CN"/>
                    </w:rPr>
                    <w:t>LVMP/LVLP</w:t>
                  </w:r>
                </w:p>
              </w:tc>
              <w:tc>
                <w:tcPr>
                  <w:tcW w:w="713" w:type="dxa"/>
                  <w:vAlign w:val="center"/>
                </w:tcPr>
                <w:p w14:paraId="1063F5BB">
                  <w:pPr>
                    <w:jc w:val="center"/>
                    <w:rPr>
                      <w:rFonts w:ascii="Times New Roman" w:hAnsi="Times New Roman" w:cs="Times New Roman"/>
                      <w:szCs w:val="21"/>
                    </w:rPr>
                  </w:pPr>
                  <w:r>
                    <w:rPr>
                      <w:rFonts w:hint="eastAsia" w:ascii="Times New Roman" w:hAnsi="Times New Roman" w:cs="Times New Roman"/>
                      <w:szCs w:val="21"/>
                      <w:lang w:val="en-US" w:eastAsia="zh-CN"/>
                    </w:rPr>
                    <w:t>把</w:t>
                  </w:r>
                </w:p>
              </w:tc>
              <w:tc>
                <w:tcPr>
                  <w:tcW w:w="1290" w:type="dxa"/>
                  <w:vAlign w:val="center"/>
                </w:tcPr>
                <w:p w14:paraId="40613802">
                  <w:pPr>
                    <w:jc w:val="center"/>
                    <w:rPr>
                      <w:rFonts w:ascii="Times New Roman" w:hAnsi="Times New Roman" w:cs="Times New Roman"/>
                      <w:szCs w:val="21"/>
                    </w:rPr>
                  </w:pPr>
                  <w:r>
                    <w:rPr>
                      <w:rFonts w:hint="eastAsia" w:cs="Times New Roman"/>
                      <w:szCs w:val="21"/>
                      <w:lang w:val="en-US" w:eastAsia="zh-CN"/>
                    </w:rPr>
                    <w:t>3</w:t>
                  </w:r>
                </w:p>
              </w:tc>
              <w:tc>
                <w:tcPr>
                  <w:tcW w:w="1290" w:type="dxa"/>
                  <w:vAlign w:val="center"/>
                </w:tcPr>
                <w:p w14:paraId="13BC5C6A">
                  <w:pPr>
                    <w:jc w:val="center"/>
                    <w:rPr>
                      <w:rFonts w:ascii="Times New Roman" w:hAnsi="Times New Roman" w:cs="Times New Roman"/>
                      <w:szCs w:val="21"/>
                    </w:rPr>
                  </w:pPr>
                </w:p>
              </w:tc>
            </w:tr>
            <w:tr w14:paraId="3C4A421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442B8A10">
                  <w:pPr>
                    <w:jc w:val="center"/>
                    <w:rPr>
                      <w:rFonts w:hint="eastAsia" w:ascii="Times New Roman" w:hAnsi="Times New Roman" w:cs="Times New Roman"/>
                      <w:szCs w:val="21"/>
                    </w:rPr>
                  </w:pPr>
                  <w:r>
                    <w:rPr>
                      <w:rFonts w:hint="eastAsia" w:ascii="Times New Roman" w:hAnsi="Times New Roman" w:cs="Times New Roman"/>
                      <w:szCs w:val="21"/>
                    </w:rPr>
                    <w:t>5</w:t>
                  </w:r>
                </w:p>
              </w:tc>
              <w:tc>
                <w:tcPr>
                  <w:tcW w:w="2063" w:type="dxa"/>
                  <w:vAlign w:val="center"/>
                </w:tcPr>
                <w:p w14:paraId="79C153D4">
                  <w:pPr>
                    <w:jc w:val="center"/>
                    <w:rPr>
                      <w:rFonts w:hint="eastAsia"/>
                      <w:lang w:val="en-US" w:eastAsia="zh-CN"/>
                    </w:rPr>
                  </w:pPr>
                  <w:r>
                    <w:rPr>
                      <w:rFonts w:hint="eastAsia"/>
                      <w:lang w:val="en-US" w:eastAsia="zh-CN"/>
                    </w:rPr>
                    <w:t>喷漆房</w:t>
                  </w:r>
                </w:p>
              </w:tc>
              <w:tc>
                <w:tcPr>
                  <w:tcW w:w="1609" w:type="dxa"/>
                  <w:vAlign w:val="center"/>
                </w:tcPr>
                <w:p w14:paraId="1F2B7163">
                  <w:pPr>
                    <w:jc w:val="center"/>
                    <w:rPr>
                      <w:rFonts w:hint="eastAsia"/>
                      <w:u w:val="single"/>
                      <w:lang w:val="en-US" w:eastAsia="zh-CN"/>
                    </w:rPr>
                  </w:pPr>
                  <w:r>
                    <w:rPr>
                      <w:rFonts w:hint="eastAsia"/>
                      <w:u w:val="single"/>
                      <w:lang w:val="en-US" w:eastAsia="zh-CN"/>
                    </w:rPr>
                    <w:t>7m*4.5m*3.3m</w:t>
                  </w:r>
                </w:p>
              </w:tc>
              <w:tc>
                <w:tcPr>
                  <w:tcW w:w="713" w:type="dxa"/>
                  <w:vAlign w:val="center"/>
                </w:tcPr>
                <w:p w14:paraId="563B7463">
                  <w:pPr>
                    <w:jc w:val="center"/>
                    <w:rPr>
                      <w:rFonts w:hint="eastAsia" w:ascii="Times New Roman" w:hAnsi="Times New Roman" w:cs="Times New Roman"/>
                      <w:szCs w:val="21"/>
                    </w:rPr>
                  </w:pPr>
                  <w:r>
                    <w:rPr>
                      <w:rFonts w:hint="eastAsia" w:ascii="Times New Roman" w:hAnsi="Times New Roman" w:cs="Times New Roman"/>
                      <w:szCs w:val="21"/>
                      <w:lang w:val="en-US" w:eastAsia="zh-CN"/>
                    </w:rPr>
                    <w:t>台</w:t>
                  </w:r>
                </w:p>
              </w:tc>
              <w:tc>
                <w:tcPr>
                  <w:tcW w:w="1290" w:type="dxa"/>
                  <w:vAlign w:val="center"/>
                </w:tcPr>
                <w:p w14:paraId="47683C89">
                  <w:pPr>
                    <w:jc w:val="center"/>
                    <w:rPr>
                      <w:rFonts w:hint="eastAsia" w:ascii="Times New Roman" w:hAnsi="Times New Roman" w:cs="Times New Roman" w:eastAsiaTheme="minorEastAsia"/>
                      <w:szCs w:val="21"/>
                      <w:lang w:val="en-US" w:eastAsia="zh-CN"/>
                    </w:rPr>
                  </w:pPr>
                  <w:r>
                    <w:rPr>
                      <w:rFonts w:hint="eastAsia" w:cs="Times New Roman"/>
                      <w:szCs w:val="21"/>
                      <w:lang w:val="en-US" w:eastAsia="zh-CN"/>
                    </w:rPr>
                    <w:t>2</w:t>
                  </w:r>
                </w:p>
              </w:tc>
              <w:tc>
                <w:tcPr>
                  <w:tcW w:w="1290" w:type="dxa"/>
                  <w:vAlign w:val="center"/>
                </w:tcPr>
                <w:p w14:paraId="5CEF163A">
                  <w:pPr>
                    <w:jc w:val="center"/>
                    <w:rPr>
                      <w:rFonts w:ascii="Times New Roman" w:hAnsi="Times New Roman" w:cs="Times New Roman"/>
                      <w:szCs w:val="21"/>
                    </w:rPr>
                  </w:pPr>
                </w:p>
              </w:tc>
            </w:tr>
            <w:tr w14:paraId="436A28E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2845497D">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6</w:t>
                  </w:r>
                </w:p>
              </w:tc>
              <w:tc>
                <w:tcPr>
                  <w:tcW w:w="2063" w:type="dxa"/>
                  <w:vAlign w:val="center"/>
                </w:tcPr>
                <w:p w14:paraId="1DAFEB3D">
                  <w:pPr>
                    <w:jc w:val="center"/>
                    <w:rPr>
                      <w:rFonts w:hint="eastAsia"/>
                      <w:lang w:val="en-US" w:eastAsia="zh-CN"/>
                    </w:rPr>
                  </w:pPr>
                  <w:r>
                    <w:rPr>
                      <w:rFonts w:hint="eastAsia"/>
                      <w:lang w:val="en-US" w:eastAsia="zh-CN"/>
                    </w:rPr>
                    <w:t>烤漆房</w:t>
                  </w:r>
                </w:p>
              </w:tc>
              <w:tc>
                <w:tcPr>
                  <w:tcW w:w="1609" w:type="dxa"/>
                  <w:vAlign w:val="center"/>
                </w:tcPr>
                <w:p w14:paraId="12AB05B0">
                  <w:pPr>
                    <w:jc w:val="center"/>
                    <w:rPr>
                      <w:rFonts w:hint="eastAsia"/>
                      <w:u w:val="single"/>
                      <w:lang w:val="en-US" w:eastAsia="zh-CN"/>
                    </w:rPr>
                  </w:pPr>
                  <w:r>
                    <w:rPr>
                      <w:rFonts w:hint="eastAsia"/>
                      <w:u w:val="single"/>
                      <w:lang w:val="en-US" w:eastAsia="zh-CN"/>
                    </w:rPr>
                    <w:t>7m*4.5m*3.3m</w:t>
                  </w:r>
                </w:p>
              </w:tc>
              <w:tc>
                <w:tcPr>
                  <w:tcW w:w="713" w:type="dxa"/>
                  <w:vAlign w:val="center"/>
                </w:tcPr>
                <w:p w14:paraId="1AA0498E">
                  <w:pPr>
                    <w:jc w:val="center"/>
                    <w:rPr>
                      <w:rFonts w:hint="eastAsia" w:ascii="Times New Roman" w:hAnsi="Times New Roman" w:cs="Times New Roman"/>
                      <w:szCs w:val="21"/>
                    </w:rPr>
                  </w:pPr>
                  <w:r>
                    <w:rPr>
                      <w:rFonts w:hint="eastAsia" w:ascii="Times New Roman" w:hAnsi="Times New Roman" w:cs="Times New Roman"/>
                      <w:szCs w:val="21"/>
                      <w:lang w:val="en-US" w:eastAsia="zh-CN"/>
                    </w:rPr>
                    <w:t>台</w:t>
                  </w:r>
                </w:p>
              </w:tc>
              <w:tc>
                <w:tcPr>
                  <w:tcW w:w="1290" w:type="dxa"/>
                  <w:vAlign w:val="center"/>
                </w:tcPr>
                <w:p w14:paraId="0CECF8AD">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w:t>
                  </w:r>
                </w:p>
              </w:tc>
              <w:tc>
                <w:tcPr>
                  <w:tcW w:w="1290" w:type="dxa"/>
                  <w:vAlign w:val="center"/>
                </w:tcPr>
                <w:p w14:paraId="31492CF1">
                  <w:pPr>
                    <w:jc w:val="center"/>
                    <w:rPr>
                      <w:rFonts w:ascii="Times New Roman" w:hAnsi="Times New Roman" w:cs="Times New Roman"/>
                      <w:szCs w:val="21"/>
                    </w:rPr>
                  </w:pPr>
                </w:p>
              </w:tc>
            </w:tr>
            <w:tr w14:paraId="4EE6727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4FA20B23">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7</w:t>
                  </w:r>
                </w:p>
              </w:tc>
              <w:tc>
                <w:tcPr>
                  <w:tcW w:w="2063" w:type="dxa"/>
                  <w:vAlign w:val="center"/>
                </w:tcPr>
                <w:p w14:paraId="56F14D36">
                  <w:pPr>
                    <w:jc w:val="center"/>
                    <w:rPr>
                      <w:rFonts w:hint="eastAsia"/>
                      <w:lang w:val="en-US" w:eastAsia="zh-CN"/>
                    </w:rPr>
                  </w:pPr>
                  <w:r>
                    <w:rPr>
                      <w:rFonts w:hint="eastAsia"/>
                      <w:lang w:val="en-US" w:eastAsia="zh-CN"/>
                    </w:rPr>
                    <w:t>有机废气处理设备</w:t>
                  </w:r>
                </w:p>
              </w:tc>
              <w:tc>
                <w:tcPr>
                  <w:tcW w:w="1609" w:type="dxa"/>
                  <w:vAlign w:val="center"/>
                </w:tcPr>
                <w:p w14:paraId="16B27029">
                  <w:pPr>
                    <w:jc w:val="center"/>
                    <w:rPr>
                      <w:rFonts w:hint="default"/>
                      <w:u w:val="single"/>
                      <w:lang w:val="en-US" w:eastAsia="zh-CN"/>
                    </w:rPr>
                  </w:pPr>
                  <w:r>
                    <w:rPr>
                      <w:rFonts w:hint="eastAsia"/>
                      <w:u w:val="single"/>
                      <w:lang w:val="en-US" w:eastAsia="zh-CN"/>
                    </w:rPr>
                    <w:t>9.8m*1.5m*2.95m</w:t>
                  </w:r>
                </w:p>
              </w:tc>
              <w:tc>
                <w:tcPr>
                  <w:tcW w:w="713" w:type="dxa"/>
                  <w:vAlign w:val="center"/>
                </w:tcPr>
                <w:p w14:paraId="1BDF184E">
                  <w:pPr>
                    <w:jc w:val="center"/>
                    <w:rPr>
                      <w:rFonts w:hint="eastAsia" w:ascii="Times New Roman" w:hAnsi="Times New Roman" w:cs="Times New Roman"/>
                      <w:szCs w:val="21"/>
                    </w:rPr>
                  </w:pPr>
                  <w:r>
                    <w:rPr>
                      <w:rFonts w:hint="eastAsia" w:ascii="Times New Roman" w:hAnsi="Times New Roman" w:cs="Times New Roman"/>
                      <w:szCs w:val="21"/>
                      <w:lang w:val="en-US" w:eastAsia="zh-CN"/>
                    </w:rPr>
                    <w:t>套</w:t>
                  </w:r>
                </w:p>
              </w:tc>
              <w:tc>
                <w:tcPr>
                  <w:tcW w:w="1290" w:type="dxa"/>
                  <w:vAlign w:val="center"/>
                </w:tcPr>
                <w:p w14:paraId="56FB7019">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w:t>
                  </w:r>
                </w:p>
              </w:tc>
              <w:tc>
                <w:tcPr>
                  <w:tcW w:w="1290" w:type="dxa"/>
                  <w:vAlign w:val="center"/>
                </w:tcPr>
                <w:p w14:paraId="00132F55">
                  <w:pPr>
                    <w:jc w:val="center"/>
                    <w:rPr>
                      <w:rFonts w:ascii="Times New Roman" w:hAnsi="Times New Roman" w:cs="Times New Roman"/>
                      <w:szCs w:val="21"/>
                    </w:rPr>
                  </w:pPr>
                </w:p>
              </w:tc>
            </w:tr>
            <w:tr w14:paraId="4757A01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7BF16329">
                  <w:pPr>
                    <w:jc w:val="center"/>
                    <w:rPr>
                      <w:rFonts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8</w:t>
                  </w:r>
                </w:p>
              </w:tc>
              <w:tc>
                <w:tcPr>
                  <w:tcW w:w="2063" w:type="dxa"/>
                  <w:vAlign w:val="center"/>
                </w:tcPr>
                <w:p w14:paraId="44C4AADE">
                  <w:pPr>
                    <w:jc w:val="center"/>
                    <w:rPr>
                      <w:rFonts w:hint="eastAsia"/>
                      <w:lang w:val="en-US" w:eastAsia="zh-CN"/>
                    </w:rPr>
                  </w:pPr>
                  <w:r>
                    <w:rPr>
                      <w:rFonts w:hint="eastAsia"/>
                      <w:lang w:val="en-US" w:eastAsia="zh-CN"/>
                    </w:rPr>
                    <w:t>调漆房</w:t>
                  </w:r>
                </w:p>
              </w:tc>
              <w:tc>
                <w:tcPr>
                  <w:tcW w:w="1609" w:type="dxa"/>
                  <w:vAlign w:val="center"/>
                </w:tcPr>
                <w:p w14:paraId="49DF784F">
                  <w:pPr>
                    <w:jc w:val="center"/>
                    <w:rPr>
                      <w:rFonts w:hint="eastAsia"/>
                      <w:u w:val="single"/>
                      <w:lang w:val="en-US" w:eastAsia="zh-CN"/>
                    </w:rPr>
                  </w:pPr>
                  <w:r>
                    <w:rPr>
                      <w:rFonts w:hint="default"/>
                      <w:u w:val="single"/>
                      <w:lang w:val="en-US" w:eastAsia="zh-CN"/>
                    </w:rPr>
                    <w:t>3</w:t>
                  </w:r>
                  <w:r>
                    <w:rPr>
                      <w:rFonts w:hint="eastAsia"/>
                      <w:u w:val="single"/>
                      <w:lang w:val="en-US" w:eastAsia="zh-CN"/>
                    </w:rPr>
                    <w:t>m</w:t>
                  </w:r>
                  <w:r>
                    <w:rPr>
                      <w:rFonts w:hint="default"/>
                      <w:u w:val="single"/>
                      <w:lang w:val="en-US" w:eastAsia="zh-CN"/>
                    </w:rPr>
                    <w:t>*2</w:t>
                  </w:r>
                  <w:r>
                    <w:rPr>
                      <w:rFonts w:hint="eastAsia"/>
                      <w:u w:val="single"/>
                      <w:lang w:val="en-US" w:eastAsia="zh-CN"/>
                    </w:rPr>
                    <w:t>m</w:t>
                  </w:r>
                  <w:r>
                    <w:rPr>
                      <w:rFonts w:hint="default"/>
                      <w:u w:val="single"/>
                      <w:lang w:val="en-US" w:eastAsia="zh-CN"/>
                    </w:rPr>
                    <w:t>*2.6</w:t>
                  </w:r>
                  <w:r>
                    <w:rPr>
                      <w:rFonts w:hint="eastAsia"/>
                      <w:u w:val="single"/>
                      <w:lang w:val="en-US" w:eastAsia="zh-CN"/>
                    </w:rPr>
                    <w:t>m</w:t>
                  </w:r>
                </w:p>
              </w:tc>
              <w:tc>
                <w:tcPr>
                  <w:tcW w:w="713" w:type="dxa"/>
                  <w:vAlign w:val="center"/>
                </w:tcPr>
                <w:p w14:paraId="63C7D7C0">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套</w:t>
                  </w:r>
                </w:p>
              </w:tc>
              <w:tc>
                <w:tcPr>
                  <w:tcW w:w="1290" w:type="dxa"/>
                  <w:vAlign w:val="center"/>
                </w:tcPr>
                <w:p w14:paraId="027A0EC1">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w:t>
                  </w:r>
                </w:p>
              </w:tc>
              <w:tc>
                <w:tcPr>
                  <w:tcW w:w="1290" w:type="dxa"/>
                  <w:vAlign w:val="center"/>
                </w:tcPr>
                <w:p w14:paraId="31114DAA">
                  <w:pPr>
                    <w:jc w:val="center"/>
                    <w:rPr>
                      <w:rFonts w:ascii="Times New Roman" w:hAnsi="Times New Roman" w:cs="Times New Roman"/>
                      <w:szCs w:val="21"/>
                    </w:rPr>
                  </w:pPr>
                </w:p>
              </w:tc>
            </w:tr>
            <w:tr w14:paraId="2FD0B0E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19D88B89">
                  <w:pPr>
                    <w:jc w:val="center"/>
                    <w:rPr>
                      <w:rFonts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9</w:t>
                  </w:r>
                </w:p>
              </w:tc>
              <w:tc>
                <w:tcPr>
                  <w:tcW w:w="2063" w:type="dxa"/>
                  <w:vAlign w:val="center"/>
                </w:tcPr>
                <w:p w14:paraId="0F2908AC">
                  <w:pPr>
                    <w:jc w:val="center"/>
                    <w:rPr>
                      <w:rFonts w:hint="eastAsia"/>
                      <w:lang w:val="en-US" w:eastAsia="zh-CN"/>
                    </w:rPr>
                  </w:pPr>
                  <w:r>
                    <w:rPr>
                      <w:rFonts w:hint="eastAsia"/>
                      <w:lang w:val="en-US" w:eastAsia="zh-CN"/>
                    </w:rPr>
                    <w:t>打磨房</w:t>
                  </w:r>
                </w:p>
              </w:tc>
              <w:tc>
                <w:tcPr>
                  <w:tcW w:w="1609" w:type="dxa"/>
                  <w:vAlign w:val="center"/>
                </w:tcPr>
                <w:p w14:paraId="6513F16F">
                  <w:pPr>
                    <w:jc w:val="center"/>
                    <w:rPr>
                      <w:rFonts w:hint="eastAsia"/>
                      <w:u w:val="single"/>
                      <w:lang w:val="en-US" w:eastAsia="zh-CN"/>
                    </w:rPr>
                  </w:pPr>
                  <w:r>
                    <w:rPr>
                      <w:rFonts w:hint="eastAsia"/>
                      <w:u w:val="single"/>
                      <w:lang w:val="en-US" w:eastAsia="zh-CN"/>
                    </w:rPr>
                    <w:t>7m*5.5m*3.3m</w:t>
                  </w:r>
                </w:p>
              </w:tc>
              <w:tc>
                <w:tcPr>
                  <w:tcW w:w="713" w:type="dxa"/>
                  <w:vAlign w:val="center"/>
                </w:tcPr>
                <w:p w14:paraId="56101453">
                  <w:pPr>
                    <w:jc w:val="center"/>
                    <w:rPr>
                      <w:rFonts w:ascii="Times New Roman" w:hAnsi="Times New Roman" w:cs="Times New Roman"/>
                      <w:szCs w:val="21"/>
                    </w:rPr>
                  </w:pPr>
                  <w:r>
                    <w:rPr>
                      <w:rFonts w:hint="eastAsia" w:ascii="Times New Roman" w:hAnsi="Times New Roman" w:cs="Times New Roman"/>
                      <w:szCs w:val="21"/>
                      <w:lang w:val="en-US" w:eastAsia="zh-CN"/>
                    </w:rPr>
                    <w:t>套</w:t>
                  </w:r>
                </w:p>
              </w:tc>
              <w:tc>
                <w:tcPr>
                  <w:tcW w:w="1290" w:type="dxa"/>
                  <w:vAlign w:val="center"/>
                </w:tcPr>
                <w:p w14:paraId="050DC3A2">
                  <w:pPr>
                    <w:jc w:val="center"/>
                    <w:rPr>
                      <w:rFonts w:ascii="Times New Roman" w:hAnsi="Times New Roman" w:cs="Times New Roman"/>
                      <w:szCs w:val="21"/>
                    </w:rPr>
                  </w:pPr>
                  <w:r>
                    <w:rPr>
                      <w:rFonts w:hint="eastAsia" w:ascii="Times New Roman" w:hAnsi="Times New Roman" w:cs="Times New Roman"/>
                      <w:szCs w:val="21"/>
                      <w:lang w:val="en-US" w:eastAsia="zh-CN"/>
                    </w:rPr>
                    <w:t>1</w:t>
                  </w:r>
                </w:p>
              </w:tc>
              <w:tc>
                <w:tcPr>
                  <w:tcW w:w="1290" w:type="dxa"/>
                  <w:vAlign w:val="center"/>
                </w:tcPr>
                <w:p w14:paraId="11E53141">
                  <w:pPr>
                    <w:jc w:val="center"/>
                    <w:rPr>
                      <w:rFonts w:ascii="Times New Roman" w:hAnsi="Times New Roman" w:cs="Times New Roman"/>
                      <w:szCs w:val="21"/>
                    </w:rPr>
                  </w:pPr>
                </w:p>
              </w:tc>
            </w:tr>
            <w:tr w14:paraId="648CCE0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177478EA">
                  <w:pPr>
                    <w:jc w:val="center"/>
                    <w:rPr>
                      <w:rFonts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10</w:t>
                  </w:r>
                </w:p>
              </w:tc>
              <w:tc>
                <w:tcPr>
                  <w:tcW w:w="2063" w:type="dxa"/>
                  <w:vAlign w:val="center"/>
                </w:tcPr>
                <w:p w14:paraId="344ABBFF">
                  <w:pPr>
                    <w:jc w:val="center"/>
                    <w:rPr>
                      <w:rFonts w:hint="eastAsia"/>
                      <w:lang w:val="en-US" w:eastAsia="zh-CN"/>
                    </w:rPr>
                  </w:pPr>
                  <w:r>
                    <w:rPr>
                      <w:rFonts w:hint="eastAsia"/>
                      <w:lang w:val="en-US" w:eastAsia="zh-CN"/>
                    </w:rPr>
                    <w:t>水式打磨柜</w:t>
                  </w:r>
                </w:p>
              </w:tc>
              <w:tc>
                <w:tcPr>
                  <w:tcW w:w="1609" w:type="dxa"/>
                  <w:vAlign w:val="center"/>
                </w:tcPr>
                <w:p w14:paraId="4332C71E">
                  <w:pPr>
                    <w:jc w:val="center"/>
                    <w:rPr>
                      <w:rFonts w:hint="eastAsia"/>
                      <w:u w:val="single"/>
                      <w:lang w:val="en-US" w:eastAsia="zh-CN"/>
                    </w:rPr>
                  </w:pPr>
                  <w:r>
                    <w:rPr>
                      <w:rFonts w:hint="eastAsia"/>
                      <w:u w:val="single"/>
                      <w:lang w:val="en-US" w:eastAsia="zh-CN"/>
                    </w:rPr>
                    <w:t>3m*1m*2.4m</w:t>
                  </w:r>
                </w:p>
              </w:tc>
              <w:tc>
                <w:tcPr>
                  <w:tcW w:w="713" w:type="dxa"/>
                  <w:vAlign w:val="center"/>
                </w:tcPr>
                <w:p w14:paraId="3EA10DA5">
                  <w:pPr>
                    <w:jc w:val="center"/>
                    <w:rPr>
                      <w:rFonts w:ascii="Times New Roman" w:hAnsi="Times New Roman" w:cs="Times New Roman"/>
                      <w:szCs w:val="21"/>
                    </w:rPr>
                  </w:pPr>
                  <w:r>
                    <w:rPr>
                      <w:rFonts w:hint="eastAsia" w:ascii="Times New Roman" w:hAnsi="Times New Roman" w:cs="Times New Roman"/>
                      <w:szCs w:val="21"/>
                      <w:lang w:val="en-US" w:eastAsia="zh-CN"/>
                    </w:rPr>
                    <w:t>台</w:t>
                  </w:r>
                </w:p>
              </w:tc>
              <w:tc>
                <w:tcPr>
                  <w:tcW w:w="1290" w:type="dxa"/>
                  <w:vAlign w:val="center"/>
                </w:tcPr>
                <w:p w14:paraId="769A814D">
                  <w:pPr>
                    <w:jc w:val="center"/>
                    <w:rPr>
                      <w:rFonts w:ascii="Times New Roman" w:hAnsi="Times New Roman" w:cs="Times New Roman"/>
                      <w:szCs w:val="21"/>
                    </w:rPr>
                  </w:pPr>
                  <w:r>
                    <w:rPr>
                      <w:rFonts w:hint="eastAsia" w:ascii="Times New Roman" w:hAnsi="Times New Roman" w:cs="Times New Roman"/>
                      <w:szCs w:val="21"/>
                      <w:lang w:val="en-US" w:eastAsia="zh-CN"/>
                    </w:rPr>
                    <w:t>2</w:t>
                  </w:r>
                </w:p>
              </w:tc>
              <w:tc>
                <w:tcPr>
                  <w:tcW w:w="1290" w:type="dxa"/>
                  <w:vAlign w:val="center"/>
                </w:tcPr>
                <w:p w14:paraId="17A520F7">
                  <w:pPr>
                    <w:jc w:val="center"/>
                    <w:rPr>
                      <w:rFonts w:ascii="Times New Roman" w:hAnsi="Times New Roman" w:cs="Times New Roman"/>
                      <w:szCs w:val="21"/>
                    </w:rPr>
                  </w:pPr>
                </w:p>
              </w:tc>
            </w:tr>
            <w:tr w14:paraId="303FB69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0" w:type="dxa"/>
                  <w:bottom w:w="0" w:type="dxa"/>
                  <w:right w:w="0" w:type="dxa"/>
                </w:tblCellMar>
              </w:tblPrEx>
              <w:trPr>
                <w:trHeight w:val="397" w:hRule="atLeast"/>
                <w:jc w:val="center"/>
              </w:trPr>
              <w:tc>
                <w:tcPr>
                  <w:tcW w:w="652" w:type="dxa"/>
                  <w:vAlign w:val="center"/>
                </w:tcPr>
                <w:p w14:paraId="0F8CE02E">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11</w:t>
                  </w:r>
                </w:p>
              </w:tc>
              <w:tc>
                <w:tcPr>
                  <w:tcW w:w="2063" w:type="dxa"/>
                  <w:vAlign w:val="center"/>
                </w:tcPr>
                <w:p w14:paraId="07A37C01">
                  <w:pPr>
                    <w:jc w:val="center"/>
                  </w:pPr>
                  <w:r>
                    <w:rPr>
                      <w:rFonts w:hint="eastAsia"/>
                      <w:lang w:val="en-US" w:eastAsia="zh-CN"/>
                    </w:rPr>
                    <w:t>水帘柜</w:t>
                  </w:r>
                </w:p>
              </w:tc>
              <w:tc>
                <w:tcPr>
                  <w:tcW w:w="1609" w:type="dxa"/>
                  <w:vAlign w:val="center"/>
                </w:tcPr>
                <w:p w14:paraId="4EF974E0">
                  <w:pPr>
                    <w:jc w:val="center"/>
                    <w:rPr>
                      <w:rFonts w:ascii="Times New Roman" w:hAnsi="Times New Roman" w:cs="Times New Roman"/>
                      <w:szCs w:val="21"/>
                      <w:u w:val="single"/>
                    </w:rPr>
                  </w:pPr>
                  <w:r>
                    <w:rPr>
                      <w:rFonts w:hint="eastAsia"/>
                      <w:u w:val="single"/>
                      <w:lang w:val="en-US" w:eastAsia="zh-CN"/>
                    </w:rPr>
                    <w:t>3m*1.16m*1.8m</w:t>
                  </w:r>
                </w:p>
              </w:tc>
              <w:tc>
                <w:tcPr>
                  <w:tcW w:w="713" w:type="dxa"/>
                  <w:vAlign w:val="center"/>
                </w:tcPr>
                <w:p w14:paraId="0A2F0581">
                  <w:pPr>
                    <w:jc w:val="center"/>
                    <w:rPr>
                      <w:rFonts w:ascii="Times New Roman" w:hAnsi="Times New Roman" w:cs="Times New Roman"/>
                      <w:szCs w:val="21"/>
                    </w:rPr>
                  </w:pPr>
                  <w:r>
                    <w:rPr>
                      <w:rFonts w:hint="eastAsia" w:ascii="Times New Roman" w:hAnsi="Times New Roman" w:cs="Times New Roman"/>
                      <w:szCs w:val="21"/>
                      <w:lang w:val="en-US" w:eastAsia="zh-CN"/>
                    </w:rPr>
                    <w:t>台</w:t>
                  </w:r>
                </w:p>
              </w:tc>
              <w:tc>
                <w:tcPr>
                  <w:tcW w:w="1290" w:type="dxa"/>
                  <w:vAlign w:val="center"/>
                </w:tcPr>
                <w:p w14:paraId="1721D2F0">
                  <w:pPr>
                    <w:jc w:val="center"/>
                    <w:rPr>
                      <w:rFonts w:hint="eastAsia" w:ascii="Times New Roman" w:hAnsi="Times New Roman" w:eastAsia="宋体" w:cs="Times New Roman"/>
                      <w:szCs w:val="21"/>
                      <w:lang w:val="en-US" w:eastAsia="zh-CN"/>
                    </w:rPr>
                  </w:pPr>
                  <w:r>
                    <w:rPr>
                      <w:rFonts w:hint="eastAsia" w:cs="Times New Roman"/>
                      <w:szCs w:val="21"/>
                      <w:lang w:val="en-US" w:eastAsia="zh-CN"/>
                    </w:rPr>
                    <w:t>2</w:t>
                  </w:r>
                </w:p>
              </w:tc>
              <w:tc>
                <w:tcPr>
                  <w:tcW w:w="1290" w:type="dxa"/>
                  <w:vAlign w:val="center"/>
                </w:tcPr>
                <w:p w14:paraId="3775D814">
                  <w:pPr>
                    <w:jc w:val="center"/>
                    <w:rPr>
                      <w:rFonts w:ascii="Times New Roman" w:hAnsi="Times New Roman" w:cs="Times New Roman"/>
                      <w:szCs w:val="21"/>
                    </w:rPr>
                  </w:pPr>
                </w:p>
              </w:tc>
            </w:tr>
          </w:tbl>
          <w:p w14:paraId="37D2151A">
            <w:pPr>
              <w:pStyle w:val="29"/>
              <w:bidi w:val="0"/>
              <w:rPr>
                <w:rFonts w:hint="default" w:ascii="Times New Roman" w:hAnsi="Times New Roman" w:cs="Times New Roman"/>
                <w:b/>
                <w:bCs/>
                <w:color w:val="FF0000"/>
                <w:highlight w:val="none"/>
              </w:rPr>
            </w:pPr>
          </w:p>
          <w:p w14:paraId="315DEB34">
            <w:pPr>
              <w:pStyle w:val="29"/>
              <w:bidi w:val="0"/>
              <w:rPr>
                <w:rFonts w:hint="default" w:ascii="Times New Roman" w:hAnsi="Times New Roman" w:cs="Times New Roman"/>
                <w:b/>
                <w:bCs/>
                <w:color w:val="FF0000"/>
                <w:highlight w:val="none"/>
              </w:rPr>
            </w:pPr>
          </w:p>
          <w:p w14:paraId="671585D3">
            <w:pPr>
              <w:pStyle w:val="29"/>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5、主要原辅材料及能源消耗</w:t>
            </w:r>
          </w:p>
          <w:p w14:paraId="291DC273">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本项目主要原辅材料及能源消耗情况见表2-4。</w:t>
            </w:r>
          </w:p>
          <w:p w14:paraId="1352D0D4">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表2-4  项目主要原辅材料及能源消耗情况一览</w:t>
            </w:r>
          </w:p>
          <w:tbl>
            <w:tblPr>
              <w:tblStyle w:val="19"/>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633"/>
              <w:gridCol w:w="1999"/>
              <w:gridCol w:w="693"/>
              <w:gridCol w:w="1044"/>
              <w:gridCol w:w="1221"/>
              <w:gridCol w:w="1634"/>
              <w:gridCol w:w="718"/>
            </w:tblGrid>
            <w:tr w14:paraId="2B6E6DC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18CBBAC8">
                  <w:pPr>
                    <w:jc w:val="center"/>
                    <w:rPr>
                      <w:rFonts w:ascii="Times New Roman" w:hAnsi="Times New Roman" w:cs="Times New Roman"/>
                      <w:b/>
                      <w:szCs w:val="21"/>
                    </w:rPr>
                  </w:pPr>
                  <w:r>
                    <w:rPr>
                      <w:rFonts w:ascii="Times New Roman" w:cs="Times New Roman" w:hAnsiTheme="minorEastAsia"/>
                      <w:b/>
                      <w:szCs w:val="21"/>
                    </w:rPr>
                    <w:t>序号</w:t>
                  </w:r>
                </w:p>
              </w:tc>
              <w:tc>
                <w:tcPr>
                  <w:tcW w:w="1258" w:type="pct"/>
                  <w:vAlign w:val="center"/>
                </w:tcPr>
                <w:p w14:paraId="63121683">
                  <w:pPr>
                    <w:jc w:val="center"/>
                    <w:rPr>
                      <w:rFonts w:ascii="Times New Roman" w:hAnsi="Times New Roman" w:cs="Times New Roman"/>
                      <w:b/>
                      <w:szCs w:val="21"/>
                    </w:rPr>
                  </w:pPr>
                  <w:r>
                    <w:rPr>
                      <w:rFonts w:ascii="Times New Roman" w:cs="Times New Roman" w:hAnsiTheme="minorEastAsia"/>
                      <w:b/>
                      <w:szCs w:val="21"/>
                    </w:rPr>
                    <w:t>原料名称</w:t>
                  </w:r>
                </w:p>
              </w:tc>
              <w:tc>
                <w:tcPr>
                  <w:tcW w:w="436" w:type="pct"/>
                  <w:vAlign w:val="center"/>
                </w:tcPr>
                <w:p w14:paraId="3FF77D86">
                  <w:pPr>
                    <w:jc w:val="center"/>
                    <w:rPr>
                      <w:rFonts w:ascii="Times New Roman" w:hAnsi="Times New Roman" w:cs="Times New Roman"/>
                      <w:b/>
                      <w:szCs w:val="21"/>
                    </w:rPr>
                  </w:pPr>
                  <w:r>
                    <w:rPr>
                      <w:rFonts w:ascii="Times New Roman" w:cs="Times New Roman" w:hAnsiTheme="minorEastAsia"/>
                      <w:b/>
                      <w:szCs w:val="21"/>
                    </w:rPr>
                    <w:t>单位</w:t>
                  </w:r>
                </w:p>
              </w:tc>
              <w:tc>
                <w:tcPr>
                  <w:tcW w:w="657" w:type="pct"/>
                  <w:vAlign w:val="center"/>
                </w:tcPr>
                <w:p w14:paraId="53FCA990">
                  <w:pPr>
                    <w:jc w:val="center"/>
                    <w:rPr>
                      <w:rFonts w:hint="eastAsia" w:ascii="Times New Roman" w:hAnsi="Times New Roman" w:cs="Times New Roman" w:eastAsiaTheme="minorEastAsia"/>
                      <w:b/>
                      <w:szCs w:val="21"/>
                      <w:highlight w:val="none"/>
                      <w:lang w:val="en-US" w:eastAsia="zh-CN"/>
                    </w:rPr>
                  </w:pPr>
                  <w:r>
                    <w:rPr>
                      <w:rFonts w:hint="eastAsia" w:ascii="Times New Roman" w:hAnsi="Times New Roman" w:cs="Times New Roman"/>
                      <w:b/>
                      <w:szCs w:val="21"/>
                      <w:highlight w:val="none"/>
                      <w:lang w:val="en-US" w:eastAsia="zh-CN"/>
                    </w:rPr>
                    <w:t>年用量</w:t>
                  </w:r>
                </w:p>
              </w:tc>
              <w:tc>
                <w:tcPr>
                  <w:tcW w:w="768" w:type="pct"/>
                  <w:tcBorders>
                    <w:right w:val="single" w:color="auto" w:sz="4" w:space="0"/>
                  </w:tcBorders>
                  <w:vAlign w:val="center"/>
                </w:tcPr>
                <w:p w14:paraId="29D391A6">
                  <w:pPr>
                    <w:jc w:val="center"/>
                    <w:rPr>
                      <w:rFonts w:hint="default" w:ascii="Times New Roman" w:cs="Times New Roman" w:hAnsiTheme="minorEastAsia" w:eastAsiaTheme="minorEastAsia"/>
                      <w:b/>
                      <w:szCs w:val="21"/>
                      <w:highlight w:val="none"/>
                      <w:lang w:val="en-US" w:eastAsia="zh-CN"/>
                    </w:rPr>
                  </w:pPr>
                  <w:r>
                    <w:rPr>
                      <w:rFonts w:hint="eastAsia" w:ascii="Times New Roman" w:cs="Times New Roman" w:hAnsiTheme="minorEastAsia"/>
                      <w:b/>
                      <w:szCs w:val="21"/>
                      <w:highlight w:val="none"/>
                    </w:rPr>
                    <w:t>厂内最大</w:t>
                  </w:r>
                  <w:r>
                    <w:rPr>
                      <w:rFonts w:ascii="Times New Roman" w:cs="Times New Roman" w:hAnsiTheme="minorEastAsia"/>
                      <w:b/>
                      <w:szCs w:val="21"/>
                      <w:highlight w:val="none"/>
                    </w:rPr>
                    <w:t>储存量</w:t>
                  </w:r>
                </w:p>
              </w:tc>
              <w:tc>
                <w:tcPr>
                  <w:tcW w:w="1028" w:type="pct"/>
                  <w:tcBorders>
                    <w:left w:val="single" w:color="auto" w:sz="4" w:space="0"/>
                  </w:tcBorders>
                  <w:vAlign w:val="center"/>
                </w:tcPr>
                <w:p w14:paraId="093F6118">
                  <w:pPr>
                    <w:jc w:val="center"/>
                    <w:rPr>
                      <w:rFonts w:hint="eastAsia" w:ascii="Times New Roman" w:cs="Times New Roman" w:hAnsiTheme="minorEastAsia"/>
                      <w:b/>
                      <w:szCs w:val="21"/>
                      <w:highlight w:val="none"/>
                    </w:rPr>
                  </w:pPr>
                  <w:r>
                    <w:rPr>
                      <w:rFonts w:hint="eastAsia" w:ascii="Times New Roman" w:cs="Times New Roman" w:hAnsiTheme="minorEastAsia"/>
                      <w:b/>
                      <w:szCs w:val="21"/>
                      <w:highlight w:val="none"/>
                      <w:lang w:val="en-US" w:eastAsia="zh-CN"/>
                    </w:rPr>
                    <w:t>储存方式</w:t>
                  </w:r>
                </w:p>
              </w:tc>
              <w:tc>
                <w:tcPr>
                  <w:tcW w:w="452" w:type="pct"/>
                  <w:vAlign w:val="center"/>
                </w:tcPr>
                <w:p w14:paraId="146192E8">
                  <w:pPr>
                    <w:jc w:val="center"/>
                    <w:rPr>
                      <w:rFonts w:ascii="Times New Roman" w:hAnsi="Times New Roman" w:cs="Times New Roman"/>
                      <w:b/>
                      <w:szCs w:val="21"/>
                    </w:rPr>
                  </w:pPr>
                  <w:r>
                    <w:rPr>
                      <w:rFonts w:ascii="Times New Roman" w:cs="Times New Roman" w:hAnsiTheme="minorEastAsia"/>
                      <w:b/>
                      <w:szCs w:val="21"/>
                    </w:rPr>
                    <w:t>备注</w:t>
                  </w:r>
                </w:p>
              </w:tc>
            </w:tr>
            <w:tr w14:paraId="68E118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4A0F1113">
                  <w:pPr>
                    <w:jc w:val="center"/>
                    <w:rPr>
                      <w:rFonts w:ascii="Times New Roman" w:hAnsi="Times New Roman" w:cs="Times New Roman"/>
                      <w:szCs w:val="21"/>
                    </w:rPr>
                  </w:pPr>
                  <w:bookmarkStart w:id="16" w:name="_GoBack" w:colFirst="1" w:colLast="5"/>
                  <w:r>
                    <w:rPr>
                      <w:rFonts w:ascii="Times New Roman" w:hAnsi="Times New Roman" w:cs="Times New Roman"/>
                      <w:szCs w:val="21"/>
                    </w:rPr>
                    <w:t>1</w:t>
                  </w:r>
                </w:p>
              </w:tc>
              <w:tc>
                <w:tcPr>
                  <w:tcW w:w="1258" w:type="pct"/>
                  <w:vAlign w:val="center"/>
                </w:tcPr>
                <w:p w14:paraId="6D36EE87">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环氧底漆</w:t>
                  </w:r>
                </w:p>
              </w:tc>
              <w:tc>
                <w:tcPr>
                  <w:tcW w:w="436" w:type="pct"/>
                  <w:vAlign w:val="center"/>
                </w:tcPr>
                <w:p w14:paraId="6F505A84">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吨</w:t>
                  </w:r>
                </w:p>
              </w:tc>
              <w:tc>
                <w:tcPr>
                  <w:tcW w:w="657" w:type="pct"/>
                  <w:vAlign w:val="center"/>
                </w:tcPr>
                <w:p w14:paraId="0C766134">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w:t>
                  </w:r>
                </w:p>
              </w:tc>
              <w:tc>
                <w:tcPr>
                  <w:tcW w:w="768" w:type="pct"/>
                  <w:tcBorders>
                    <w:right w:val="single" w:color="auto" w:sz="4" w:space="0"/>
                  </w:tcBorders>
                  <w:vAlign w:val="center"/>
                </w:tcPr>
                <w:p w14:paraId="3F3F7CDA">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200kg</w:t>
                  </w:r>
                </w:p>
              </w:tc>
              <w:tc>
                <w:tcPr>
                  <w:tcW w:w="1028" w:type="pct"/>
                  <w:tcBorders>
                    <w:left w:val="single" w:color="auto" w:sz="4" w:space="0"/>
                  </w:tcBorders>
                  <w:vAlign w:val="center"/>
                </w:tcPr>
                <w:p w14:paraId="45933082">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20kg/桶</w:t>
                  </w:r>
                </w:p>
              </w:tc>
              <w:tc>
                <w:tcPr>
                  <w:tcW w:w="452" w:type="pct"/>
                  <w:vAlign w:val="center"/>
                </w:tcPr>
                <w:p w14:paraId="1083C4F7">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val="en-US" w:eastAsia="zh-CN"/>
                    </w:rPr>
                    <w:t>/</w:t>
                  </w:r>
                </w:p>
              </w:tc>
            </w:tr>
            <w:tr w14:paraId="40F13F7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45E20B42">
                  <w:pPr>
                    <w:jc w:val="center"/>
                    <w:rPr>
                      <w:rFonts w:ascii="Times New Roman" w:hAnsi="Times New Roman" w:cs="Times New Roman"/>
                      <w:szCs w:val="21"/>
                    </w:rPr>
                  </w:pPr>
                  <w:r>
                    <w:rPr>
                      <w:rFonts w:ascii="Times New Roman" w:hAnsi="Times New Roman" w:cs="Times New Roman"/>
                      <w:szCs w:val="21"/>
                    </w:rPr>
                    <w:t>2</w:t>
                  </w:r>
                </w:p>
              </w:tc>
              <w:tc>
                <w:tcPr>
                  <w:tcW w:w="1258" w:type="pct"/>
                  <w:vAlign w:val="center"/>
                </w:tcPr>
                <w:p w14:paraId="642974FB">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聚氨酯面漆</w:t>
                  </w:r>
                </w:p>
              </w:tc>
              <w:tc>
                <w:tcPr>
                  <w:tcW w:w="436" w:type="pct"/>
                  <w:vAlign w:val="center"/>
                </w:tcPr>
                <w:p w14:paraId="735544D0">
                  <w:pPr>
                    <w:jc w:val="center"/>
                    <w:rPr>
                      <w:rFonts w:hint="eastAsia" w:eastAsiaTheme="minorEastAsia"/>
                      <w:lang w:val="en-US" w:eastAsia="zh-CN"/>
                    </w:rPr>
                  </w:pPr>
                  <w:r>
                    <w:rPr>
                      <w:rFonts w:hint="eastAsia"/>
                      <w:lang w:val="en-US" w:eastAsia="zh-CN"/>
                    </w:rPr>
                    <w:t>吨</w:t>
                  </w:r>
                </w:p>
              </w:tc>
              <w:tc>
                <w:tcPr>
                  <w:tcW w:w="657" w:type="pct"/>
                  <w:vAlign w:val="center"/>
                </w:tcPr>
                <w:p w14:paraId="6A9F5F01">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w:t>
                  </w:r>
                </w:p>
              </w:tc>
              <w:tc>
                <w:tcPr>
                  <w:tcW w:w="768" w:type="pct"/>
                  <w:tcBorders>
                    <w:right w:val="single" w:color="auto" w:sz="4" w:space="0"/>
                  </w:tcBorders>
                  <w:vAlign w:val="center"/>
                </w:tcPr>
                <w:p w14:paraId="7A6ED835">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200kg</w:t>
                  </w:r>
                </w:p>
              </w:tc>
              <w:tc>
                <w:tcPr>
                  <w:tcW w:w="1028" w:type="pct"/>
                  <w:tcBorders>
                    <w:left w:val="single" w:color="auto" w:sz="4" w:space="0"/>
                  </w:tcBorders>
                  <w:vAlign w:val="center"/>
                </w:tcPr>
                <w:p w14:paraId="07F00E70">
                  <w:pPr>
                    <w:jc w:val="center"/>
                    <w:rPr>
                      <w:rFonts w:ascii="Times New Roman" w:hAnsi="Times New Roman" w:cs="Times New Roman"/>
                      <w:szCs w:val="21"/>
                    </w:rPr>
                  </w:pPr>
                  <w:r>
                    <w:rPr>
                      <w:rFonts w:hint="eastAsia" w:ascii="Times New Roman" w:hAnsi="Times New Roman" w:cs="Times New Roman"/>
                      <w:szCs w:val="21"/>
                      <w:lang w:val="en-US" w:eastAsia="zh-CN"/>
                    </w:rPr>
                    <w:t>20kg/桶</w:t>
                  </w:r>
                </w:p>
              </w:tc>
              <w:tc>
                <w:tcPr>
                  <w:tcW w:w="452" w:type="pct"/>
                  <w:vAlign w:val="center"/>
                </w:tcPr>
                <w:p w14:paraId="09DC4A9E">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val="en-US" w:eastAsia="zh-CN"/>
                    </w:rPr>
                    <w:t>/</w:t>
                  </w:r>
                </w:p>
              </w:tc>
            </w:tr>
            <w:tr w14:paraId="118EB49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4CDA6AD3">
                  <w:pPr>
                    <w:jc w:val="center"/>
                    <w:rPr>
                      <w:rFonts w:ascii="Times New Roman" w:hAnsi="Times New Roman" w:cs="Times New Roman"/>
                      <w:szCs w:val="21"/>
                    </w:rPr>
                  </w:pPr>
                  <w:r>
                    <w:rPr>
                      <w:rFonts w:hint="eastAsia" w:ascii="Times New Roman" w:hAnsi="Times New Roman" w:cs="Times New Roman"/>
                      <w:szCs w:val="21"/>
                    </w:rPr>
                    <w:t>3</w:t>
                  </w:r>
                </w:p>
              </w:tc>
              <w:tc>
                <w:tcPr>
                  <w:tcW w:w="1258" w:type="pct"/>
                  <w:vAlign w:val="center"/>
                </w:tcPr>
                <w:p w14:paraId="7164FA1B">
                  <w:pPr>
                    <w:jc w:val="center"/>
                    <w:rPr>
                      <w:rFonts w:hint="eastAsia" w:ascii="Times New Roman" w:hAnsi="Times New Roman" w:cs="Times New Roman" w:eastAsiaTheme="minorEastAsia"/>
                      <w:szCs w:val="21"/>
                      <w:lang w:val="en-US" w:eastAsia="zh-CN"/>
                    </w:rPr>
                  </w:pPr>
                  <w:r>
                    <w:rPr>
                      <w:rFonts w:hint="eastAsia" w:cs="Times New Roman"/>
                      <w:szCs w:val="21"/>
                      <w:lang w:val="en-US" w:eastAsia="zh-CN"/>
                    </w:rPr>
                    <w:t>环氧底漆</w:t>
                  </w:r>
                  <w:r>
                    <w:rPr>
                      <w:rFonts w:hint="eastAsia" w:ascii="Times New Roman" w:hAnsi="Times New Roman" w:cs="Times New Roman"/>
                      <w:szCs w:val="21"/>
                      <w:lang w:val="en-US" w:eastAsia="zh-CN"/>
                    </w:rPr>
                    <w:t>稀释剂</w:t>
                  </w:r>
                </w:p>
              </w:tc>
              <w:tc>
                <w:tcPr>
                  <w:tcW w:w="436" w:type="pct"/>
                  <w:vAlign w:val="center"/>
                </w:tcPr>
                <w:p w14:paraId="796A6987">
                  <w:pPr>
                    <w:jc w:val="center"/>
                    <w:rPr>
                      <w:rFonts w:hint="eastAsia" w:eastAsiaTheme="minorEastAsia"/>
                      <w:lang w:val="en-US" w:eastAsia="zh-CN"/>
                    </w:rPr>
                  </w:pPr>
                  <w:r>
                    <w:rPr>
                      <w:rFonts w:hint="eastAsia"/>
                      <w:lang w:val="en-US" w:eastAsia="zh-CN"/>
                    </w:rPr>
                    <w:t>吨</w:t>
                  </w:r>
                </w:p>
              </w:tc>
              <w:tc>
                <w:tcPr>
                  <w:tcW w:w="657" w:type="pct"/>
                  <w:vAlign w:val="center"/>
                </w:tcPr>
                <w:p w14:paraId="6AAD1622">
                  <w:pPr>
                    <w:jc w:val="center"/>
                    <w:rPr>
                      <w:rFonts w:hint="default" w:ascii="Times New Roman" w:hAnsi="Times New Roman" w:cs="Times New Roman" w:eastAsiaTheme="minorEastAsia"/>
                      <w:szCs w:val="21"/>
                      <w:lang w:val="en-US" w:eastAsia="zh-CN"/>
                    </w:rPr>
                  </w:pPr>
                  <w:r>
                    <w:rPr>
                      <w:rFonts w:hint="eastAsia" w:cs="Times New Roman"/>
                      <w:szCs w:val="21"/>
                      <w:lang w:val="en-US" w:eastAsia="zh-CN"/>
                    </w:rPr>
                    <w:t>1.5</w:t>
                  </w:r>
                </w:p>
              </w:tc>
              <w:tc>
                <w:tcPr>
                  <w:tcW w:w="768" w:type="pct"/>
                  <w:tcBorders>
                    <w:right w:val="single" w:color="auto" w:sz="4" w:space="0"/>
                  </w:tcBorders>
                  <w:vAlign w:val="center"/>
                </w:tcPr>
                <w:p w14:paraId="56984810">
                  <w:pPr>
                    <w:jc w:val="center"/>
                    <w:rPr>
                      <w:rFonts w:hint="default" w:ascii="Times New Roman" w:hAnsi="Times New Roman" w:cs="Times New Roman" w:eastAsiaTheme="minorEastAsia"/>
                      <w:szCs w:val="21"/>
                      <w:lang w:val="en-US" w:eastAsia="zh-CN"/>
                    </w:rPr>
                  </w:pPr>
                  <w:r>
                    <w:rPr>
                      <w:rFonts w:hint="eastAsia" w:cs="Times New Roman"/>
                      <w:szCs w:val="21"/>
                      <w:lang w:val="en-US" w:eastAsia="zh-CN"/>
                    </w:rPr>
                    <w:t>15</w:t>
                  </w:r>
                  <w:r>
                    <w:rPr>
                      <w:rFonts w:hint="eastAsia" w:ascii="Times New Roman" w:hAnsi="Times New Roman" w:cs="Times New Roman"/>
                      <w:szCs w:val="21"/>
                      <w:lang w:val="en-US" w:eastAsia="zh-CN"/>
                    </w:rPr>
                    <w:t>0kg</w:t>
                  </w:r>
                </w:p>
              </w:tc>
              <w:tc>
                <w:tcPr>
                  <w:tcW w:w="1028" w:type="pct"/>
                  <w:tcBorders>
                    <w:left w:val="single" w:color="auto" w:sz="4" w:space="0"/>
                  </w:tcBorders>
                  <w:vAlign w:val="center"/>
                </w:tcPr>
                <w:p w14:paraId="079E1D59">
                  <w:pPr>
                    <w:jc w:val="center"/>
                    <w:rPr>
                      <w:rFonts w:ascii="Times New Roman" w:hAnsi="Times New Roman" w:cs="Times New Roman"/>
                      <w:szCs w:val="21"/>
                    </w:rPr>
                  </w:pPr>
                  <w:r>
                    <w:rPr>
                      <w:rFonts w:hint="eastAsia" w:cs="Times New Roman"/>
                      <w:szCs w:val="21"/>
                      <w:lang w:val="en-US" w:eastAsia="zh-CN"/>
                    </w:rPr>
                    <w:t>1</w:t>
                  </w:r>
                  <w:r>
                    <w:rPr>
                      <w:rFonts w:hint="eastAsia" w:ascii="Times New Roman" w:hAnsi="Times New Roman" w:cs="Times New Roman"/>
                      <w:szCs w:val="21"/>
                      <w:lang w:val="en-US" w:eastAsia="zh-CN"/>
                    </w:rPr>
                    <w:t>0kg/桶</w:t>
                  </w:r>
                </w:p>
              </w:tc>
              <w:tc>
                <w:tcPr>
                  <w:tcW w:w="452" w:type="pct"/>
                  <w:vAlign w:val="center"/>
                </w:tcPr>
                <w:p w14:paraId="0F08FE53">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w:t>
                  </w:r>
                </w:p>
              </w:tc>
            </w:tr>
            <w:tr w14:paraId="5282F8C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50762E61">
                  <w:pPr>
                    <w:jc w:val="center"/>
                    <w:rPr>
                      <w:rFonts w:hint="eastAsia" w:ascii="Times New Roman" w:hAnsi="Times New Roman" w:eastAsia="宋体" w:cs="Times New Roman"/>
                      <w:szCs w:val="21"/>
                      <w:lang w:val="en-US" w:eastAsia="zh-CN"/>
                    </w:rPr>
                  </w:pPr>
                  <w:r>
                    <w:rPr>
                      <w:rFonts w:hint="eastAsia" w:cs="Times New Roman"/>
                      <w:szCs w:val="21"/>
                      <w:lang w:val="en-US" w:eastAsia="zh-CN"/>
                    </w:rPr>
                    <w:t>4</w:t>
                  </w:r>
                </w:p>
              </w:tc>
              <w:tc>
                <w:tcPr>
                  <w:tcW w:w="1258" w:type="pct"/>
                  <w:vAlign w:val="center"/>
                </w:tcPr>
                <w:p w14:paraId="3C472B0C">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聚氨酯</w:t>
                  </w:r>
                  <w:r>
                    <w:rPr>
                      <w:rFonts w:hint="eastAsia" w:cs="Times New Roman"/>
                      <w:szCs w:val="21"/>
                      <w:lang w:val="en-US" w:eastAsia="zh-CN"/>
                    </w:rPr>
                    <w:t>稀释剂</w:t>
                  </w:r>
                </w:p>
              </w:tc>
              <w:tc>
                <w:tcPr>
                  <w:tcW w:w="436" w:type="pct"/>
                  <w:vAlign w:val="center"/>
                </w:tcPr>
                <w:p w14:paraId="47DE2C74">
                  <w:pPr>
                    <w:jc w:val="center"/>
                    <w:rPr>
                      <w:rFonts w:hint="default"/>
                      <w:lang w:val="en-US" w:eastAsia="zh-CN"/>
                    </w:rPr>
                  </w:pPr>
                  <w:r>
                    <w:rPr>
                      <w:rFonts w:hint="eastAsia"/>
                      <w:lang w:val="en-US" w:eastAsia="zh-CN"/>
                    </w:rPr>
                    <w:t>吨</w:t>
                  </w:r>
                </w:p>
              </w:tc>
              <w:tc>
                <w:tcPr>
                  <w:tcW w:w="657" w:type="pct"/>
                  <w:vAlign w:val="center"/>
                </w:tcPr>
                <w:p w14:paraId="7045D82A">
                  <w:pPr>
                    <w:jc w:val="center"/>
                    <w:rPr>
                      <w:rFonts w:hint="default" w:ascii="Times New Roman" w:hAnsi="Times New Roman" w:cs="Times New Roman"/>
                      <w:szCs w:val="21"/>
                      <w:lang w:val="en-US" w:eastAsia="zh-CN"/>
                    </w:rPr>
                  </w:pPr>
                  <w:r>
                    <w:rPr>
                      <w:rFonts w:hint="eastAsia" w:cs="Times New Roman"/>
                      <w:szCs w:val="21"/>
                      <w:lang w:val="en-US" w:eastAsia="zh-CN"/>
                    </w:rPr>
                    <w:t>1.5</w:t>
                  </w:r>
                </w:p>
              </w:tc>
              <w:tc>
                <w:tcPr>
                  <w:tcW w:w="768" w:type="pct"/>
                  <w:tcBorders>
                    <w:right w:val="single" w:color="auto" w:sz="4" w:space="0"/>
                  </w:tcBorders>
                  <w:vAlign w:val="center"/>
                </w:tcPr>
                <w:p w14:paraId="7306AC16">
                  <w:pPr>
                    <w:jc w:val="center"/>
                    <w:rPr>
                      <w:rFonts w:hint="eastAsia" w:ascii="Times New Roman" w:hAnsi="Times New Roman" w:cs="Times New Roman"/>
                      <w:szCs w:val="21"/>
                      <w:lang w:val="en-US" w:eastAsia="zh-CN"/>
                    </w:rPr>
                  </w:pPr>
                  <w:r>
                    <w:rPr>
                      <w:rFonts w:hint="eastAsia" w:cs="Times New Roman"/>
                      <w:szCs w:val="21"/>
                      <w:lang w:val="en-US" w:eastAsia="zh-CN"/>
                    </w:rPr>
                    <w:t>15</w:t>
                  </w:r>
                  <w:r>
                    <w:rPr>
                      <w:rFonts w:hint="eastAsia" w:ascii="Times New Roman" w:hAnsi="Times New Roman" w:cs="Times New Roman"/>
                      <w:szCs w:val="21"/>
                      <w:lang w:val="en-US" w:eastAsia="zh-CN"/>
                    </w:rPr>
                    <w:t>0kg</w:t>
                  </w:r>
                </w:p>
              </w:tc>
              <w:tc>
                <w:tcPr>
                  <w:tcW w:w="1028" w:type="pct"/>
                  <w:tcBorders>
                    <w:left w:val="single" w:color="auto" w:sz="4" w:space="0"/>
                  </w:tcBorders>
                  <w:shd w:val="clear" w:color="auto" w:fill="auto"/>
                  <w:vAlign w:val="center"/>
                </w:tcPr>
                <w:p w14:paraId="7D2636D4">
                  <w:pPr>
                    <w:jc w:val="center"/>
                    <w:rPr>
                      <w:rFonts w:hint="eastAsia" w:ascii="Times New Roman" w:hAnsi="Times New Roman" w:eastAsia="宋体" w:cs="Times New Roman"/>
                      <w:kern w:val="2"/>
                      <w:sz w:val="21"/>
                      <w:szCs w:val="21"/>
                      <w:lang w:val="en-US" w:eastAsia="zh-CN" w:bidi="ar-SA"/>
                    </w:rPr>
                  </w:pPr>
                  <w:r>
                    <w:rPr>
                      <w:rFonts w:hint="eastAsia" w:cs="Times New Roman"/>
                      <w:szCs w:val="21"/>
                      <w:lang w:val="en-US" w:eastAsia="zh-CN"/>
                    </w:rPr>
                    <w:t>1</w:t>
                  </w:r>
                  <w:r>
                    <w:rPr>
                      <w:rFonts w:hint="eastAsia" w:ascii="Times New Roman" w:hAnsi="Times New Roman" w:cs="Times New Roman"/>
                      <w:szCs w:val="21"/>
                      <w:lang w:val="en-US" w:eastAsia="zh-CN"/>
                    </w:rPr>
                    <w:t>0kg/桶</w:t>
                  </w:r>
                </w:p>
              </w:tc>
              <w:tc>
                <w:tcPr>
                  <w:tcW w:w="718" w:type="dxa"/>
                  <w:vAlign w:val="center"/>
                </w:tcPr>
                <w:p w14:paraId="2E32EBCB">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w:t>
                  </w:r>
                </w:p>
              </w:tc>
            </w:tr>
            <w:tr w14:paraId="175DCBF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4871BA92">
                  <w:pPr>
                    <w:jc w:val="center"/>
                    <w:rPr>
                      <w:rFonts w:hint="eastAsia" w:ascii="Times New Roman" w:hAnsi="Times New Roman" w:eastAsia="宋体" w:cs="Times New Roman"/>
                      <w:szCs w:val="21"/>
                      <w:lang w:val="en-US" w:eastAsia="zh-CN"/>
                    </w:rPr>
                  </w:pPr>
                  <w:r>
                    <w:rPr>
                      <w:rFonts w:hint="eastAsia" w:cs="Times New Roman"/>
                      <w:szCs w:val="21"/>
                      <w:lang w:val="en-US" w:eastAsia="zh-CN"/>
                    </w:rPr>
                    <w:t>5</w:t>
                  </w:r>
                </w:p>
              </w:tc>
              <w:tc>
                <w:tcPr>
                  <w:tcW w:w="1258" w:type="pct"/>
                  <w:vAlign w:val="center"/>
                </w:tcPr>
                <w:p w14:paraId="79411F9F">
                  <w:pPr>
                    <w:jc w:val="center"/>
                    <w:rPr>
                      <w:rFonts w:hint="default" w:ascii="Times New Roman" w:hAnsi="Times New Roman" w:cs="Times New Roman"/>
                      <w:szCs w:val="21"/>
                      <w:lang w:val="en-US" w:eastAsia="zh-CN"/>
                    </w:rPr>
                  </w:pPr>
                  <w:r>
                    <w:rPr>
                      <w:rFonts w:hint="eastAsia" w:cs="Times New Roman"/>
                      <w:szCs w:val="21"/>
                      <w:lang w:val="en-US" w:eastAsia="zh-CN"/>
                    </w:rPr>
                    <w:t>环氧底漆固化剂</w:t>
                  </w:r>
                </w:p>
              </w:tc>
              <w:tc>
                <w:tcPr>
                  <w:tcW w:w="436" w:type="pct"/>
                  <w:vAlign w:val="center"/>
                </w:tcPr>
                <w:p w14:paraId="706AA0D6">
                  <w:pPr>
                    <w:jc w:val="center"/>
                    <w:rPr>
                      <w:rFonts w:hint="eastAsia"/>
                      <w:lang w:val="en-US" w:eastAsia="zh-CN"/>
                    </w:rPr>
                  </w:pPr>
                  <w:r>
                    <w:rPr>
                      <w:rFonts w:hint="eastAsia"/>
                      <w:lang w:val="en-US" w:eastAsia="zh-CN"/>
                    </w:rPr>
                    <w:t>吨</w:t>
                  </w:r>
                </w:p>
              </w:tc>
              <w:tc>
                <w:tcPr>
                  <w:tcW w:w="657" w:type="pct"/>
                  <w:vAlign w:val="center"/>
                </w:tcPr>
                <w:p w14:paraId="5495B4E6">
                  <w:pPr>
                    <w:jc w:val="center"/>
                    <w:rPr>
                      <w:rFonts w:hint="default" w:ascii="Times New Roman" w:hAnsi="Times New Roman" w:cs="Times New Roman"/>
                      <w:szCs w:val="21"/>
                      <w:lang w:val="en-US" w:eastAsia="zh-CN"/>
                    </w:rPr>
                  </w:pPr>
                  <w:r>
                    <w:rPr>
                      <w:rFonts w:hint="eastAsia" w:cs="Times New Roman"/>
                      <w:szCs w:val="21"/>
                      <w:lang w:val="en-US" w:eastAsia="zh-CN"/>
                    </w:rPr>
                    <w:t>0.2</w:t>
                  </w:r>
                </w:p>
              </w:tc>
              <w:tc>
                <w:tcPr>
                  <w:tcW w:w="768" w:type="pct"/>
                  <w:tcBorders>
                    <w:right w:val="single" w:color="auto" w:sz="4" w:space="0"/>
                  </w:tcBorders>
                  <w:vAlign w:val="center"/>
                </w:tcPr>
                <w:p w14:paraId="13A31E49">
                  <w:pPr>
                    <w:jc w:val="center"/>
                    <w:rPr>
                      <w:rFonts w:hint="eastAsia" w:ascii="Times New Roman" w:hAnsi="Times New Roman" w:cs="Times New Roman"/>
                      <w:szCs w:val="21"/>
                      <w:lang w:val="en-US" w:eastAsia="zh-CN"/>
                    </w:rPr>
                  </w:pPr>
                  <w:r>
                    <w:rPr>
                      <w:rFonts w:hint="eastAsia" w:cs="Times New Roman"/>
                      <w:szCs w:val="21"/>
                      <w:lang w:val="en-US" w:eastAsia="zh-CN"/>
                    </w:rPr>
                    <w:t>2</w:t>
                  </w:r>
                  <w:r>
                    <w:rPr>
                      <w:rFonts w:hint="eastAsia" w:ascii="Times New Roman" w:hAnsi="Times New Roman" w:cs="Times New Roman"/>
                      <w:szCs w:val="21"/>
                      <w:lang w:val="en-US" w:eastAsia="zh-CN"/>
                    </w:rPr>
                    <w:t>0kg</w:t>
                  </w:r>
                </w:p>
              </w:tc>
              <w:tc>
                <w:tcPr>
                  <w:tcW w:w="1028" w:type="pct"/>
                  <w:tcBorders>
                    <w:left w:val="single" w:color="auto" w:sz="4" w:space="0"/>
                  </w:tcBorders>
                  <w:vAlign w:val="center"/>
                </w:tcPr>
                <w:p w14:paraId="25278F55">
                  <w:pPr>
                    <w:jc w:val="center"/>
                    <w:rPr>
                      <w:rFonts w:hint="eastAsia" w:ascii="Times New Roman" w:hAnsi="Times New Roman" w:cs="Times New Roman"/>
                      <w:szCs w:val="21"/>
                      <w:lang w:val="en-US" w:eastAsia="zh-CN"/>
                    </w:rPr>
                  </w:pPr>
                  <w:r>
                    <w:rPr>
                      <w:rFonts w:hint="eastAsia" w:cs="Times New Roman"/>
                      <w:szCs w:val="21"/>
                      <w:lang w:val="en-US" w:eastAsia="zh-CN"/>
                    </w:rPr>
                    <w:t>1</w:t>
                  </w:r>
                  <w:r>
                    <w:rPr>
                      <w:rFonts w:hint="eastAsia" w:ascii="Times New Roman" w:hAnsi="Times New Roman" w:cs="Times New Roman"/>
                      <w:szCs w:val="21"/>
                      <w:lang w:val="en-US" w:eastAsia="zh-CN"/>
                    </w:rPr>
                    <w:t>0kg/桶</w:t>
                  </w:r>
                </w:p>
              </w:tc>
              <w:tc>
                <w:tcPr>
                  <w:tcW w:w="718" w:type="dxa"/>
                  <w:vAlign w:val="center"/>
                </w:tcPr>
                <w:p w14:paraId="4ECF2B5E">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w:t>
                  </w:r>
                </w:p>
              </w:tc>
            </w:tr>
            <w:tr w14:paraId="46251E9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6A9099AA">
                  <w:pPr>
                    <w:jc w:val="center"/>
                    <w:rPr>
                      <w:rFonts w:hint="eastAsia" w:ascii="Times New Roman" w:hAnsi="Times New Roman" w:eastAsia="宋体" w:cs="Times New Roman"/>
                      <w:szCs w:val="21"/>
                      <w:lang w:val="en-US" w:eastAsia="zh-CN"/>
                    </w:rPr>
                  </w:pPr>
                  <w:r>
                    <w:rPr>
                      <w:rFonts w:hint="eastAsia" w:cs="Times New Roman"/>
                      <w:szCs w:val="21"/>
                      <w:lang w:val="en-US" w:eastAsia="zh-CN"/>
                    </w:rPr>
                    <w:t>6</w:t>
                  </w:r>
                </w:p>
              </w:tc>
              <w:tc>
                <w:tcPr>
                  <w:tcW w:w="1258" w:type="pct"/>
                  <w:vAlign w:val="center"/>
                </w:tcPr>
                <w:p w14:paraId="2285C61E">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聚氨酯</w:t>
                  </w:r>
                  <w:r>
                    <w:rPr>
                      <w:rFonts w:hint="eastAsia" w:cs="Times New Roman"/>
                      <w:szCs w:val="21"/>
                      <w:lang w:val="en-US" w:eastAsia="zh-CN"/>
                    </w:rPr>
                    <w:t>面漆固化剂</w:t>
                  </w:r>
                </w:p>
              </w:tc>
              <w:tc>
                <w:tcPr>
                  <w:tcW w:w="436" w:type="pct"/>
                  <w:shd w:val="clear" w:color="auto" w:fill="auto"/>
                  <w:vAlign w:val="center"/>
                </w:tcPr>
                <w:p w14:paraId="46894D3A">
                  <w:pPr>
                    <w:jc w:val="center"/>
                    <w:rPr>
                      <w:rFonts w:hint="eastAsia" w:ascii="Times New Roman" w:hAnsi="Times New Roman" w:eastAsia="宋体" w:cs="Times New Roman"/>
                      <w:kern w:val="2"/>
                      <w:sz w:val="21"/>
                      <w:szCs w:val="24"/>
                      <w:lang w:val="en-US" w:eastAsia="zh-CN" w:bidi="ar-SA"/>
                    </w:rPr>
                  </w:pPr>
                  <w:r>
                    <w:rPr>
                      <w:rFonts w:hint="eastAsia"/>
                      <w:lang w:val="en-US" w:eastAsia="zh-CN"/>
                    </w:rPr>
                    <w:t>吨</w:t>
                  </w:r>
                </w:p>
              </w:tc>
              <w:tc>
                <w:tcPr>
                  <w:tcW w:w="657" w:type="pct"/>
                  <w:vAlign w:val="center"/>
                </w:tcPr>
                <w:p w14:paraId="6347922A">
                  <w:pPr>
                    <w:jc w:val="center"/>
                    <w:rPr>
                      <w:rFonts w:hint="default" w:ascii="Times New Roman" w:hAnsi="Times New Roman" w:cs="Times New Roman"/>
                      <w:szCs w:val="21"/>
                      <w:lang w:val="en-US" w:eastAsia="zh-CN"/>
                    </w:rPr>
                  </w:pPr>
                  <w:r>
                    <w:rPr>
                      <w:rFonts w:hint="eastAsia" w:cs="Times New Roman"/>
                      <w:szCs w:val="21"/>
                      <w:lang w:val="en-US" w:eastAsia="zh-CN"/>
                    </w:rPr>
                    <w:t>0.2</w:t>
                  </w:r>
                </w:p>
              </w:tc>
              <w:tc>
                <w:tcPr>
                  <w:tcW w:w="768" w:type="pct"/>
                  <w:tcBorders>
                    <w:right w:val="single" w:color="auto" w:sz="4" w:space="0"/>
                  </w:tcBorders>
                  <w:vAlign w:val="center"/>
                </w:tcPr>
                <w:p w14:paraId="4856361E">
                  <w:pPr>
                    <w:jc w:val="center"/>
                    <w:rPr>
                      <w:rFonts w:hint="eastAsia" w:ascii="Times New Roman" w:hAnsi="Times New Roman" w:cs="Times New Roman"/>
                      <w:szCs w:val="21"/>
                      <w:lang w:val="en-US" w:eastAsia="zh-CN"/>
                    </w:rPr>
                  </w:pPr>
                  <w:r>
                    <w:rPr>
                      <w:rFonts w:hint="eastAsia" w:cs="Times New Roman"/>
                      <w:szCs w:val="21"/>
                      <w:lang w:val="en-US" w:eastAsia="zh-CN"/>
                    </w:rPr>
                    <w:t>2</w:t>
                  </w:r>
                  <w:r>
                    <w:rPr>
                      <w:rFonts w:hint="eastAsia" w:ascii="Times New Roman" w:hAnsi="Times New Roman" w:cs="Times New Roman"/>
                      <w:szCs w:val="21"/>
                      <w:lang w:val="en-US" w:eastAsia="zh-CN"/>
                    </w:rPr>
                    <w:t>0kg</w:t>
                  </w:r>
                </w:p>
              </w:tc>
              <w:tc>
                <w:tcPr>
                  <w:tcW w:w="1028" w:type="pct"/>
                  <w:tcBorders>
                    <w:left w:val="single" w:color="auto" w:sz="4" w:space="0"/>
                  </w:tcBorders>
                  <w:vAlign w:val="center"/>
                </w:tcPr>
                <w:p w14:paraId="0066CDB6">
                  <w:pPr>
                    <w:jc w:val="center"/>
                    <w:rPr>
                      <w:rFonts w:hint="eastAsia" w:ascii="Times New Roman" w:hAnsi="Times New Roman" w:cs="Times New Roman"/>
                      <w:szCs w:val="21"/>
                      <w:lang w:val="en-US" w:eastAsia="zh-CN"/>
                    </w:rPr>
                  </w:pPr>
                  <w:r>
                    <w:rPr>
                      <w:rFonts w:hint="eastAsia" w:cs="Times New Roman"/>
                      <w:szCs w:val="21"/>
                      <w:lang w:val="en-US" w:eastAsia="zh-CN"/>
                    </w:rPr>
                    <w:t>1</w:t>
                  </w:r>
                  <w:r>
                    <w:rPr>
                      <w:rFonts w:hint="eastAsia" w:ascii="Times New Roman" w:hAnsi="Times New Roman" w:cs="Times New Roman"/>
                      <w:szCs w:val="21"/>
                      <w:lang w:val="en-US" w:eastAsia="zh-CN"/>
                    </w:rPr>
                    <w:t>0kg/桶</w:t>
                  </w:r>
                </w:p>
              </w:tc>
              <w:tc>
                <w:tcPr>
                  <w:tcW w:w="718" w:type="dxa"/>
                  <w:vAlign w:val="center"/>
                </w:tcPr>
                <w:p w14:paraId="4A445F8B">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w:t>
                  </w:r>
                </w:p>
              </w:tc>
            </w:tr>
            <w:bookmarkEnd w:id="16"/>
            <w:tr w14:paraId="269A562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43DE1A6C">
                  <w:pPr>
                    <w:jc w:val="center"/>
                    <w:rPr>
                      <w:rFonts w:hint="eastAsia" w:ascii="Times New Roman" w:hAnsi="Times New Roman" w:eastAsia="宋体" w:cs="Times New Roman"/>
                      <w:szCs w:val="21"/>
                      <w:lang w:eastAsia="zh-CN"/>
                    </w:rPr>
                  </w:pPr>
                  <w:r>
                    <w:rPr>
                      <w:rFonts w:hint="eastAsia" w:cs="Times New Roman"/>
                      <w:szCs w:val="21"/>
                      <w:lang w:val="en-US" w:eastAsia="zh-CN"/>
                    </w:rPr>
                    <w:t>7</w:t>
                  </w:r>
                </w:p>
              </w:tc>
              <w:tc>
                <w:tcPr>
                  <w:tcW w:w="1258" w:type="pct"/>
                  <w:vAlign w:val="center"/>
                </w:tcPr>
                <w:p w14:paraId="1BFA74FB">
                  <w:pPr>
                    <w:widowControl/>
                    <w:jc w:val="center"/>
                    <w:rPr>
                      <w:rFonts w:hint="default" w:ascii="Times New Roman" w:hAnsi="Times New Roman" w:cs="Times New Roman"/>
                      <w:szCs w:val="21"/>
                      <w:lang w:val="en-US"/>
                    </w:rPr>
                  </w:pPr>
                  <w:r>
                    <w:rPr>
                      <w:rFonts w:hint="eastAsia" w:ascii="Times New Roman" w:hAnsi="Times New Roman" w:cs="Times New Roman"/>
                      <w:color w:val="auto"/>
                      <w:szCs w:val="21"/>
                      <w:lang w:val="en-US" w:eastAsia="zh-CN"/>
                    </w:rPr>
                    <w:t>变压器配件半成品</w:t>
                  </w:r>
                </w:p>
              </w:tc>
              <w:tc>
                <w:tcPr>
                  <w:tcW w:w="436" w:type="pct"/>
                  <w:vAlign w:val="center"/>
                </w:tcPr>
                <w:p w14:paraId="792BB30E">
                  <w:pPr>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件</w:t>
                  </w:r>
                </w:p>
              </w:tc>
              <w:tc>
                <w:tcPr>
                  <w:tcW w:w="657" w:type="pct"/>
                  <w:vAlign w:val="center"/>
                </w:tcPr>
                <w:p w14:paraId="39023D79">
                  <w:pPr>
                    <w:jc w:val="center"/>
                    <w:rPr>
                      <w:rFonts w:hint="default" w:ascii="Times New Roman" w:hAnsi="Times New Roman" w:eastAsia="宋体" w:cs="Times New Roman"/>
                      <w:szCs w:val="21"/>
                      <w:lang w:val="en-US" w:eastAsia="zh-CN"/>
                    </w:rPr>
                  </w:pPr>
                  <w:r>
                    <w:rPr>
                      <w:rFonts w:hint="eastAsia" w:cs="Times New Roman"/>
                      <w:szCs w:val="21"/>
                      <w:lang w:val="en-US" w:eastAsia="zh-CN"/>
                    </w:rPr>
                    <w:t>1</w:t>
                  </w:r>
                  <w:r>
                    <w:rPr>
                      <w:rFonts w:hint="eastAsia" w:ascii="Times New Roman" w:hAnsi="Times New Roman" w:cs="Times New Roman"/>
                      <w:szCs w:val="21"/>
                      <w:lang w:val="en-US" w:eastAsia="zh-CN"/>
                    </w:rPr>
                    <w:t>0000</w:t>
                  </w:r>
                </w:p>
              </w:tc>
              <w:tc>
                <w:tcPr>
                  <w:tcW w:w="768" w:type="pct"/>
                  <w:tcBorders>
                    <w:right w:val="single" w:color="auto" w:sz="4" w:space="0"/>
                  </w:tcBorders>
                  <w:vAlign w:val="center"/>
                </w:tcPr>
                <w:p w14:paraId="31550B94">
                  <w:pPr>
                    <w:jc w:val="center"/>
                    <w:rPr>
                      <w:rFonts w:hint="default" w:ascii="Times New Roman" w:hAnsi="Times New Roman" w:eastAsia="宋体" w:cs="Times New Roman"/>
                      <w:szCs w:val="21"/>
                      <w:lang w:val="en-US" w:eastAsia="zh-CN"/>
                    </w:rPr>
                  </w:pPr>
                  <w:r>
                    <w:rPr>
                      <w:rFonts w:hint="eastAsia" w:cs="Times New Roman"/>
                      <w:szCs w:val="21"/>
                      <w:lang w:val="en-US" w:eastAsia="zh-CN"/>
                    </w:rPr>
                    <w:t>1</w:t>
                  </w:r>
                  <w:r>
                    <w:rPr>
                      <w:rFonts w:hint="eastAsia" w:ascii="Times New Roman" w:hAnsi="Times New Roman" w:cs="Times New Roman"/>
                      <w:szCs w:val="21"/>
                      <w:lang w:val="en-US" w:eastAsia="zh-CN"/>
                    </w:rPr>
                    <w:t>000件</w:t>
                  </w:r>
                </w:p>
              </w:tc>
              <w:tc>
                <w:tcPr>
                  <w:tcW w:w="1028" w:type="pct"/>
                  <w:tcBorders>
                    <w:left w:val="single" w:color="auto" w:sz="4" w:space="0"/>
                  </w:tcBorders>
                  <w:vAlign w:val="center"/>
                </w:tcPr>
                <w:p w14:paraId="2901D8FE">
                  <w:pPr>
                    <w:jc w:val="center"/>
                    <w:rPr>
                      <w:rFonts w:ascii="Times New Roman" w:hAnsi="Times New Roman" w:cs="Times New Roman"/>
                      <w:szCs w:val="21"/>
                    </w:rPr>
                  </w:pPr>
                  <w:r>
                    <w:rPr>
                      <w:rFonts w:hint="eastAsia" w:ascii="Times New Roman" w:hAnsi="Times New Roman" w:cs="Times New Roman"/>
                      <w:szCs w:val="21"/>
                      <w:lang w:val="en-US" w:eastAsia="zh-CN"/>
                    </w:rPr>
                    <w:t>/</w:t>
                  </w:r>
                </w:p>
              </w:tc>
              <w:tc>
                <w:tcPr>
                  <w:tcW w:w="452" w:type="pct"/>
                  <w:vAlign w:val="center"/>
                </w:tcPr>
                <w:p w14:paraId="3D90DB33">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w:t>
                  </w:r>
                </w:p>
              </w:tc>
            </w:tr>
            <w:tr w14:paraId="71AA7D3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76AD70C0">
                  <w:pPr>
                    <w:jc w:val="center"/>
                    <w:rPr>
                      <w:rFonts w:hint="eastAsia" w:ascii="Times New Roman" w:hAnsi="Times New Roman" w:eastAsia="宋体" w:cs="Times New Roman"/>
                      <w:szCs w:val="21"/>
                      <w:lang w:eastAsia="zh-CN"/>
                    </w:rPr>
                  </w:pPr>
                  <w:r>
                    <w:rPr>
                      <w:rFonts w:hint="eastAsia" w:cs="Times New Roman"/>
                      <w:szCs w:val="21"/>
                      <w:lang w:val="en-US" w:eastAsia="zh-CN"/>
                    </w:rPr>
                    <w:t>8</w:t>
                  </w:r>
                </w:p>
              </w:tc>
              <w:tc>
                <w:tcPr>
                  <w:tcW w:w="1258" w:type="pct"/>
                  <w:vAlign w:val="center"/>
                </w:tcPr>
                <w:p w14:paraId="57114E1F">
                  <w:pPr>
                    <w:widowControl/>
                    <w:jc w:val="center"/>
                    <w:rPr>
                      <w:rFonts w:ascii="Times New Roman" w:hAnsi="Times New Roman" w:cs="Times New Roman"/>
                      <w:szCs w:val="21"/>
                    </w:rPr>
                  </w:pPr>
                  <w:r>
                    <w:rPr>
                      <w:rFonts w:hint="eastAsia" w:ascii="Times New Roman" w:hAnsi="Times New Roman" w:cs="Times New Roman"/>
                      <w:color w:val="auto"/>
                      <w:szCs w:val="21"/>
                      <w:lang w:val="en-US" w:eastAsia="zh-CN"/>
                    </w:rPr>
                    <w:t>高压开关配件半成品</w:t>
                  </w:r>
                </w:p>
              </w:tc>
              <w:tc>
                <w:tcPr>
                  <w:tcW w:w="436" w:type="pct"/>
                  <w:shd w:val="clear" w:color="auto" w:fill="auto"/>
                  <w:vAlign w:val="center"/>
                </w:tcPr>
                <w:p w14:paraId="3537CFCE">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件</w:t>
                  </w:r>
                </w:p>
              </w:tc>
              <w:tc>
                <w:tcPr>
                  <w:tcW w:w="657" w:type="pct"/>
                  <w:vAlign w:val="center"/>
                </w:tcPr>
                <w:p w14:paraId="0D76F9ED">
                  <w:pPr>
                    <w:jc w:val="center"/>
                    <w:rPr>
                      <w:rFonts w:hint="default" w:ascii="Times New Roman" w:hAnsi="Times New Roman" w:eastAsia="宋体" w:cs="Times New Roman"/>
                      <w:szCs w:val="21"/>
                      <w:lang w:val="en-US" w:eastAsia="zh-CN"/>
                    </w:rPr>
                  </w:pPr>
                  <w:r>
                    <w:rPr>
                      <w:rFonts w:hint="eastAsia" w:cs="Times New Roman"/>
                      <w:szCs w:val="21"/>
                      <w:lang w:val="en-US" w:eastAsia="zh-CN"/>
                    </w:rPr>
                    <w:t>2</w:t>
                  </w:r>
                  <w:r>
                    <w:rPr>
                      <w:rFonts w:hint="eastAsia" w:ascii="Times New Roman" w:hAnsi="Times New Roman" w:cs="Times New Roman"/>
                      <w:szCs w:val="21"/>
                      <w:lang w:val="en-US" w:eastAsia="zh-CN"/>
                    </w:rPr>
                    <w:t>0000</w:t>
                  </w:r>
                </w:p>
              </w:tc>
              <w:tc>
                <w:tcPr>
                  <w:tcW w:w="768" w:type="pct"/>
                  <w:tcBorders>
                    <w:right w:val="single" w:color="auto" w:sz="4" w:space="0"/>
                  </w:tcBorders>
                  <w:shd w:val="clear" w:color="auto" w:fill="auto"/>
                  <w:vAlign w:val="center"/>
                </w:tcPr>
                <w:p w14:paraId="5D320FF8">
                  <w:pPr>
                    <w:jc w:val="center"/>
                    <w:rPr>
                      <w:rFonts w:hint="default" w:ascii="Times New Roman" w:hAnsi="Times New Roman" w:eastAsia="宋体" w:cs="Times New Roman"/>
                      <w:kern w:val="2"/>
                      <w:sz w:val="21"/>
                      <w:szCs w:val="21"/>
                      <w:lang w:val="en-US" w:eastAsia="zh-CN" w:bidi="ar-SA"/>
                    </w:rPr>
                  </w:pPr>
                  <w:r>
                    <w:rPr>
                      <w:rFonts w:hint="eastAsia" w:cs="Times New Roman"/>
                      <w:szCs w:val="21"/>
                      <w:lang w:val="en-US" w:eastAsia="zh-CN"/>
                    </w:rPr>
                    <w:t>2</w:t>
                  </w:r>
                  <w:r>
                    <w:rPr>
                      <w:rFonts w:hint="eastAsia" w:ascii="Times New Roman" w:hAnsi="Times New Roman" w:cs="Times New Roman"/>
                      <w:szCs w:val="21"/>
                      <w:lang w:val="en-US" w:eastAsia="zh-CN"/>
                    </w:rPr>
                    <w:t>000件</w:t>
                  </w:r>
                </w:p>
              </w:tc>
              <w:tc>
                <w:tcPr>
                  <w:tcW w:w="1028" w:type="pct"/>
                  <w:tcBorders>
                    <w:left w:val="single" w:color="auto" w:sz="4" w:space="0"/>
                  </w:tcBorders>
                  <w:vAlign w:val="center"/>
                </w:tcPr>
                <w:p w14:paraId="0CCDDF37">
                  <w:pPr>
                    <w:jc w:val="center"/>
                    <w:rPr>
                      <w:rFonts w:ascii="Times New Roman" w:hAnsi="Times New Roman" w:cs="Times New Roman"/>
                      <w:szCs w:val="21"/>
                    </w:rPr>
                  </w:pPr>
                  <w:r>
                    <w:rPr>
                      <w:rFonts w:hint="eastAsia" w:ascii="Times New Roman" w:hAnsi="Times New Roman" w:cs="Times New Roman"/>
                      <w:szCs w:val="21"/>
                      <w:lang w:val="en-US" w:eastAsia="zh-CN"/>
                    </w:rPr>
                    <w:t>/</w:t>
                  </w:r>
                </w:p>
              </w:tc>
              <w:tc>
                <w:tcPr>
                  <w:tcW w:w="452" w:type="pct"/>
                  <w:vAlign w:val="center"/>
                </w:tcPr>
                <w:p w14:paraId="6B22A4B8">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w:t>
                  </w:r>
                </w:p>
              </w:tc>
            </w:tr>
            <w:tr w14:paraId="3CE7E3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398" w:type="pct"/>
                  <w:vAlign w:val="center"/>
                </w:tcPr>
                <w:p w14:paraId="5FB7496B">
                  <w:pPr>
                    <w:jc w:val="center"/>
                    <w:rPr>
                      <w:rFonts w:hint="default" w:cs="Times New Roman"/>
                      <w:szCs w:val="21"/>
                      <w:lang w:val="en-US" w:eastAsia="zh-CN"/>
                    </w:rPr>
                  </w:pPr>
                  <w:r>
                    <w:rPr>
                      <w:rFonts w:hint="eastAsia" w:cs="Times New Roman"/>
                      <w:szCs w:val="21"/>
                      <w:lang w:val="en-US" w:eastAsia="zh-CN"/>
                    </w:rPr>
                    <w:t>9</w:t>
                  </w:r>
                </w:p>
              </w:tc>
              <w:tc>
                <w:tcPr>
                  <w:tcW w:w="1258" w:type="pct"/>
                  <w:vAlign w:val="center"/>
                </w:tcPr>
                <w:p w14:paraId="5F15E1E0">
                  <w:pPr>
                    <w:widowControl/>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机油</w:t>
                  </w:r>
                </w:p>
              </w:tc>
              <w:tc>
                <w:tcPr>
                  <w:tcW w:w="436" w:type="pct"/>
                  <w:shd w:val="clear" w:color="auto" w:fill="auto"/>
                  <w:vAlign w:val="center"/>
                </w:tcPr>
                <w:p w14:paraId="71DE80CF">
                  <w:pPr>
                    <w:jc w:val="center"/>
                    <w:rPr>
                      <w:rFonts w:hint="default" w:ascii="Times New Roman" w:hAnsi="Times New Roman" w:cs="Times New Roman"/>
                      <w:szCs w:val="21"/>
                      <w:lang w:val="en-US" w:eastAsia="zh-CN"/>
                    </w:rPr>
                  </w:pPr>
                  <w:r>
                    <w:rPr>
                      <w:rFonts w:hint="eastAsia" w:cs="Times New Roman"/>
                      <w:szCs w:val="21"/>
                      <w:lang w:val="en-US" w:eastAsia="zh-CN"/>
                    </w:rPr>
                    <w:t>吨</w:t>
                  </w:r>
                </w:p>
              </w:tc>
              <w:tc>
                <w:tcPr>
                  <w:tcW w:w="657" w:type="pct"/>
                  <w:vAlign w:val="center"/>
                </w:tcPr>
                <w:p w14:paraId="631E96FC">
                  <w:pPr>
                    <w:jc w:val="center"/>
                    <w:rPr>
                      <w:rFonts w:hint="default" w:ascii="Times New Roman" w:hAnsi="Times New Roman" w:cs="Times New Roman"/>
                      <w:szCs w:val="21"/>
                      <w:lang w:val="en-US" w:eastAsia="zh-CN"/>
                    </w:rPr>
                  </w:pPr>
                  <w:r>
                    <w:rPr>
                      <w:rFonts w:hint="eastAsia" w:cs="Times New Roman"/>
                      <w:szCs w:val="21"/>
                      <w:lang w:val="en-US" w:eastAsia="zh-CN"/>
                    </w:rPr>
                    <w:t>0.1</w:t>
                  </w:r>
                </w:p>
              </w:tc>
              <w:tc>
                <w:tcPr>
                  <w:tcW w:w="768" w:type="pct"/>
                  <w:tcBorders>
                    <w:right w:val="single" w:color="auto" w:sz="4" w:space="0"/>
                  </w:tcBorders>
                  <w:shd w:val="clear" w:color="auto" w:fill="auto"/>
                  <w:vAlign w:val="center"/>
                </w:tcPr>
                <w:p w14:paraId="00E31481">
                  <w:pPr>
                    <w:jc w:val="center"/>
                    <w:rPr>
                      <w:rFonts w:hint="default" w:ascii="Times New Roman" w:hAnsi="Times New Roman" w:cs="Times New Roman"/>
                      <w:szCs w:val="21"/>
                      <w:lang w:val="en-US" w:eastAsia="zh-CN"/>
                    </w:rPr>
                  </w:pPr>
                  <w:r>
                    <w:rPr>
                      <w:rFonts w:hint="eastAsia" w:cs="Times New Roman"/>
                      <w:szCs w:val="21"/>
                      <w:lang w:val="en-US" w:eastAsia="zh-CN"/>
                    </w:rPr>
                    <w:t>0.1</w:t>
                  </w:r>
                </w:p>
              </w:tc>
              <w:tc>
                <w:tcPr>
                  <w:tcW w:w="1634" w:type="dxa"/>
                  <w:tcBorders>
                    <w:left w:val="single" w:color="auto" w:sz="4" w:space="0"/>
                  </w:tcBorders>
                  <w:vAlign w:val="center"/>
                </w:tcPr>
                <w:p w14:paraId="64E41322">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w:t>
                  </w:r>
                </w:p>
              </w:tc>
              <w:tc>
                <w:tcPr>
                  <w:tcW w:w="718" w:type="dxa"/>
                  <w:vAlign w:val="center"/>
                </w:tcPr>
                <w:p w14:paraId="31F67213">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w:t>
                  </w:r>
                </w:p>
              </w:tc>
            </w:tr>
          </w:tbl>
          <w:p w14:paraId="62F8A916">
            <w:pPr>
              <w:pStyle w:val="29"/>
              <w:bidi w:val="0"/>
              <w:rPr>
                <w:rFonts w:hint="default" w:ascii="Times New Roman" w:hAnsi="Times New Roman" w:eastAsia="宋体" w:cs="Times New Roman"/>
                <w:color w:val="auto"/>
                <w:highlight w:val="none"/>
                <w:u w:val="single"/>
                <w:lang w:val="en-US" w:eastAsia="zh-CN"/>
              </w:rPr>
            </w:pPr>
            <w:r>
              <w:rPr>
                <w:rFonts w:hint="eastAsia" w:ascii="Times New Roman" w:hAnsi="Times New Roman" w:cs="Times New Roman"/>
                <w:color w:val="auto"/>
                <w:highlight w:val="none"/>
                <w:u w:val="single"/>
                <w:lang w:val="en-US" w:eastAsia="zh-CN"/>
              </w:rPr>
              <w:t>本项目涂装使用的涂料为油性漆，本项目产品为特变电工输变电配套件，广泛应用于电网工程、新能源电站、海外高海拔/高盐雾/低温等极端环境，核心要求包括 15-20 年以上使用寿命、耐候抗腐蚀、绝缘阻燃、机械强度适配 等。涂装需同时满足耐候性、防腐蚀性、绝缘性、机械强度、阻燃性 五大核心指标，油性涂料（溶剂型涂料，如聚氨酯类、环氧类等）的成膜机理与配方体系可精准匹配这些要求。中国电力科学研究院《输变电设备涂层技术发展报告（2023）》明确指出：“在户外极端环境、高可靠性要求的输变电设备中，溶剂型油性涂料仍是当前最优选择，替代涂料的性能与工艺尚无法满足长期使用要求。在当前技术水平下，油性涂料是保障特变电工输变电产品高可靠性、长使用寿命的最优选择。若未来替代涂料的技术水平（如水性涂料的耐候性、粉末涂料的低温施工性）得到突破性提升，且满足行业标准与生产工艺要求，可逐步开展替代试验与推广，但短期内（5-10 年）油性涂料的核心地位无法被替代。</w:t>
            </w:r>
          </w:p>
          <w:p w14:paraId="26F6B000">
            <w:pPr>
              <w:pStyle w:val="29"/>
              <w:bidi w:val="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主要原辅材料理化性质</w:t>
            </w:r>
            <w:r>
              <w:rPr>
                <w:rFonts w:hint="eastAsia" w:ascii="Times New Roman" w:hAnsi="Times New Roman" w:cs="Times New Roman"/>
                <w:color w:val="auto"/>
                <w:highlight w:val="none"/>
                <w:lang w:eastAsia="zh-CN"/>
              </w:rPr>
              <w:t>：</w:t>
            </w:r>
          </w:p>
          <w:p w14:paraId="3E7BF5B9">
            <w:pPr>
              <w:pStyle w:val="29"/>
              <w:bidi w:val="0"/>
              <w:rPr>
                <w:rFonts w:hint="eastAsia" w:ascii="Times New Roman" w:hAnsi="Times New Roman" w:eastAsia="宋体" w:cs="Times New Roman"/>
                <w:color w:val="FF0000"/>
                <w:highlight w:val="none"/>
                <w:lang w:val="en-US" w:eastAsia="zh-CN"/>
              </w:rPr>
            </w:pPr>
            <w:r>
              <w:rPr>
                <w:rFonts w:ascii="Times New Roman" w:hAnsi="Times New Roman" w:cs="Times New Roman"/>
                <w:color w:val="auto"/>
                <w:szCs w:val="21"/>
              </w:rPr>
              <w:t>聚氨酯</w:t>
            </w:r>
            <w:r>
              <w:rPr>
                <w:rFonts w:hint="eastAsia" w:ascii="Times New Roman" w:hAnsi="Times New Roman" w:cs="Times New Roman"/>
                <w:color w:val="auto"/>
                <w:szCs w:val="21"/>
                <w:lang w:val="en-US" w:eastAsia="zh-CN"/>
              </w:rPr>
              <w:t>面</w:t>
            </w:r>
            <w:r>
              <w:rPr>
                <w:rFonts w:ascii="Times New Roman" w:hAnsi="Times New Roman" w:cs="Times New Roman"/>
                <w:color w:val="auto"/>
                <w:szCs w:val="21"/>
              </w:rPr>
              <w:t>漆</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根据建设单位提供MSDS，全称为脂肪族聚氨酯面漆，主要成分为羟基丙烯酸树酯（30%-60%，本项目取50%）、二甲苯（10%-15%，本项目取15%）、乙酸丁酯（5%-8%，本项目取8%）、丙二醇甲醚醋酸酯（5%-8%，本项目取8%）及二氧化钛（0%-30%，本项目取19%）。</w:t>
            </w:r>
          </w:p>
          <w:p w14:paraId="4C1CB1F4">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Cs w:val="21"/>
                <w:lang w:val="en-US" w:eastAsia="zh-CN"/>
              </w:rPr>
              <w:t>环氧底漆</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根据建设单位提供MSDS，全称为环氧富锌底漆，主要成分为环氧树脂（10%-15%，本项目取15%）、二甲苯（8%-12%，本项目取12%）、正丁醇（5%-8%，本项目取8%）及锌粉（50%-80%，本项目取65%）。</w:t>
            </w:r>
          </w:p>
          <w:p w14:paraId="4A08B1E3">
            <w:pPr>
              <w:pStyle w:val="29"/>
              <w:bidi w:val="0"/>
              <w:rPr>
                <w:rFonts w:hint="eastAsia" w:ascii="Times New Roman" w:hAnsi="Times New Roman" w:cs="Times New Roman"/>
                <w:color w:val="auto"/>
                <w:szCs w:val="21"/>
                <w:lang w:val="en-US" w:eastAsia="zh-CN"/>
              </w:rPr>
            </w:pPr>
            <w:r>
              <w:rPr>
                <w:rFonts w:hint="eastAsia" w:cs="Times New Roman"/>
                <w:color w:val="auto"/>
                <w:szCs w:val="21"/>
                <w:lang w:val="en-US" w:eastAsia="zh-CN"/>
              </w:rPr>
              <w:t>环氧底漆</w:t>
            </w:r>
            <w:r>
              <w:rPr>
                <w:rFonts w:hint="eastAsia" w:ascii="Times New Roman" w:hAnsi="Times New Roman" w:cs="Times New Roman"/>
                <w:color w:val="auto"/>
                <w:szCs w:val="21"/>
                <w:lang w:val="en-US" w:eastAsia="zh-CN"/>
              </w:rPr>
              <w:t>稀释剂</w:t>
            </w:r>
            <w:r>
              <w:rPr>
                <w:rFonts w:hint="eastAsia" w:cs="Times New Roman"/>
                <w:color w:val="auto"/>
                <w:szCs w:val="21"/>
                <w:lang w:val="en-US" w:eastAsia="zh-CN"/>
              </w:rPr>
              <w:t>：</w:t>
            </w:r>
            <w:r>
              <w:rPr>
                <w:rFonts w:hint="eastAsia" w:ascii="Times New Roman" w:hAnsi="Times New Roman" w:cs="Times New Roman"/>
                <w:color w:val="auto"/>
                <w:szCs w:val="21"/>
                <w:lang w:val="en-US" w:eastAsia="zh-CN"/>
              </w:rPr>
              <w:t>根据建设单位提供MSDS，主要成分为二甲苯（70%-80%，本项目取80%）、正丁醇（20%-30%，本项目取20%）。</w:t>
            </w:r>
          </w:p>
          <w:p w14:paraId="02F54561">
            <w:pPr>
              <w:pStyle w:val="29"/>
              <w:bidi w:val="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聚氨酯</w:t>
            </w:r>
            <w:r>
              <w:rPr>
                <w:rFonts w:hint="eastAsia" w:ascii="Times New Roman" w:hAnsi="Times New Roman" w:cs="Times New Roman"/>
                <w:color w:val="auto"/>
                <w:highlight w:val="none"/>
                <w:lang w:val="en-US" w:eastAsia="zh-CN"/>
              </w:rPr>
              <w:t>稀释剂：</w:t>
            </w:r>
            <w:r>
              <w:rPr>
                <w:rFonts w:hint="eastAsia" w:ascii="Times New Roman" w:hAnsi="Times New Roman" w:cs="Times New Roman"/>
                <w:color w:val="auto"/>
                <w:szCs w:val="21"/>
                <w:lang w:val="en-US" w:eastAsia="zh-CN"/>
              </w:rPr>
              <w:t>主要成分为二甲苯（20%-30%，本项目取30%）、乙酸丁酯（25%-35%，本项目取25%）、丙二醇甲醚醋酸酯（15%-25%，本项目取25%）及环己酮（15%-25%，本项目取20%）。</w:t>
            </w:r>
          </w:p>
          <w:p w14:paraId="30C97EE5">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szCs w:val="21"/>
                <w:lang w:val="en-US" w:eastAsia="zh-CN"/>
              </w:rPr>
              <w:t>环氧富锌底漆固化剂</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szCs w:val="21"/>
                <w:lang w:val="en-US" w:eastAsia="zh-CN"/>
              </w:rPr>
              <w:t>主要成分为二甲苯（30%-50%，本项目取50%）、聚酰胺树脂（15%-50%，本项目取30%）、正丁醇（8%-20%，本项目取20%）。</w:t>
            </w:r>
          </w:p>
          <w:p w14:paraId="0FEA0DAF">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szCs w:val="21"/>
                <w:lang w:val="en-US" w:eastAsia="zh-CN"/>
              </w:rPr>
              <w:t>脂肪族聚氨酯面漆固化剂</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szCs w:val="21"/>
                <w:lang w:val="en-US" w:eastAsia="zh-CN"/>
              </w:rPr>
              <w:t>主要成分为六亚甲基-1,6-二异氰酸酯均聚物（30%-75%，本项目取30%）、乙酸丁酯（25%-70%，本项目取70%）。</w:t>
            </w:r>
          </w:p>
          <w:p w14:paraId="2F502D18">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二甲苯：无色透明液体。有芳香烃的特殊气味。易流动，能与无水乙醇、乙醚和其他许多有机溶剂混溶。二甲苯具有刺激性气味、易燃，与乙醇、氯仿或乙醚能任意混合，在水中不溶。沸点为137～140 ℃。二甲苯属于低毒类化学物质。</w:t>
            </w:r>
          </w:p>
          <w:p w14:paraId="3496D099">
            <w:pPr>
              <w:pStyle w:val="29"/>
              <w:bidi w:val="0"/>
              <w:rPr>
                <w:rFonts w:hint="default" w:ascii="Times New Roman" w:hAnsi="Times New Roman" w:cs="Times New Roman"/>
                <w:color w:val="FF0000"/>
                <w:highlight w:val="none"/>
                <w:lang w:val="en-US" w:eastAsia="zh-CN"/>
              </w:rPr>
            </w:pPr>
            <w:r>
              <w:rPr>
                <w:rFonts w:hint="eastAsia" w:ascii="Times New Roman" w:hAnsi="Times New Roman" w:cs="Times New Roman"/>
                <w:color w:val="auto"/>
                <w:szCs w:val="21"/>
                <w:lang w:val="en-US" w:eastAsia="zh-CN"/>
              </w:rPr>
              <w:t>正丁醇</w:t>
            </w:r>
            <w:r>
              <w:rPr>
                <w:rFonts w:hint="eastAsia" w:ascii="Times New Roman" w:hAnsi="Times New Roman" w:cs="Times New Roman"/>
                <w:color w:val="auto"/>
                <w:highlight w:val="none"/>
                <w:lang w:val="en-US" w:eastAsia="zh-CN"/>
              </w:rPr>
              <w:t>：无色透明的液体有机化合物，有酒味，闪点37 ℃，沸点117.6 ℃。LC50：8000 ppm（大鼠吸入，4h），LD50：790 mg/kg（大鼠经口）；100 mg/kg（小鼠经口）；3484 mg/kg（兔经口）；3400 mg/kg（兔经皮）。</w:t>
            </w:r>
          </w:p>
          <w:p w14:paraId="138D34CA">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乙酸丁酯：具有水果香味的无色透明可燃性液体，其香味比乙酸戊酯略小。其相对密度为0.8825，折光率为1.3941，沸点为126.1℃，它能与醇、酮、酯和大多数常用有机溶剂互溶，乙酸正丁酯急性毒性较小，但有麻醉和刺激作用，在34-50mg/L浓度下对人的眼睛和鼻子有强烈的刺激，在高浓度下会引起麻醉。操作场所最高容许浓度为150ppm，操作场所要保持良好通风，操作人员要配备防护用具。</w:t>
            </w:r>
          </w:p>
          <w:p w14:paraId="3F96DB32">
            <w:pPr>
              <w:pStyle w:val="29"/>
              <w:bidi w:val="0"/>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环己酮</w:t>
            </w:r>
            <w:r>
              <w:rPr>
                <w:rFonts w:hint="eastAsia" w:ascii="Times New Roman" w:hAnsi="Times New Roman" w:cs="Times New Roman"/>
                <w:color w:val="auto"/>
                <w:highlight w:val="none"/>
                <w:lang w:val="en-US" w:eastAsia="zh-CN"/>
              </w:rPr>
              <w:t>：无色透明液体，带有泥土气息，含有痕迹量的酚时，则带有薄荷味。不纯物为浅黄色，随着存放时间生成杂质而显色，呈水白色到灰黄色，具有强烈的刺鼻臭味。与空气混合爆炸极与开链饱和酮相同。沸点：155℃，闪点：44℃（CC）。LD50：1620μL（1544mg）/kg（大鼠经口）；1mL（950mg）/kg（兔经皮），LC50：8000ppm（大鼠吸入，4h）。</w:t>
            </w:r>
          </w:p>
          <w:p w14:paraId="4D604319">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丙二醇甲醚醋酸酯</w:t>
            </w:r>
            <w:r>
              <w:rPr>
                <w:rFonts w:hint="eastAsia" w:ascii="Times New Roman" w:hAnsi="Times New Roman" w:cs="Times New Roman"/>
                <w:color w:val="auto"/>
                <w:highlight w:val="none"/>
                <w:lang w:val="en-US" w:eastAsia="zh-CN"/>
              </w:rPr>
              <w:t>：无色吸湿液体，有特殊气味，是一种具有多官能团的非公害溶剂。易燃，高于42℃时可能形成爆炸性蒸汽/空气混合物。沸点：145℃-146℃，闪点：47.9℃。</w:t>
            </w:r>
          </w:p>
          <w:p w14:paraId="54DCF32C">
            <w:pPr>
              <w:pStyle w:val="29"/>
              <w:bidi w:val="0"/>
              <w:rPr>
                <w:rFonts w:hint="eastAsia" w:ascii="Times New Roman" w:hAnsi="Times New Roman" w:cs="Times New Roman"/>
                <w:color w:val="auto"/>
                <w:highlight w:val="yellow"/>
                <w:lang w:val="en-US" w:eastAsia="zh-CN"/>
              </w:rPr>
            </w:pPr>
            <w:r>
              <w:rPr>
                <w:rFonts w:hint="eastAsia" w:ascii="Times New Roman" w:hAnsi="Times New Roman" w:cs="Times New Roman"/>
                <w:color w:val="auto"/>
                <w:highlight w:val="none"/>
                <w:lang w:val="en-US" w:eastAsia="zh-CN"/>
              </w:rPr>
              <w:t>机油：一种油状液体，通常为淡黄色至褐色，无气味或略带异味。其物理状态为液体，密度和黏度随温度变化而变化。机油的密度随其组成中含碳、氧、硫的数量增加而增大，含芳烃多的机油密度最大，含烷烃少的机油密度最小；分子量为230～500，其闪点为76</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w:t>
            </w:r>
          </w:p>
          <w:p w14:paraId="4FC2C107">
            <w:pPr>
              <w:topLinePunct/>
              <w:autoSpaceDE w:val="0"/>
              <w:adjustRightInd w:val="0"/>
              <w:snapToGrid w:val="0"/>
              <w:spacing w:line="360" w:lineRule="auto"/>
              <w:ind w:firstLine="482" w:firstLineChars="200"/>
              <w:jc w:val="left"/>
              <w:rPr>
                <w:rFonts w:ascii="Times New Roman" w:hAnsi="Times New Roman" w:eastAsia="宋体" w:cs="Times New Roman"/>
                <w:b/>
                <w:bCs/>
                <w:color w:val="auto"/>
                <w:sz w:val="24"/>
              </w:rPr>
            </w:pPr>
            <w:r>
              <w:rPr>
                <w:rFonts w:hint="eastAsia" w:ascii="Times New Roman" w:hAnsi="Times New Roman" w:eastAsia="宋体" w:cs="Times New Roman"/>
                <w:b/>
                <w:color w:val="auto"/>
                <w:sz w:val="24"/>
              </w:rPr>
              <w:t>6、物料平衡</w:t>
            </w:r>
          </w:p>
          <w:p w14:paraId="56CD43D2">
            <w:pPr>
              <w:topLinePunct/>
              <w:autoSpaceDE w:val="0"/>
              <w:adjustRightInd w:val="0"/>
              <w:snapToGrid w:val="0"/>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建设项目VOCs物料平衡见下表。</w:t>
            </w:r>
          </w:p>
          <w:p w14:paraId="264D2682">
            <w:pPr>
              <w:topLinePunct/>
              <w:autoSpaceDE w:val="0"/>
              <w:spacing w:line="360" w:lineRule="auto"/>
              <w:jc w:val="center"/>
              <w:rPr>
                <w:rFonts w:hint="eastAsia" w:ascii="Times New Roman" w:hAnsi="Times New Roman" w:eastAsia="宋体" w:cs="Times New Roman"/>
                <w:b/>
                <w:bCs/>
                <w:color w:val="auto"/>
                <w:sz w:val="24"/>
              </w:rPr>
            </w:pPr>
            <w:r>
              <w:rPr>
                <w:rFonts w:ascii="Times New Roman" w:hAnsi="Times New Roman" w:eastAsia="宋体" w:cs="Times New Roman"/>
                <w:b/>
                <w:bCs/>
                <w:color w:val="auto"/>
                <w:sz w:val="24"/>
              </w:rPr>
              <w:t>表</w:t>
            </w:r>
            <w:r>
              <w:rPr>
                <w:rFonts w:hint="eastAsia" w:ascii="Times New Roman" w:hAnsi="Times New Roman" w:eastAsia="宋体" w:cs="Times New Roman"/>
                <w:b/>
                <w:bCs/>
                <w:color w:val="auto"/>
                <w:sz w:val="24"/>
              </w:rPr>
              <w:t>2-</w:t>
            </w:r>
            <w:r>
              <w:rPr>
                <w:rFonts w:hint="eastAsia" w:cs="Times New Roman"/>
                <w:b/>
                <w:bCs/>
                <w:color w:val="auto"/>
                <w:sz w:val="24"/>
                <w:lang w:val="en-US" w:eastAsia="zh-CN"/>
              </w:rPr>
              <w:t>5</w:t>
            </w:r>
            <w:r>
              <w:rPr>
                <w:rFonts w:ascii="Times New Roman" w:hAnsi="Times New Roman" w:eastAsia="宋体" w:cs="Times New Roman"/>
                <w:b/>
                <w:bCs/>
                <w:color w:val="auto"/>
                <w:sz w:val="24"/>
              </w:rPr>
              <w:t xml:space="preserve"> </w:t>
            </w:r>
            <w:r>
              <w:rPr>
                <w:rFonts w:hint="eastAsia" w:ascii="Times New Roman" w:hAnsi="Times New Roman" w:eastAsia="宋体" w:cs="Times New Roman"/>
                <w:b/>
                <w:bCs/>
                <w:color w:val="auto"/>
                <w:sz w:val="24"/>
              </w:rPr>
              <w:t>建设项目</w:t>
            </w:r>
            <w:r>
              <w:rPr>
                <w:rFonts w:hint="eastAsia" w:cs="Times New Roman"/>
                <w:b/>
                <w:bCs/>
                <w:color w:val="auto"/>
                <w:sz w:val="24"/>
                <w:lang w:val="en-US" w:eastAsia="zh-CN"/>
              </w:rPr>
              <w:t>油漆</w:t>
            </w:r>
            <w:r>
              <w:rPr>
                <w:rFonts w:ascii="Times New Roman" w:hAnsi="Times New Roman" w:eastAsia="宋体" w:cs="Times New Roman"/>
                <w:b/>
                <w:bCs/>
                <w:color w:val="auto"/>
                <w:sz w:val="24"/>
              </w:rPr>
              <w:t>物料平衡表</w:t>
            </w:r>
            <w:r>
              <w:rPr>
                <w:rFonts w:hint="eastAsia" w:ascii="Times New Roman" w:hAnsi="Times New Roman" w:eastAsia="宋体" w:cs="Times New Roman"/>
                <w:b/>
                <w:bCs/>
                <w:color w:val="auto"/>
                <w:sz w:val="24"/>
              </w:rPr>
              <w:t>（t/a）</w:t>
            </w:r>
          </w:p>
          <w:tbl>
            <w:tblPr>
              <w:tblStyle w:val="18"/>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1040"/>
              <w:gridCol w:w="481"/>
              <w:gridCol w:w="1122"/>
              <w:gridCol w:w="766"/>
              <w:gridCol w:w="929"/>
              <w:gridCol w:w="1346"/>
              <w:gridCol w:w="1190"/>
              <w:gridCol w:w="1091"/>
            </w:tblGrid>
            <w:tr w14:paraId="4C80A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2723" w:type="pct"/>
                  <w:gridSpan w:val="5"/>
                  <w:noWrap w:val="0"/>
                  <w:vAlign w:val="center"/>
                </w:tcPr>
                <w:p w14:paraId="2BCCC358">
                  <w:pPr>
                    <w:autoSpaceDE w:val="0"/>
                    <w:autoSpaceDN w:val="0"/>
                    <w:adjustRightInd w:val="0"/>
                    <w:snapToGrid w:val="0"/>
                    <w:jc w:val="center"/>
                    <w:rPr>
                      <w:rFonts w:ascii="Times New Roman" w:hAnsi="Times New Roman" w:eastAsia="宋体" w:cs="Times New Roman"/>
                      <w:b/>
                      <w:color w:val="auto"/>
                      <w:szCs w:val="21"/>
                    </w:rPr>
                  </w:pPr>
                  <w:bookmarkStart w:id="4" w:name="OLE_LINK25"/>
                  <w:r>
                    <w:rPr>
                      <w:rFonts w:hint="eastAsia" w:ascii="Times New Roman" w:hAnsi="Times New Roman" w:eastAsia="宋体" w:cs="Times New Roman"/>
                      <w:b/>
                      <w:color w:val="auto"/>
                      <w:szCs w:val="21"/>
                    </w:rPr>
                    <w:t>入方</w:t>
                  </w:r>
                </w:p>
              </w:tc>
              <w:tc>
                <w:tcPr>
                  <w:tcW w:w="2276" w:type="pct"/>
                  <w:gridSpan w:val="3"/>
                  <w:noWrap w:val="0"/>
                  <w:vAlign w:val="center"/>
                </w:tcPr>
                <w:p w14:paraId="65A73F54">
                  <w:pPr>
                    <w:autoSpaceDE w:val="0"/>
                    <w:autoSpaceDN w:val="0"/>
                    <w:adjustRightInd w:val="0"/>
                    <w:snapToGrid w:val="0"/>
                    <w:jc w:val="center"/>
                    <w:rPr>
                      <w:rFonts w:hint="eastAsia" w:ascii="Times New Roman" w:hAnsi="Times New Roman" w:eastAsia="宋体" w:cs="Times New Roman"/>
                      <w:b/>
                      <w:color w:val="auto"/>
                      <w:szCs w:val="21"/>
                    </w:rPr>
                  </w:pPr>
                  <w:r>
                    <w:rPr>
                      <w:rFonts w:hint="eastAsia" w:ascii="Times New Roman" w:hAnsi="Times New Roman" w:eastAsia="宋体" w:cs="Times New Roman"/>
                      <w:b/>
                      <w:color w:val="auto"/>
                      <w:szCs w:val="21"/>
                    </w:rPr>
                    <w:t>出方</w:t>
                  </w:r>
                </w:p>
              </w:tc>
            </w:tr>
            <w:tr w14:paraId="3D6AC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noWrap w:val="0"/>
                  <w:vAlign w:val="center"/>
                </w:tcPr>
                <w:p w14:paraId="3D1CF999">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物料</w:t>
                  </w:r>
                </w:p>
                <w:p w14:paraId="77E168DD">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名称</w:t>
                  </w:r>
                </w:p>
              </w:tc>
              <w:tc>
                <w:tcPr>
                  <w:tcW w:w="302" w:type="pct"/>
                  <w:noWrap w:val="0"/>
                  <w:vAlign w:val="center"/>
                </w:tcPr>
                <w:p w14:paraId="084BB098">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数量</w:t>
                  </w:r>
                </w:p>
              </w:tc>
              <w:tc>
                <w:tcPr>
                  <w:tcW w:w="704" w:type="pct"/>
                  <w:noWrap w:val="0"/>
                  <w:vAlign w:val="center"/>
                </w:tcPr>
                <w:p w14:paraId="066F988F">
                  <w:pPr>
                    <w:autoSpaceDE w:val="0"/>
                    <w:autoSpaceDN w:val="0"/>
                    <w:adjustRightInd w:val="0"/>
                    <w:snapToGrid w:val="0"/>
                    <w:jc w:val="center"/>
                    <w:rPr>
                      <w:rFonts w:ascii="Times New Roman" w:hAnsi="Times New Roman" w:eastAsia="宋体" w:cs="Times New Roman"/>
                      <w:b/>
                      <w:color w:val="auto"/>
                      <w:szCs w:val="21"/>
                    </w:rPr>
                  </w:pPr>
                  <w:r>
                    <w:rPr>
                      <w:rFonts w:hint="eastAsia" w:cs="Times New Roman"/>
                      <w:b/>
                      <w:color w:val="auto"/>
                      <w:szCs w:val="21"/>
                      <w:lang w:eastAsia="zh-CN"/>
                    </w:rPr>
                    <w:t>组分</w:t>
                  </w:r>
                </w:p>
              </w:tc>
              <w:tc>
                <w:tcPr>
                  <w:tcW w:w="481" w:type="pct"/>
                  <w:noWrap w:val="0"/>
                  <w:vAlign w:val="center"/>
                </w:tcPr>
                <w:p w14:paraId="380EEB29">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比例</w:t>
                  </w:r>
                </w:p>
              </w:tc>
              <w:tc>
                <w:tcPr>
                  <w:tcW w:w="581" w:type="pct"/>
                  <w:noWrap w:val="0"/>
                  <w:vAlign w:val="center"/>
                </w:tcPr>
                <w:p w14:paraId="6F1E9BA4">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数量</w:t>
                  </w:r>
                </w:p>
              </w:tc>
              <w:tc>
                <w:tcPr>
                  <w:tcW w:w="1592" w:type="pct"/>
                  <w:gridSpan w:val="2"/>
                  <w:noWrap w:val="0"/>
                  <w:vAlign w:val="center"/>
                </w:tcPr>
                <w:p w14:paraId="413FB043">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项目</w:t>
                  </w:r>
                </w:p>
              </w:tc>
              <w:tc>
                <w:tcPr>
                  <w:tcW w:w="684" w:type="pct"/>
                  <w:noWrap w:val="0"/>
                  <w:vAlign w:val="center"/>
                </w:tcPr>
                <w:p w14:paraId="1A060759">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数量</w:t>
                  </w:r>
                </w:p>
              </w:tc>
            </w:tr>
            <w:tr w14:paraId="4F17B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19" w:hRule="atLeast"/>
              </w:trPr>
              <w:tc>
                <w:tcPr>
                  <w:tcW w:w="653" w:type="pct"/>
                  <w:vMerge w:val="restart"/>
                  <w:noWrap w:val="0"/>
                  <w:vAlign w:val="center"/>
                </w:tcPr>
                <w:p w14:paraId="25E54139">
                  <w:pPr>
                    <w:jc w:val="center"/>
                    <w:rPr>
                      <w:rFonts w:ascii="Times New Roman" w:hAnsi="Times New Roman" w:eastAsia="宋体" w:cs="Times New Roman"/>
                      <w:color w:val="auto"/>
                      <w:szCs w:val="21"/>
                    </w:rPr>
                  </w:pPr>
                  <w:r>
                    <w:rPr>
                      <w:rFonts w:hint="eastAsia" w:ascii="Times New Roman" w:hAnsi="Times New Roman" w:cs="Times New Roman"/>
                      <w:color w:val="auto"/>
                      <w:szCs w:val="21"/>
                      <w:lang w:val="en-US" w:eastAsia="zh-CN"/>
                    </w:rPr>
                    <w:t>富锌环氧底漆</w:t>
                  </w:r>
                </w:p>
              </w:tc>
              <w:tc>
                <w:tcPr>
                  <w:tcW w:w="302" w:type="pct"/>
                  <w:vMerge w:val="restart"/>
                  <w:noWrap w:val="0"/>
                  <w:vAlign w:val="center"/>
                </w:tcPr>
                <w:p w14:paraId="6D01F2B2">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704" w:type="pct"/>
                  <w:noWrap w:val="0"/>
                  <w:vAlign w:val="center"/>
                </w:tcPr>
                <w:p w14:paraId="0CBCA5CF">
                  <w:pPr>
                    <w:autoSpaceDE w:val="0"/>
                    <w:autoSpaceDN w:val="0"/>
                    <w:adjustRightInd w:val="0"/>
                    <w:snapToGrid w:val="0"/>
                    <w:jc w:val="center"/>
                    <w:rPr>
                      <w:rFonts w:ascii="Times New Roman" w:hAnsi="Times New Roman" w:eastAsia="宋体" w:cs="Times New Roman"/>
                      <w:color w:val="auto"/>
                      <w:szCs w:val="21"/>
                    </w:rPr>
                  </w:pPr>
                  <w:r>
                    <w:rPr>
                      <w:rFonts w:hint="eastAsia" w:cs="Times New Roman"/>
                      <w:color w:val="auto"/>
                      <w:szCs w:val="21"/>
                      <w:lang w:eastAsia="zh-CN"/>
                    </w:rPr>
                    <w:t>挥发分</w:t>
                  </w:r>
                  <w:r>
                    <w:rPr>
                      <w:rFonts w:ascii="Times New Roman" w:hAnsi="Times New Roman" w:eastAsia="宋体" w:cs="Times New Roman"/>
                      <w:color w:val="auto"/>
                      <w:szCs w:val="21"/>
                    </w:rPr>
                    <w:t>（VOCs）</w:t>
                  </w:r>
                </w:p>
              </w:tc>
              <w:tc>
                <w:tcPr>
                  <w:tcW w:w="481" w:type="pct"/>
                  <w:noWrap w:val="0"/>
                  <w:vAlign w:val="center"/>
                </w:tcPr>
                <w:p w14:paraId="3EE23A79">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2</w:t>
                  </w:r>
                  <w:r>
                    <w:rPr>
                      <w:rFonts w:hint="eastAsia" w:ascii="Times New Roman" w:hAnsi="Times New Roman" w:eastAsia="宋体" w:cs="Times New Roman"/>
                      <w:color w:val="auto"/>
                      <w:szCs w:val="21"/>
                    </w:rPr>
                    <w:t>0</w:t>
                  </w:r>
                  <w:r>
                    <w:rPr>
                      <w:rFonts w:ascii="Times New Roman" w:hAnsi="Times New Roman" w:eastAsia="宋体" w:cs="Times New Roman"/>
                      <w:color w:val="auto"/>
                      <w:szCs w:val="21"/>
                    </w:rPr>
                    <w:t>%</w:t>
                  </w:r>
                </w:p>
              </w:tc>
              <w:tc>
                <w:tcPr>
                  <w:tcW w:w="581" w:type="pct"/>
                  <w:noWrap w:val="0"/>
                  <w:vAlign w:val="center"/>
                </w:tcPr>
                <w:p w14:paraId="100C9D17">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0.4</w:t>
                  </w:r>
                </w:p>
              </w:tc>
              <w:tc>
                <w:tcPr>
                  <w:tcW w:w="845" w:type="pct"/>
                  <w:noWrap w:val="0"/>
                  <w:vAlign w:val="center"/>
                </w:tcPr>
                <w:p w14:paraId="65D415DA">
                  <w:pPr>
                    <w:autoSpaceDE w:val="0"/>
                    <w:autoSpaceDN w:val="0"/>
                    <w:adjustRightInd w:val="0"/>
                    <w:snapToGrid w:val="0"/>
                    <w:jc w:val="center"/>
                    <w:rPr>
                      <w:rFonts w:ascii="Times New Roman" w:hAnsi="Times New Roman" w:eastAsia="宋体" w:cs="Times New Roman"/>
                      <w:color w:val="auto"/>
                      <w:szCs w:val="21"/>
                    </w:rPr>
                  </w:pPr>
                  <w:r>
                    <w:rPr>
                      <w:rFonts w:hint="eastAsia" w:cs="Times New Roman"/>
                      <w:color w:val="auto"/>
                      <w:szCs w:val="21"/>
                      <w:lang w:val="en-US" w:eastAsia="zh-CN"/>
                    </w:rPr>
                    <w:t>调漆、喷漆、烤漆有机</w:t>
                  </w:r>
                  <w:r>
                    <w:rPr>
                      <w:rFonts w:ascii="Times New Roman" w:hAnsi="Times New Roman" w:eastAsia="宋体" w:cs="Times New Roman"/>
                      <w:color w:val="auto"/>
                      <w:szCs w:val="21"/>
                    </w:rPr>
                    <w:t>废气</w:t>
                  </w:r>
                </w:p>
              </w:tc>
              <w:tc>
                <w:tcPr>
                  <w:tcW w:w="746" w:type="pct"/>
                  <w:noWrap w:val="0"/>
                  <w:vAlign w:val="center"/>
                </w:tcPr>
                <w:p w14:paraId="34CFA589">
                  <w:pPr>
                    <w:autoSpaceDE w:val="0"/>
                    <w:autoSpaceDN w:val="0"/>
                    <w:adjustRightInd w:val="0"/>
                    <w:snapToGrid w:val="0"/>
                    <w:jc w:val="center"/>
                    <w:rPr>
                      <w:rFonts w:ascii="Times New Roman" w:hAnsi="Times New Roman" w:eastAsia="宋体" w:cs="Times New Roman"/>
                      <w:color w:val="auto"/>
                      <w:szCs w:val="21"/>
                    </w:rPr>
                  </w:pPr>
                  <w:r>
                    <w:rPr>
                      <w:rFonts w:hint="eastAsia" w:cs="Times New Roman"/>
                      <w:color w:val="auto"/>
                      <w:szCs w:val="21"/>
                      <w:lang w:eastAsia="zh-CN"/>
                    </w:rPr>
                    <w:t>挥发分</w:t>
                  </w:r>
                  <w:r>
                    <w:rPr>
                      <w:rFonts w:ascii="Times New Roman" w:hAnsi="Times New Roman" w:eastAsia="宋体" w:cs="Times New Roman"/>
                      <w:color w:val="auto"/>
                      <w:szCs w:val="21"/>
                    </w:rPr>
                    <w:t>（VOCs）</w:t>
                  </w:r>
                </w:p>
              </w:tc>
              <w:tc>
                <w:tcPr>
                  <w:tcW w:w="684" w:type="pct"/>
                  <w:noWrap w:val="0"/>
                  <w:vAlign w:val="center"/>
                </w:tcPr>
                <w:p w14:paraId="7CEFBDD7">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4.3</w:t>
                  </w:r>
                </w:p>
              </w:tc>
            </w:tr>
            <w:tr w14:paraId="28B22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34" w:hRule="atLeast"/>
              </w:trPr>
              <w:tc>
                <w:tcPr>
                  <w:tcW w:w="653" w:type="pct"/>
                  <w:vMerge w:val="continue"/>
                  <w:noWrap w:val="0"/>
                  <w:vAlign w:val="center"/>
                </w:tcPr>
                <w:p w14:paraId="24D4187E">
                  <w:pPr>
                    <w:autoSpaceDE w:val="0"/>
                    <w:autoSpaceDN w:val="0"/>
                    <w:adjustRightInd w:val="0"/>
                    <w:snapToGrid w:val="0"/>
                    <w:jc w:val="center"/>
                    <w:rPr>
                      <w:rFonts w:ascii="Times New Roman" w:hAnsi="Times New Roman" w:eastAsia="宋体" w:cs="Times New Roman"/>
                      <w:color w:val="auto"/>
                      <w:szCs w:val="21"/>
                    </w:rPr>
                  </w:pPr>
                </w:p>
              </w:tc>
              <w:tc>
                <w:tcPr>
                  <w:tcW w:w="302" w:type="pct"/>
                  <w:vMerge w:val="continue"/>
                  <w:noWrap w:val="0"/>
                  <w:vAlign w:val="center"/>
                </w:tcPr>
                <w:p w14:paraId="1164C10A">
                  <w:pPr>
                    <w:autoSpaceDE w:val="0"/>
                    <w:autoSpaceDN w:val="0"/>
                    <w:adjustRightInd w:val="0"/>
                    <w:snapToGrid w:val="0"/>
                    <w:jc w:val="center"/>
                    <w:rPr>
                      <w:rFonts w:ascii="Times New Roman" w:hAnsi="Times New Roman" w:eastAsia="宋体" w:cs="Times New Roman"/>
                      <w:color w:val="auto"/>
                      <w:szCs w:val="21"/>
                    </w:rPr>
                  </w:pPr>
                </w:p>
              </w:tc>
              <w:tc>
                <w:tcPr>
                  <w:tcW w:w="704" w:type="pct"/>
                  <w:vMerge w:val="restart"/>
                  <w:noWrap w:val="0"/>
                  <w:vAlign w:val="center"/>
                </w:tcPr>
                <w:p w14:paraId="3B19D18E">
                  <w:pPr>
                    <w:autoSpaceDE w:val="0"/>
                    <w:autoSpaceDN w:val="0"/>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固体分</w:t>
                  </w:r>
                </w:p>
              </w:tc>
              <w:tc>
                <w:tcPr>
                  <w:tcW w:w="481" w:type="pct"/>
                  <w:vMerge w:val="restart"/>
                  <w:noWrap w:val="0"/>
                  <w:vAlign w:val="center"/>
                </w:tcPr>
                <w:p w14:paraId="051BAD35">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8</w:t>
                  </w:r>
                  <w:r>
                    <w:rPr>
                      <w:rFonts w:hint="eastAsia" w:ascii="Times New Roman" w:hAnsi="Times New Roman" w:eastAsia="宋体" w:cs="Times New Roman"/>
                      <w:color w:val="auto"/>
                      <w:szCs w:val="21"/>
                    </w:rPr>
                    <w:t>0</w:t>
                  </w:r>
                  <w:r>
                    <w:rPr>
                      <w:rFonts w:ascii="Times New Roman" w:hAnsi="Times New Roman" w:eastAsia="宋体" w:cs="Times New Roman"/>
                      <w:color w:val="auto"/>
                      <w:szCs w:val="21"/>
                    </w:rPr>
                    <w:t>%</w:t>
                  </w:r>
                </w:p>
              </w:tc>
              <w:tc>
                <w:tcPr>
                  <w:tcW w:w="581" w:type="pct"/>
                  <w:vMerge w:val="restart"/>
                  <w:noWrap w:val="0"/>
                  <w:vAlign w:val="center"/>
                </w:tcPr>
                <w:p w14:paraId="4F4E33D7">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1.6</w:t>
                  </w:r>
                </w:p>
              </w:tc>
              <w:tc>
                <w:tcPr>
                  <w:tcW w:w="845" w:type="pct"/>
                  <w:shd w:val="clear" w:color="auto" w:fill="auto"/>
                  <w:noWrap w:val="0"/>
                  <w:vAlign w:val="center"/>
                </w:tcPr>
                <w:p w14:paraId="0792EEFE">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喷漆漆雾</w:t>
                  </w:r>
                </w:p>
              </w:tc>
              <w:tc>
                <w:tcPr>
                  <w:tcW w:w="746" w:type="pct"/>
                  <w:shd w:val="clear" w:color="auto" w:fill="auto"/>
                  <w:noWrap w:val="0"/>
                  <w:vAlign w:val="center"/>
                </w:tcPr>
                <w:p w14:paraId="65EADFDF">
                  <w:pPr>
                    <w:autoSpaceDE w:val="0"/>
                    <w:autoSpaceDN w:val="0"/>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颗粒物</w:t>
                  </w:r>
                </w:p>
              </w:tc>
              <w:tc>
                <w:tcPr>
                  <w:tcW w:w="684" w:type="pct"/>
                  <w:shd w:val="clear" w:color="auto" w:fill="auto"/>
                  <w:noWrap w:val="0"/>
                  <w:vAlign w:val="center"/>
                </w:tcPr>
                <w:p w14:paraId="2FA644D3">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0.7595</w:t>
                  </w:r>
                </w:p>
              </w:tc>
            </w:tr>
            <w:tr w14:paraId="0BB45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20" w:hRule="atLeast"/>
              </w:trPr>
              <w:tc>
                <w:tcPr>
                  <w:tcW w:w="653" w:type="pct"/>
                  <w:vMerge w:val="continue"/>
                  <w:noWrap w:val="0"/>
                  <w:vAlign w:val="center"/>
                </w:tcPr>
                <w:p w14:paraId="6D7154C5">
                  <w:pPr>
                    <w:autoSpaceDE w:val="0"/>
                    <w:autoSpaceDN w:val="0"/>
                    <w:adjustRightInd w:val="0"/>
                    <w:snapToGrid w:val="0"/>
                    <w:jc w:val="center"/>
                    <w:rPr>
                      <w:rFonts w:ascii="Times New Roman" w:hAnsi="Times New Roman" w:eastAsia="宋体" w:cs="Times New Roman"/>
                      <w:color w:val="auto"/>
                      <w:szCs w:val="21"/>
                    </w:rPr>
                  </w:pPr>
                </w:p>
              </w:tc>
              <w:tc>
                <w:tcPr>
                  <w:tcW w:w="302" w:type="pct"/>
                  <w:vMerge w:val="continue"/>
                  <w:noWrap w:val="0"/>
                  <w:vAlign w:val="center"/>
                </w:tcPr>
                <w:p w14:paraId="6DA2FED7">
                  <w:pPr>
                    <w:autoSpaceDE w:val="0"/>
                    <w:autoSpaceDN w:val="0"/>
                    <w:adjustRightInd w:val="0"/>
                    <w:snapToGrid w:val="0"/>
                    <w:jc w:val="center"/>
                    <w:rPr>
                      <w:rFonts w:ascii="Times New Roman" w:hAnsi="Times New Roman" w:eastAsia="宋体" w:cs="Times New Roman"/>
                      <w:color w:val="auto"/>
                      <w:szCs w:val="21"/>
                    </w:rPr>
                  </w:pPr>
                </w:p>
              </w:tc>
              <w:tc>
                <w:tcPr>
                  <w:tcW w:w="704" w:type="pct"/>
                  <w:vMerge w:val="continue"/>
                  <w:noWrap w:val="0"/>
                  <w:vAlign w:val="center"/>
                </w:tcPr>
                <w:p w14:paraId="474D21F5">
                  <w:pPr>
                    <w:autoSpaceDE w:val="0"/>
                    <w:autoSpaceDN w:val="0"/>
                    <w:adjustRightInd w:val="0"/>
                    <w:snapToGrid w:val="0"/>
                    <w:jc w:val="center"/>
                    <w:rPr>
                      <w:rFonts w:ascii="Times New Roman" w:hAnsi="Times New Roman" w:eastAsia="宋体" w:cs="Times New Roman"/>
                      <w:color w:val="auto"/>
                      <w:szCs w:val="21"/>
                    </w:rPr>
                  </w:pPr>
                </w:p>
              </w:tc>
              <w:tc>
                <w:tcPr>
                  <w:tcW w:w="481" w:type="pct"/>
                  <w:vMerge w:val="continue"/>
                  <w:noWrap w:val="0"/>
                  <w:vAlign w:val="center"/>
                </w:tcPr>
                <w:p w14:paraId="2AA8D542">
                  <w:pPr>
                    <w:autoSpaceDE w:val="0"/>
                    <w:autoSpaceDN w:val="0"/>
                    <w:adjustRightInd w:val="0"/>
                    <w:snapToGrid w:val="0"/>
                    <w:jc w:val="center"/>
                    <w:textAlignment w:val="center"/>
                    <w:rPr>
                      <w:rFonts w:hint="eastAsia" w:cs="Times New Roman"/>
                      <w:color w:val="auto"/>
                      <w:szCs w:val="21"/>
                      <w:lang w:val="en-US" w:eastAsia="zh-CN"/>
                    </w:rPr>
                  </w:pPr>
                </w:p>
              </w:tc>
              <w:tc>
                <w:tcPr>
                  <w:tcW w:w="581" w:type="pct"/>
                  <w:vMerge w:val="continue"/>
                  <w:noWrap w:val="0"/>
                  <w:vAlign w:val="center"/>
                </w:tcPr>
                <w:p w14:paraId="41DCE63B">
                  <w:pPr>
                    <w:widowControl/>
                    <w:jc w:val="center"/>
                    <w:textAlignment w:val="center"/>
                    <w:rPr>
                      <w:rFonts w:hint="eastAsia" w:cs="Times New Roman"/>
                      <w:color w:val="auto"/>
                      <w:szCs w:val="21"/>
                      <w:lang w:val="en-US" w:eastAsia="zh-CN"/>
                    </w:rPr>
                  </w:pPr>
                </w:p>
              </w:tc>
              <w:tc>
                <w:tcPr>
                  <w:tcW w:w="845" w:type="pct"/>
                  <w:shd w:val="clear" w:color="auto" w:fill="auto"/>
                  <w:noWrap w:val="0"/>
                  <w:vAlign w:val="center"/>
                </w:tcPr>
                <w:p w14:paraId="156E02A6">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漆渣</w:t>
                  </w:r>
                </w:p>
              </w:tc>
              <w:tc>
                <w:tcPr>
                  <w:tcW w:w="746" w:type="pct"/>
                  <w:shd w:val="clear" w:color="auto" w:fill="auto"/>
                  <w:noWrap w:val="0"/>
                  <w:vAlign w:val="center"/>
                </w:tcPr>
                <w:p w14:paraId="040F4E21">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固体分</w:t>
                  </w:r>
                </w:p>
              </w:tc>
              <w:tc>
                <w:tcPr>
                  <w:tcW w:w="684" w:type="pct"/>
                  <w:shd w:val="clear" w:color="auto" w:fill="auto"/>
                  <w:noWrap w:val="0"/>
                  <w:vAlign w:val="center"/>
                </w:tcPr>
                <w:p w14:paraId="01A8382B">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0.3255</w:t>
                  </w:r>
                </w:p>
              </w:tc>
            </w:tr>
            <w:tr w14:paraId="20A25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17" w:hRule="atLeast"/>
              </w:trPr>
              <w:tc>
                <w:tcPr>
                  <w:tcW w:w="653" w:type="pct"/>
                  <w:vMerge w:val="restart"/>
                  <w:noWrap w:val="0"/>
                  <w:vAlign w:val="center"/>
                </w:tcPr>
                <w:p w14:paraId="78B7BBFB">
                  <w:pPr>
                    <w:jc w:val="center"/>
                    <w:rPr>
                      <w:rFonts w:ascii="Times New Roman" w:hAnsi="Times New Roman" w:eastAsia="宋体" w:cs="Times New Roman"/>
                      <w:color w:val="auto"/>
                      <w:szCs w:val="21"/>
                    </w:rPr>
                  </w:pPr>
                  <w:r>
                    <w:rPr>
                      <w:rFonts w:hint="eastAsia" w:cs="Times New Roman"/>
                      <w:color w:val="auto"/>
                      <w:szCs w:val="21"/>
                      <w:lang w:val="en-US" w:eastAsia="zh-CN"/>
                    </w:rPr>
                    <w:t>环氧底漆</w:t>
                  </w:r>
                  <w:r>
                    <w:rPr>
                      <w:rFonts w:hint="eastAsia" w:ascii="Times New Roman" w:hAnsi="Times New Roman" w:cs="Times New Roman"/>
                      <w:color w:val="auto"/>
                      <w:szCs w:val="21"/>
                      <w:lang w:val="en-US" w:eastAsia="zh-CN"/>
                    </w:rPr>
                    <w:t>稀释剂</w:t>
                  </w:r>
                </w:p>
              </w:tc>
              <w:tc>
                <w:tcPr>
                  <w:tcW w:w="302" w:type="pct"/>
                  <w:vMerge w:val="restart"/>
                  <w:noWrap w:val="0"/>
                  <w:vAlign w:val="center"/>
                </w:tcPr>
                <w:p w14:paraId="0BF9A422">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1.5</w:t>
                  </w:r>
                </w:p>
              </w:tc>
              <w:tc>
                <w:tcPr>
                  <w:tcW w:w="704" w:type="pct"/>
                  <w:vMerge w:val="restart"/>
                  <w:noWrap w:val="0"/>
                  <w:vAlign w:val="center"/>
                </w:tcPr>
                <w:p w14:paraId="1891A399">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eastAsia="zh-CN"/>
                    </w:rPr>
                    <w:t>挥发分</w:t>
                  </w:r>
                  <w:r>
                    <w:rPr>
                      <w:rFonts w:ascii="Times New Roman" w:hAnsi="Times New Roman" w:eastAsia="宋体" w:cs="Times New Roman"/>
                      <w:color w:val="auto"/>
                      <w:szCs w:val="21"/>
                    </w:rPr>
                    <w:t>（VOCs）</w:t>
                  </w:r>
                </w:p>
              </w:tc>
              <w:tc>
                <w:tcPr>
                  <w:tcW w:w="481" w:type="pct"/>
                  <w:vMerge w:val="restart"/>
                  <w:noWrap w:val="0"/>
                  <w:vAlign w:val="center"/>
                </w:tcPr>
                <w:p w14:paraId="2E5659A4">
                  <w:pPr>
                    <w:autoSpaceDE w:val="0"/>
                    <w:autoSpaceDN w:val="0"/>
                    <w:adjustRightInd w:val="0"/>
                    <w:snapToGrid w:val="0"/>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100%</w:t>
                  </w:r>
                </w:p>
              </w:tc>
              <w:tc>
                <w:tcPr>
                  <w:tcW w:w="581" w:type="pct"/>
                  <w:vMerge w:val="restart"/>
                  <w:noWrap w:val="0"/>
                  <w:vAlign w:val="center"/>
                </w:tcPr>
                <w:p w14:paraId="7B8195FC">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1.5</w:t>
                  </w:r>
                </w:p>
              </w:tc>
              <w:tc>
                <w:tcPr>
                  <w:tcW w:w="845" w:type="pct"/>
                  <w:noWrap w:val="0"/>
                  <w:vAlign w:val="center"/>
                </w:tcPr>
                <w:p w14:paraId="52429935">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打磨粉尘</w:t>
                  </w:r>
                </w:p>
              </w:tc>
              <w:tc>
                <w:tcPr>
                  <w:tcW w:w="746" w:type="pct"/>
                  <w:shd w:val="clear" w:color="auto" w:fill="auto"/>
                  <w:noWrap w:val="0"/>
                  <w:vAlign w:val="center"/>
                </w:tcPr>
                <w:p w14:paraId="631A0781">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固体分</w:t>
                  </w:r>
                </w:p>
              </w:tc>
              <w:tc>
                <w:tcPr>
                  <w:tcW w:w="684" w:type="pct"/>
                  <w:noWrap w:val="0"/>
                  <w:vAlign w:val="center"/>
                </w:tcPr>
                <w:p w14:paraId="075F1550">
                  <w:pPr>
                    <w:widowControl/>
                    <w:jc w:val="center"/>
                    <w:textAlignment w:val="center"/>
                    <w:rPr>
                      <w:rFonts w:hint="default" w:cs="Times New Roman"/>
                      <w:color w:val="auto"/>
                      <w:szCs w:val="21"/>
                      <w:lang w:val="en-US" w:eastAsia="zh-CN"/>
                    </w:rPr>
                  </w:pPr>
                  <w:r>
                    <w:rPr>
                      <w:rFonts w:hint="eastAsia" w:cs="Times New Roman"/>
                      <w:color w:val="auto"/>
                      <w:szCs w:val="21"/>
                      <w:lang w:val="en-US" w:eastAsia="zh-CN"/>
                    </w:rPr>
                    <w:t>0.334</w:t>
                  </w:r>
                </w:p>
              </w:tc>
            </w:tr>
            <w:tr w14:paraId="1787C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37" w:hRule="atLeast"/>
              </w:trPr>
              <w:tc>
                <w:tcPr>
                  <w:tcW w:w="653" w:type="pct"/>
                  <w:vMerge w:val="continue"/>
                  <w:noWrap w:val="0"/>
                  <w:vAlign w:val="center"/>
                </w:tcPr>
                <w:p w14:paraId="5FD6A41B">
                  <w:pPr>
                    <w:jc w:val="center"/>
                    <w:rPr>
                      <w:rFonts w:hint="eastAsia" w:cs="Times New Roman"/>
                      <w:color w:val="auto"/>
                      <w:szCs w:val="21"/>
                      <w:lang w:val="en-US" w:eastAsia="zh-CN"/>
                    </w:rPr>
                  </w:pPr>
                </w:p>
              </w:tc>
              <w:tc>
                <w:tcPr>
                  <w:tcW w:w="302" w:type="pct"/>
                  <w:vMerge w:val="continue"/>
                  <w:noWrap w:val="0"/>
                  <w:vAlign w:val="center"/>
                </w:tcPr>
                <w:p w14:paraId="3D97E28F">
                  <w:pPr>
                    <w:autoSpaceDE w:val="0"/>
                    <w:autoSpaceDN w:val="0"/>
                    <w:adjustRightInd w:val="0"/>
                    <w:snapToGrid w:val="0"/>
                    <w:jc w:val="center"/>
                    <w:textAlignment w:val="center"/>
                    <w:rPr>
                      <w:rFonts w:hint="eastAsia" w:cs="Times New Roman"/>
                      <w:color w:val="auto"/>
                      <w:szCs w:val="21"/>
                      <w:lang w:val="en-US" w:eastAsia="zh-CN"/>
                    </w:rPr>
                  </w:pPr>
                </w:p>
              </w:tc>
              <w:tc>
                <w:tcPr>
                  <w:tcW w:w="704" w:type="pct"/>
                  <w:vMerge w:val="continue"/>
                  <w:noWrap w:val="0"/>
                  <w:vAlign w:val="center"/>
                </w:tcPr>
                <w:p w14:paraId="32185323">
                  <w:pPr>
                    <w:autoSpaceDE w:val="0"/>
                    <w:autoSpaceDN w:val="0"/>
                    <w:adjustRightInd w:val="0"/>
                    <w:snapToGrid w:val="0"/>
                    <w:jc w:val="center"/>
                    <w:textAlignment w:val="center"/>
                    <w:rPr>
                      <w:rFonts w:hint="eastAsia" w:cs="Times New Roman"/>
                      <w:color w:val="auto"/>
                      <w:szCs w:val="21"/>
                      <w:lang w:eastAsia="zh-CN"/>
                    </w:rPr>
                  </w:pPr>
                </w:p>
              </w:tc>
              <w:tc>
                <w:tcPr>
                  <w:tcW w:w="481" w:type="pct"/>
                  <w:vMerge w:val="continue"/>
                  <w:noWrap w:val="0"/>
                  <w:vAlign w:val="center"/>
                </w:tcPr>
                <w:p w14:paraId="76E9CA37">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581" w:type="pct"/>
                  <w:vMerge w:val="continue"/>
                  <w:noWrap w:val="0"/>
                  <w:vAlign w:val="center"/>
                </w:tcPr>
                <w:p w14:paraId="3EF9395D">
                  <w:pPr>
                    <w:widowControl/>
                    <w:jc w:val="center"/>
                    <w:textAlignment w:val="center"/>
                    <w:rPr>
                      <w:rFonts w:hint="eastAsia" w:cs="Times New Roman"/>
                      <w:color w:val="auto"/>
                      <w:szCs w:val="21"/>
                      <w:lang w:val="en-US" w:eastAsia="zh-CN"/>
                    </w:rPr>
                  </w:pPr>
                </w:p>
              </w:tc>
              <w:tc>
                <w:tcPr>
                  <w:tcW w:w="845" w:type="pct"/>
                  <w:noWrap w:val="0"/>
                  <w:vAlign w:val="center"/>
                </w:tcPr>
                <w:p w14:paraId="4B15BAFA">
                  <w:pPr>
                    <w:widowControl/>
                    <w:jc w:val="center"/>
                    <w:textAlignment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打磨边角料</w:t>
                  </w:r>
                </w:p>
              </w:tc>
              <w:tc>
                <w:tcPr>
                  <w:tcW w:w="746" w:type="pct"/>
                  <w:shd w:val="clear" w:color="auto" w:fill="auto"/>
                  <w:noWrap w:val="0"/>
                  <w:vAlign w:val="center"/>
                </w:tcPr>
                <w:p w14:paraId="14C73B99">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固体分</w:t>
                  </w:r>
                </w:p>
              </w:tc>
              <w:tc>
                <w:tcPr>
                  <w:tcW w:w="684" w:type="pct"/>
                  <w:noWrap w:val="0"/>
                  <w:vAlign w:val="center"/>
                </w:tcPr>
                <w:p w14:paraId="23CA9A4F">
                  <w:pPr>
                    <w:widowControl/>
                    <w:jc w:val="center"/>
                    <w:textAlignment w:val="center"/>
                    <w:rPr>
                      <w:rFonts w:hint="default" w:cs="Times New Roman"/>
                      <w:color w:val="auto"/>
                      <w:szCs w:val="21"/>
                      <w:lang w:val="en-US" w:eastAsia="zh-CN"/>
                    </w:rPr>
                  </w:pPr>
                  <w:r>
                    <w:rPr>
                      <w:rFonts w:hint="eastAsia" w:cs="Times New Roman"/>
                      <w:color w:val="auto"/>
                      <w:szCs w:val="21"/>
                      <w:lang w:val="en-US" w:eastAsia="zh-CN"/>
                    </w:rPr>
                    <w:t>0.02</w:t>
                  </w:r>
                </w:p>
              </w:tc>
            </w:tr>
            <w:tr w14:paraId="3ECB7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12" w:hRule="atLeast"/>
              </w:trPr>
              <w:tc>
                <w:tcPr>
                  <w:tcW w:w="653" w:type="pct"/>
                  <w:noWrap w:val="0"/>
                  <w:vAlign w:val="center"/>
                </w:tcPr>
                <w:p w14:paraId="6FF4B993">
                  <w:pPr>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szCs w:val="21"/>
                      <w:lang w:val="en-US" w:eastAsia="zh-CN"/>
                    </w:rPr>
                    <w:t>聚氨酯</w:t>
                  </w:r>
                  <w:r>
                    <w:rPr>
                      <w:rFonts w:hint="eastAsia" w:cs="Times New Roman"/>
                      <w:color w:val="auto"/>
                      <w:szCs w:val="21"/>
                      <w:lang w:val="en-US" w:eastAsia="zh-CN"/>
                    </w:rPr>
                    <w:t>稀释剂</w:t>
                  </w:r>
                </w:p>
              </w:tc>
              <w:tc>
                <w:tcPr>
                  <w:tcW w:w="302" w:type="pct"/>
                  <w:noWrap w:val="0"/>
                  <w:vAlign w:val="center"/>
                </w:tcPr>
                <w:p w14:paraId="56F6B44A">
                  <w:pPr>
                    <w:autoSpaceDE w:val="0"/>
                    <w:autoSpaceDN w:val="0"/>
                    <w:adjustRightInd w:val="0"/>
                    <w:snapToGrid w:val="0"/>
                    <w:jc w:val="center"/>
                    <w:textAlignment w:val="center"/>
                    <w:rPr>
                      <w:rFonts w:hint="default" w:cs="Times New Roman"/>
                      <w:color w:val="auto"/>
                      <w:szCs w:val="21"/>
                      <w:lang w:val="en-US" w:eastAsia="zh-CN"/>
                    </w:rPr>
                  </w:pPr>
                  <w:r>
                    <w:rPr>
                      <w:rFonts w:hint="eastAsia" w:cs="Times New Roman"/>
                      <w:color w:val="auto"/>
                      <w:szCs w:val="21"/>
                      <w:lang w:val="en-US" w:eastAsia="zh-CN"/>
                    </w:rPr>
                    <w:t>1.5</w:t>
                  </w:r>
                </w:p>
              </w:tc>
              <w:tc>
                <w:tcPr>
                  <w:tcW w:w="704" w:type="pct"/>
                  <w:noWrap w:val="0"/>
                  <w:vAlign w:val="center"/>
                </w:tcPr>
                <w:p w14:paraId="6C5830C4">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ascii="Times New Roman" w:hAnsi="Times New Roman" w:cs="Times New Roman"/>
                      <w:color w:val="auto"/>
                      <w:szCs w:val="21"/>
                      <w:lang w:eastAsia="zh-CN"/>
                    </w:rPr>
                    <w:t>挥发分</w:t>
                  </w:r>
                  <w:r>
                    <w:rPr>
                      <w:rFonts w:ascii="Times New Roman" w:hAnsi="Times New Roman" w:eastAsia="宋体" w:cs="Times New Roman"/>
                      <w:color w:val="auto"/>
                      <w:szCs w:val="21"/>
                    </w:rPr>
                    <w:t>（VOCs）</w:t>
                  </w:r>
                </w:p>
              </w:tc>
              <w:tc>
                <w:tcPr>
                  <w:tcW w:w="481" w:type="pct"/>
                  <w:noWrap w:val="0"/>
                  <w:vAlign w:val="center"/>
                </w:tcPr>
                <w:p w14:paraId="0753BCF2">
                  <w:pPr>
                    <w:autoSpaceDE w:val="0"/>
                    <w:autoSpaceDN w:val="0"/>
                    <w:adjustRightInd w:val="0"/>
                    <w:snapToGrid w:val="0"/>
                    <w:jc w:val="center"/>
                    <w:textAlignment w:val="center"/>
                    <w:rPr>
                      <w:rFonts w:ascii="Times New Roman" w:hAnsi="Times New Roman" w:eastAsia="宋体" w:cs="Times New Roman"/>
                      <w:color w:val="auto"/>
                      <w:szCs w:val="21"/>
                    </w:rPr>
                  </w:pPr>
                  <w:r>
                    <w:rPr>
                      <w:rFonts w:ascii="Times New Roman" w:hAnsi="Times New Roman" w:eastAsia="宋体" w:cs="Times New Roman"/>
                      <w:color w:val="auto"/>
                      <w:szCs w:val="21"/>
                    </w:rPr>
                    <w:t>100%</w:t>
                  </w:r>
                </w:p>
              </w:tc>
              <w:tc>
                <w:tcPr>
                  <w:tcW w:w="581" w:type="pct"/>
                  <w:noWrap w:val="0"/>
                  <w:vAlign w:val="center"/>
                </w:tcPr>
                <w:p w14:paraId="64843366">
                  <w:pPr>
                    <w:widowControl/>
                    <w:jc w:val="center"/>
                    <w:textAlignment w:val="center"/>
                    <w:rPr>
                      <w:rFonts w:hint="default" w:cs="Times New Roman"/>
                      <w:color w:val="auto"/>
                      <w:szCs w:val="21"/>
                      <w:lang w:val="en-US" w:eastAsia="zh-CN"/>
                    </w:rPr>
                  </w:pPr>
                  <w:r>
                    <w:rPr>
                      <w:rFonts w:hint="eastAsia" w:cs="Times New Roman"/>
                      <w:color w:val="auto"/>
                      <w:szCs w:val="21"/>
                      <w:lang w:val="en-US" w:eastAsia="zh-CN"/>
                    </w:rPr>
                    <w:t>1.5</w:t>
                  </w:r>
                </w:p>
              </w:tc>
              <w:tc>
                <w:tcPr>
                  <w:tcW w:w="2276" w:type="pct"/>
                  <w:gridSpan w:val="3"/>
                  <w:vMerge w:val="restart"/>
                  <w:noWrap w:val="0"/>
                  <w:vAlign w:val="center"/>
                </w:tcPr>
                <w:p w14:paraId="230549CC">
                  <w:pPr>
                    <w:widowControl/>
                    <w:jc w:val="center"/>
                    <w:textAlignment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w:t>
                  </w:r>
                </w:p>
              </w:tc>
            </w:tr>
            <w:tr w14:paraId="7DD7D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12" w:hRule="atLeast"/>
              </w:trPr>
              <w:tc>
                <w:tcPr>
                  <w:tcW w:w="653" w:type="pct"/>
                  <w:vMerge w:val="restart"/>
                  <w:noWrap w:val="0"/>
                  <w:vAlign w:val="center"/>
                </w:tcPr>
                <w:p w14:paraId="396F52FC">
                  <w:pPr>
                    <w:jc w:val="center"/>
                    <w:rPr>
                      <w:rFonts w:ascii="Times New Roman" w:hAnsi="Times New Roman" w:eastAsia="宋体" w:cs="Times New Roman"/>
                      <w:color w:val="auto"/>
                      <w:szCs w:val="21"/>
                    </w:rPr>
                  </w:pPr>
                  <w:r>
                    <w:rPr>
                      <w:rFonts w:hint="eastAsia" w:ascii="Times New Roman" w:hAnsi="Times New Roman" w:cs="Times New Roman"/>
                      <w:color w:val="auto"/>
                      <w:szCs w:val="21"/>
                      <w:lang w:val="en-US" w:eastAsia="zh-CN"/>
                    </w:rPr>
                    <w:t>聚氨酯面漆</w:t>
                  </w:r>
                </w:p>
              </w:tc>
              <w:tc>
                <w:tcPr>
                  <w:tcW w:w="302" w:type="pct"/>
                  <w:vMerge w:val="restart"/>
                  <w:noWrap w:val="0"/>
                  <w:vAlign w:val="center"/>
                </w:tcPr>
                <w:p w14:paraId="759E9DCA">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704" w:type="pct"/>
                  <w:noWrap w:val="0"/>
                  <w:vAlign w:val="center"/>
                </w:tcPr>
                <w:p w14:paraId="39927A86">
                  <w:pPr>
                    <w:autoSpaceDE w:val="0"/>
                    <w:autoSpaceDN w:val="0"/>
                    <w:adjustRightInd w:val="0"/>
                    <w:snapToGrid w:val="0"/>
                    <w:jc w:val="center"/>
                    <w:textAlignment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固体分</w:t>
                  </w:r>
                </w:p>
              </w:tc>
              <w:tc>
                <w:tcPr>
                  <w:tcW w:w="481" w:type="pct"/>
                  <w:noWrap w:val="0"/>
                  <w:vAlign w:val="center"/>
                </w:tcPr>
                <w:p w14:paraId="7EE851FE">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69</w:t>
                  </w:r>
                  <w:r>
                    <w:rPr>
                      <w:rFonts w:ascii="Times New Roman" w:hAnsi="Times New Roman" w:eastAsia="宋体" w:cs="Times New Roman"/>
                      <w:color w:val="auto"/>
                      <w:szCs w:val="21"/>
                    </w:rPr>
                    <w:t>%</w:t>
                  </w:r>
                </w:p>
              </w:tc>
              <w:tc>
                <w:tcPr>
                  <w:tcW w:w="581" w:type="pct"/>
                  <w:noWrap w:val="0"/>
                  <w:vAlign w:val="center"/>
                </w:tcPr>
                <w:p w14:paraId="1DA39C40">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1.38</w:t>
                  </w:r>
                </w:p>
              </w:tc>
              <w:tc>
                <w:tcPr>
                  <w:tcW w:w="2276" w:type="pct"/>
                  <w:gridSpan w:val="3"/>
                  <w:vMerge w:val="continue"/>
                  <w:noWrap w:val="0"/>
                  <w:vAlign w:val="center"/>
                </w:tcPr>
                <w:p w14:paraId="438F0E89">
                  <w:pPr>
                    <w:widowControl/>
                    <w:jc w:val="center"/>
                    <w:textAlignment w:val="center"/>
                    <w:rPr>
                      <w:rFonts w:hint="default" w:ascii="Times New Roman" w:hAnsi="Times New Roman" w:eastAsia="宋体" w:cs="Times New Roman"/>
                      <w:color w:val="auto"/>
                      <w:kern w:val="2"/>
                      <w:sz w:val="21"/>
                      <w:szCs w:val="21"/>
                      <w:lang w:val="en-US" w:eastAsia="zh-CN" w:bidi="ar-SA"/>
                    </w:rPr>
                  </w:pPr>
                </w:p>
              </w:tc>
            </w:tr>
            <w:tr w14:paraId="0F43B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12" w:hRule="atLeast"/>
              </w:trPr>
              <w:tc>
                <w:tcPr>
                  <w:tcW w:w="653" w:type="pct"/>
                  <w:vMerge w:val="continue"/>
                  <w:noWrap w:val="0"/>
                  <w:vAlign w:val="center"/>
                </w:tcPr>
                <w:p w14:paraId="7F0324B1">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302" w:type="pct"/>
                  <w:vMerge w:val="continue"/>
                  <w:noWrap w:val="0"/>
                  <w:vAlign w:val="center"/>
                </w:tcPr>
                <w:p w14:paraId="04FC54F3">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704" w:type="pct"/>
                  <w:noWrap w:val="0"/>
                  <w:vAlign w:val="center"/>
                </w:tcPr>
                <w:p w14:paraId="2A9A2A81">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eastAsia="zh-CN"/>
                    </w:rPr>
                    <w:t>挥发分</w:t>
                  </w:r>
                  <w:r>
                    <w:rPr>
                      <w:rFonts w:ascii="Times New Roman" w:hAnsi="Times New Roman" w:eastAsia="宋体" w:cs="Times New Roman"/>
                      <w:color w:val="auto"/>
                      <w:szCs w:val="21"/>
                    </w:rPr>
                    <w:t>（VOCs）</w:t>
                  </w:r>
                </w:p>
              </w:tc>
              <w:tc>
                <w:tcPr>
                  <w:tcW w:w="481" w:type="pct"/>
                  <w:noWrap w:val="0"/>
                  <w:vAlign w:val="center"/>
                </w:tcPr>
                <w:p w14:paraId="620AB203">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31</w:t>
                  </w:r>
                  <w:r>
                    <w:rPr>
                      <w:rFonts w:ascii="Times New Roman" w:hAnsi="Times New Roman" w:eastAsia="宋体" w:cs="Times New Roman"/>
                      <w:color w:val="auto"/>
                      <w:szCs w:val="21"/>
                    </w:rPr>
                    <w:t>%</w:t>
                  </w:r>
                </w:p>
              </w:tc>
              <w:tc>
                <w:tcPr>
                  <w:tcW w:w="581" w:type="pct"/>
                  <w:noWrap w:val="0"/>
                  <w:vAlign w:val="center"/>
                </w:tcPr>
                <w:p w14:paraId="5C786D0C">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0.62</w:t>
                  </w:r>
                </w:p>
              </w:tc>
              <w:tc>
                <w:tcPr>
                  <w:tcW w:w="2276" w:type="pct"/>
                  <w:gridSpan w:val="3"/>
                  <w:vMerge w:val="continue"/>
                  <w:shd w:val="clear" w:color="auto" w:fill="auto"/>
                  <w:noWrap w:val="0"/>
                  <w:vAlign w:val="center"/>
                </w:tcPr>
                <w:p w14:paraId="50581E00">
                  <w:pPr>
                    <w:widowControl/>
                    <w:jc w:val="center"/>
                    <w:textAlignment w:val="center"/>
                    <w:rPr>
                      <w:rFonts w:hint="eastAsia" w:ascii="Times New Roman" w:hAnsi="Times New Roman" w:eastAsia="宋体" w:cs="Times New Roman"/>
                      <w:color w:val="auto"/>
                      <w:kern w:val="2"/>
                      <w:sz w:val="21"/>
                      <w:szCs w:val="21"/>
                      <w:lang w:val="en-US" w:eastAsia="zh-CN" w:bidi="ar-SA"/>
                    </w:rPr>
                  </w:pPr>
                </w:p>
              </w:tc>
            </w:tr>
            <w:tr w14:paraId="5FE853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vMerge w:val="restart"/>
                  <w:noWrap w:val="0"/>
                  <w:vAlign w:val="center"/>
                </w:tcPr>
                <w:p w14:paraId="524EA959">
                  <w:pPr>
                    <w:jc w:val="center"/>
                    <w:rPr>
                      <w:rFonts w:ascii="Times New Roman" w:hAnsi="Times New Roman" w:eastAsia="宋体" w:cs="Times New Roman"/>
                      <w:color w:val="auto"/>
                      <w:szCs w:val="21"/>
                    </w:rPr>
                  </w:pPr>
                  <w:r>
                    <w:rPr>
                      <w:rFonts w:hint="eastAsia" w:cs="Times New Roman"/>
                      <w:color w:val="auto"/>
                      <w:szCs w:val="21"/>
                      <w:lang w:val="en-US" w:eastAsia="zh-CN"/>
                    </w:rPr>
                    <w:t>环氧底漆固化剂</w:t>
                  </w:r>
                </w:p>
              </w:tc>
              <w:tc>
                <w:tcPr>
                  <w:tcW w:w="302" w:type="pct"/>
                  <w:vMerge w:val="restart"/>
                  <w:noWrap w:val="0"/>
                  <w:vAlign w:val="center"/>
                </w:tcPr>
                <w:p w14:paraId="2D72AC33">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0.2</w:t>
                  </w:r>
                </w:p>
              </w:tc>
              <w:tc>
                <w:tcPr>
                  <w:tcW w:w="704" w:type="pct"/>
                  <w:noWrap w:val="0"/>
                  <w:vAlign w:val="center"/>
                </w:tcPr>
                <w:p w14:paraId="62B1D466">
                  <w:pPr>
                    <w:autoSpaceDE w:val="0"/>
                    <w:autoSpaceDN w:val="0"/>
                    <w:adjustRightInd w:val="0"/>
                    <w:snapToGrid w:val="0"/>
                    <w:jc w:val="center"/>
                    <w:textAlignment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固体分</w:t>
                  </w:r>
                </w:p>
              </w:tc>
              <w:tc>
                <w:tcPr>
                  <w:tcW w:w="481" w:type="pct"/>
                  <w:noWrap w:val="0"/>
                  <w:vAlign w:val="center"/>
                </w:tcPr>
                <w:p w14:paraId="7607F99F">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30</w:t>
                  </w:r>
                  <w:r>
                    <w:rPr>
                      <w:rFonts w:ascii="Times New Roman" w:hAnsi="Times New Roman" w:eastAsia="宋体" w:cs="Times New Roman"/>
                      <w:color w:val="auto"/>
                      <w:szCs w:val="21"/>
                    </w:rPr>
                    <w:t>%</w:t>
                  </w:r>
                </w:p>
              </w:tc>
              <w:tc>
                <w:tcPr>
                  <w:tcW w:w="581" w:type="pct"/>
                  <w:noWrap w:val="0"/>
                  <w:vAlign w:val="center"/>
                </w:tcPr>
                <w:p w14:paraId="13A0C87E">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0.06</w:t>
                  </w:r>
                </w:p>
              </w:tc>
              <w:tc>
                <w:tcPr>
                  <w:tcW w:w="2276" w:type="pct"/>
                  <w:gridSpan w:val="3"/>
                  <w:vMerge w:val="continue"/>
                  <w:noWrap w:val="0"/>
                  <w:vAlign w:val="center"/>
                </w:tcPr>
                <w:p w14:paraId="14C14DE8">
                  <w:pPr>
                    <w:widowControl/>
                    <w:jc w:val="center"/>
                    <w:textAlignment w:val="center"/>
                    <w:rPr>
                      <w:rFonts w:hint="default" w:ascii="Times New Roman" w:hAnsi="Times New Roman" w:eastAsia="宋体" w:cs="Times New Roman"/>
                      <w:color w:val="auto"/>
                      <w:szCs w:val="21"/>
                      <w:lang w:val="en-US" w:eastAsia="zh-CN"/>
                    </w:rPr>
                  </w:pPr>
                </w:p>
              </w:tc>
            </w:tr>
            <w:tr w14:paraId="01E17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vMerge w:val="continue"/>
                  <w:noWrap w:val="0"/>
                  <w:vAlign w:val="center"/>
                </w:tcPr>
                <w:p w14:paraId="306F0215">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302" w:type="pct"/>
                  <w:vMerge w:val="continue"/>
                  <w:noWrap w:val="0"/>
                  <w:vAlign w:val="center"/>
                </w:tcPr>
                <w:p w14:paraId="5EA4AD27">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704" w:type="pct"/>
                  <w:noWrap w:val="0"/>
                  <w:vAlign w:val="center"/>
                </w:tcPr>
                <w:p w14:paraId="4DABC1B2">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eastAsia="zh-CN"/>
                    </w:rPr>
                    <w:t>挥发分</w:t>
                  </w:r>
                  <w:r>
                    <w:rPr>
                      <w:rFonts w:ascii="Times New Roman" w:hAnsi="Times New Roman" w:eastAsia="宋体" w:cs="Times New Roman"/>
                      <w:color w:val="auto"/>
                      <w:szCs w:val="21"/>
                    </w:rPr>
                    <w:t>（VOCs）</w:t>
                  </w:r>
                </w:p>
              </w:tc>
              <w:tc>
                <w:tcPr>
                  <w:tcW w:w="481" w:type="pct"/>
                  <w:noWrap w:val="0"/>
                  <w:vAlign w:val="center"/>
                </w:tcPr>
                <w:p w14:paraId="0778E823">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70</w:t>
                  </w:r>
                  <w:r>
                    <w:rPr>
                      <w:rFonts w:ascii="Times New Roman" w:hAnsi="Times New Roman" w:eastAsia="宋体" w:cs="Times New Roman"/>
                      <w:color w:val="auto"/>
                      <w:szCs w:val="21"/>
                    </w:rPr>
                    <w:t>%</w:t>
                  </w:r>
                </w:p>
              </w:tc>
              <w:tc>
                <w:tcPr>
                  <w:tcW w:w="581" w:type="pct"/>
                  <w:noWrap w:val="0"/>
                  <w:vAlign w:val="center"/>
                </w:tcPr>
                <w:p w14:paraId="16804FAB">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0.14</w:t>
                  </w:r>
                </w:p>
              </w:tc>
              <w:tc>
                <w:tcPr>
                  <w:tcW w:w="2276" w:type="pct"/>
                  <w:gridSpan w:val="3"/>
                  <w:vMerge w:val="continue"/>
                  <w:noWrap w:val="0"/>
                  <w:vAlign w:val="center"/>
                </w:tcPr>
                <w:p w14:paraId="18BB8CA6">
                  <w:pPr>
                    <w:widowControl/>
                    <w:jc w:val="center"/>
                    <w:textAlignment w:val="center"/>
                    <w:rPr>
                      <w:rFonts w:ascii="Times New Roman" w:hAnsi="Times New Roman" w:eastAsia="宋体" w:cs="Times New Roman"/>
                      <w:color w:val="auto"/>
                      <w:szCs w:val="21"/>
                    </w:rPr>
                  </w:pPr>
                </w:p>
              </w:tc>
            </w:tr>
            <w:tr w14:paraId="6742F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vMerge w:val="restart"/>
                  <w:noWrap w:val="0"/>
                  <w:vAlign w:val="center"/>
                </w:tcPr>
                <w:p w14:paraId="2D863DBA">
                  <w:pPr>
                    <w:autoSpaceDE w:val="0"/>
                    <w:autoSpaceDN w:val="0"/>
                    <w:adjustRightInd w:val="0"/>
                    <w:snapToGrid w:val="0"/>
                    <w:jc w:val="center"/>
                    <w:textAlignment w:val="center"/>
                    <w:rPr>
                      <w:rFonts w:hint="default" w:ascii="Times New Roman" w:hAnsi="Times New Roman" w:eastAsia="宋体" w:cs="Times New Roman"/>
                      <w:color w:val="auto"/>
                      <w:szCs w:val="21"/>
                      <w:lang w:val="en-US"/>
                    </w:rPr>
                  </w:pPr>
                  <w:r>
                    <w:rPr>
                      <w:rFonts w:hint="eastAsia" w:ascii="Times New Roman" w:hAnsi="Times New Roman" w:cs="Times New Roman"/>
                      <w:color w:val="auto"/>
                      <w:szCs w:val="21"/>
                      <w:lang w:val="en-US" w:eastAsia="zh-CN"/>
                    </w:rPr>
                    <w:t>聚氨酯面漆固化剂</w:t>
                  </w:r>
                </w:p>
              </w:tc>
              <w:tc>
                <w:tcPr>
                  <w:tcW w:w="302" w:type="pct"/>
                  <w:vMerge w:val="restart"/>
                  <w:noWrap w:val="0"/>
                  <w:vAlign w:val="center"/>
                </w:tcPr>
                <w:p w14:paraId="1ABCEE1B">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0.2</w:t>
                  </w:r>
                </w:p>
              </w:tc>
              <w:tc>
                <w:tcPr>
                  <w:tcW w:w="704" w:type="pct"/>
                  <w:noWrap w:val="0"/>
                  <w:vAlign w:val="center"/>
                </w:tcPr>
                <w:p w14:paraId="53D16B61">
                  <w:pPr>
                    <w:autoSpaceDE w:val="0"/>
                    <w:autoSpaceDN w:val="0"/>
                    <w:adjustRightInd w:val="0"/>
                    <w:snapToGrid w:val="0"/>
                    <w:jc w:val="center"/>
                    <w:textAlignment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固体分</w:t>
                  </w:r>
                </w:p>
              </w:tc>
              <w:tc>
                <w:tcPr>
                  <w:tcW w:w="481" w:type="pct"/>
                  <w:noWrap w:val="0"/>
                  <w:vAlign w:val="center"/>
                </w:tcPr>
                <w:p w14:paraId="6DE6527B">
                  <w:pPr>
                    <w:autoSpaceDE w:val="0"/>
                    <w:autoSpaceDN w:val="0"/>
                    <w:adjustRightInd w:val="0"/>
                    <w:snapToGrid w:val="0"/>
                    <w:jc w:val="center"/>
                    <w:textAlignment w:val="center"/>
                    <w:rPr>
                      <w:rFonts w:hint="eastAsia" w:cs="Times New Roman"/>
                      <w:color w:val="auto"/>
                      <w:szCs w:val="21"/>
                      <w:lang w:val="en-US" w:eastAsia="zh-CN"/>
                    </w:rPr>
                  </w:pPr>
                  <w:r>
                    <w:rPr>
                      <w:rFonts w:hint="eastAsia" w:cs="Times New Roman"/>
                      <w:color w:val="auto"/>
                      <w:szCs w:val="21"/>
                      <w:lang w:val="en-US" w:eastAsia="zh-CN"/>
                    </w:rPr>
                    <w:t>30</w:t>
                  </w:r>
                  <w:r>
                    <w:rPr>
                      <w:rFonts w:ascii="Times New Roman" w:hAnsi="Times New Roman" w:eastAsia="宋体" w:cs="Times New Roman"/>
                      <w:color w:val="auto"/>
                      <w:szCs w:val="21"/>
                    </w:rPr>
                    <w:t>%</w:t>
                  </w:r>
                </w:p>
              </w:tc>
              <w:tc>
                <w:tcPr>
                  <w:tcW w:w="581" w:type="pct"/>
                  <w:noWrap w:val="0"/>
                  <w:vAlign w:val="center"/>
                </w:tcPr>
                <w:p w14:paraId="71B2B3F6">
                  <w:pPr>
                    <w:widowControl/>
                    <w:jc w:val="center"/>
                    <w:textAlignment w:val="center"/>
                    <w:rPr>
                      <w:rFonts w:hint="eastAsia" w:cs="Times New Roman"/>
                      <w:color w:val="auto"/>
                      <w:szCs w:val="21"/>
                      <w:lang w:val="en-US" w:eastAsia="zh-CN"/>
                    </w:rPr>
                  </w:pPr>
                  <w:r>
                    <w:rPr>
                      <w:rFonts w:hint="eastAsia" w:cs="Times New Roman"/>
                      <w:color w:val="auto"/>
                      <w:szCs w:val="21"/>
                      <w:lang w:val="en-US" w:eastAsia="zh-CN"/>
                    </w:rPr>
                    <w:t>0.06</w:t>
                  </w:r>
                </w:p>
              </w:tc>
              <w:tc>
                <w:tcPr>
                  <w:tcW w:w="2276" w:type="pct"/>
                  <w:gridSpan w:val="3"/>
                  <w:vMerge w:val="continue"/>
                  <w:noWrap w:val="0"/>
                  <w:vAlign w:val="center"/>
                </w:tcPr>
                <w:p w14:paraId="5DD7B49E">
                  <w:pPr>
                    <w:widowControl/>
                    <w:jc w:val="center"/>
                    <w:textAlignment w:val="center"/>
                    <w:rPr>
                      <w:rFonts w:ascii="Times New Roman" w:hAnsi="Times New Roman" w:eastAsia="宋体" w:cs="Times New Roman"/>
                      <w:color w:val="auto"/>
                      <w:szCs w:val="21"/>
                    </w:rPr>
                  </w:pPr>
                </w:p>
              </w:tc>
            </w:tr>
            <w:tr w14:paraId="6C22C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vMerge w:val="continue"/>
                  <w:noWrap w:val="0"/>
                  <w:vAlign w:val="center"/>
                </w:tcPr>
                <w:p w14:paraId="3C7250EC">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302" w:type="pct"/>
                  <w:vMerge w:val="continue"/>
                  <w:noWrap w:val="0"/>
                  <w:vAlign w:val="center"/>
                </w:tcPr>
                <w:p w14:paraId="56625D08">
                  <w:pPr>
                    <w:autoSpaceDE w:val="0"/>
                    <w:autoSpaceDN w:val="0"/>
                    <w:adjustRightInd w:val="0"/>
                    <w:snapToGrid w:val="0"/>
                    <w:jc w:val="center"/>
                    <w:textAlignment w:val="center"/>
                    <w:rPr>
                      <w:rFonts w:ascii="Times New Roman" w:hAnsi="Times New Roman" w:eastAsia="宋体" w:cs="Times New Roman"/>
                      <w:color w:val="auto"/>
                      <w:szCs w:val="21"/>
                    </w:rPr>
                  </w:pPr>
                </w:p>
              </w:tc>
              <w:tc>
                <w:tcPr>
                  <w:tcW w:w="704" w:type="pct"/>
                  <w:noWrap w:val="0"/>
                  <w:vAlign w:val="center"/>
                </w:tcPr>
                <w:p w14:paraId="0F8E4E0F">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ascii="Times New Roman" w:hAnsi="Times New Roman" w:cs="Times New Roman"/>
                      <w:color w:val="auto"/>
                      <w:szCs w:val="21"/>
                      <w:lang w:eastAsia="zh-CN"/>
                    </w:rPr>
                    <w:t>挥发分</w:t>
                  </w:r>
                  <w:r>
                    <w:rPr>
                      <w:rFonts w:ascii="Times New Roman" w:hAnsi="Times New Roman" w:eastAsia="宋体" w:cs="Times New Roman"/>
                      <w:color w:val="auto"/>
                      <w:szCs w:val="21"/>
                    </w:rPr>
                    <w:t>（VOCs）</w:t>
                  </w:r>
                </w:p>
              </w:tc>
              <w:tc>
                <w:tcPr>
                  <w:tcW w:w="481" w:type="pct"/>
                  <w:noWrap w:val="0"/>
                  <w:vAlign w:val="center"/>
                </w:tcPr>
                <w:p w14:paraId="2ACD35D5">
                  <w:pPr>
                    <w:autoSpaceDE w:val="0"/>
                    <w:autoSpaceDN w:val="0"/>
                    <w:adjustRightInd w:val="0"/>
                    <w:snapToGrid w:val="0"/>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70</w:t>
                  </w:r>
                  <w:r>
                    <w:rPr>
                      <w:rFonts w:ascii="Times New Roman" w:hAnsi="Times New Roman" w:eastAsia="宋体" w:cs="Times New Roman"/>
                      <w:color w:val="auto"/>
                      <w:szCs w:val="21"/>
                    </w:rPr>
                    <w:t>%</w:t>
                  </w:r>
                </w:p>
              </w:tc>
              <w:tc>
                <w:tcPr>
                  <w:tcW w:w="581" w:type="pct"/>
                  <w:noWrap w:val="0"/>
                  <w:vAlign w:val="center"/>
                </w:tcPr>
                <w:p w14:paraId="7F4D1DA1">
                  <w:pPr>
                    <w:widowControl/>
                    <w:jc w:val="center"/>
                    <w:textAlignment w:val="center"/>
                    <w:rPr>
                      <w:rFonts w:ascii="Times New Roman" w:hAnsi="Times New Roman" w:eastAsia="宋体" w:cs="Times New Roman"/>
                      <w:color w:val="auto"/>
                      <w:szCs w:val="21"/>
                    </w:rPr>
                  </w:pPr>
                  <w:r>
                    <w:rPr>
                      <w:rFonts w:hint="eastAsia" w:cs="Times New Roman"/>
                      <w:color w:val="auto"/>
                      <w:szCs w:val="21"/>
                      <w:lang w:val="en-US" w:eastAsia="zh-CN"/>
                    </w:rPr>
                    <w:t>0.14</w:t>
                  </w:r>
                </w:p>
              </w:tc>
              <w:tc>
                <w:tcPr>
                  <w:tcW w:w="845" w:type="pct"/>
                  <w:noWrap w:val="0"/>
                  <w:vAlign w:val="center"/>
                </w:tcPr>
                <w:p w14:paraId="4A671242">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进入产品</w:t>
                  </w:r>
                </w:p>
              </w:tc>
              <w:tc>
                <w:tcPr>
                  <w:tcW w:w="746" w:type="pct"/>
                  <w:noWrap w:val="0"/>
                  <w:vAlign w:val="center"/>
                </w:tcPr>
                <w:p w14:paraId="0EEFF2CF">
                  <w:pPr>
                    <w:autoSpaceDE w:val="0"/>
                    <w:autoSpaceDN w:val="0"/>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固体分</w:t>
                  </w:r>
                </w:p>
              </w:tc>
              <w:tc>
                <w:tcPr>
                  <w:tcW w:w="684" w:type="pct"/>
                  <w:noWrap w:val="0"/>
                  <w:vAlign w:val="center"/>
                </w:tcPr>
                <w:p w14:paraId="1AD2DD53">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1.661</w:t>
                  </w:r>
                </w:p>
              </w:tc>
            </w:tr>
            <w:tr w14:paraId="40718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83" w:hRule="atLeast"/>
              </w:trPr>
              <w:tc>
                <w:tcPr>
                  <w:tcW w:w="653" w:type="pct"/>
                  <w:noWrap w:val="0"/>
                  <w:vAlign w:val="center"/>
                </w:tcPr>
                <w:p w14:paraId="2D94BDF9">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合计</w:t>
                  </w:r>
                </w:p>
              </w:tc>
              <w:tc>
                <w:tcPr>
                  <w:tcW w:w="302" w:type="pct"/>
                  <w:noWrap w:val="0"/>
                  <w:vAlign w:val="center"/>
                </w:tcPr>
                <w:p w14:paraId="3FEBE2B9">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7.4</w:t>
                  </w:r>
                </w:p>
              </w:tc>
              <w:tc>
                <w:tcPr>
                  <w:tcW w:w="704" w:type="pct"/>
                  <w:noWrap w:val="0"/>
                  <w:vAlign w:val="center"/>
                </w:tcPr>
                <w:p w14:paraId="6573FB2D">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481" w:type="pct"/>
                  <w:noWrap w:val="0"/>
                  <w:vAlign w:val="center"/>
                </w:tcPr>
                <w:p w14:paraId="5004CB12">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581" w:type="pct"/>
                  <w:noWrap w:val="0"/>
                  <w:vAlign w:val="center"/>
                </w:tcPr>
                <w:p w14:paraId="7A80753A">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7.4</w:t>
                  </w:r>
                </w:p>
              </w:tc>
              <w:tc>
                <w:tcPr>
                  <w:tcW w:w="845" w:type="pct"/>
                  <w:noWrap w:val="0"/>
                  <w:vAlign w:val="center"/>
                </w:tcPr>
                <w:p w14:paraId="07134262">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746" w:type="pct"/>
                  <w:noWrap w:val="0"/>
                  <w:vAlign w:val="center"/>
                </w:tcPr>
                <w:p w14:paraId="10D70ACD">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684" w:type="pct"/>
                  <w:noWrap w:val="0"/>
                  <w:vAlign w:val="center"/>
                </w:tcPr>
                <w:p w14:paraId="7093C5FF">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7.4</w:t>
                  </w:r>
                </w:p>
              </w:tc>
            </w:tr>
            <w:bookmarkEnd w:id="4"/>
          </w:tbl>
          <w:p w14:paraId="545C8C32">
            <w:pPr>
              <w:topLinePunct/>
              <w:autoSpaceDE w:val="0"/>
              <w:spacing w:line="360" w:lineRule="auto"/>
              <w:jc w:val="center"/>
              <w:rPr>
                <w:rFonts w:ascii="Times New Roman" w:hAnsi="Times New Roman" w:eastAsia="宋体" w:cs="Times New Roman"/>
                <w:b/>
                <w:bCs/>
                <w:color w:val="FF0000"/>
                <w:sz w:val="24"/>
              </w:rPr>
            </w:pPr>
          </w:p>
          <w:p w14:paraId="64D8D1C8">
            <w:pPr>
              <w:topLinePunct/>
              <w:autoSpaceDE w:val="0"/>
              <w:spacing w:line="360" w:lineRule="auto"/>
              <w:jc w:val="center"/>
              <w:rPr>
                <w:rFonts w:hint="eastAsia" w:ascii="Times New Roman" w:hAnsi="Times New Roman" w:eastAsia="宋体" w:cs="Times New Roman"/>
                <w:b/>
                <w:bCs/>
                <w:color w:val="auto"/>
                <w:sz w:val="24"/>
              </w:rPr>
            </w:pPr>
            <w:r>
              <w:rPr>
                <w:rFonts w:ascii="Times New Roman" w:hAnsi="Times New Roman" w:eastAsia="宋体" w:cs="Times New Roman"/>
                <w:b/>
                <w:bCs/>
                <w:color w:val="auto"/>
                <w:sz w:val="24"/>
              </w:rPr>
              <w:t>表</w:t>
            </w:r>
            <w:r>
              <w:rPr>
                <w:rFonts w:hint="eastAsia" w:ascii="Times New Roman" w:hAnsi="Times New Roman" w:eastAsia="宋体" w:cs="Times New Roman"/>
                <w:b/>
                <w:bCs/>
                <w:color w:val="auto"/>
                <w:sz w:val="24"/>
              </w:rPr>
              <w:t>2-</w:t>
            </w:r>
            <w:r>
              <w:rPr>
                <w:rFonts w:hint="eastAsia" w:cs="Times New Roman"/>
                <w:b/>
                <w:bCs/>
                <w:color w:val="auto"/>
                <w:sz w:val="24"/>
                <w:lang w:val="en-US" w:eastAsia="zh-CN"/>
              </w:rPr>
              <w:t>6</w:t>
            </w:r>
            <w:r>
              <w:rPr>
                <w:rFonts w:ascii="Times New Roman" w:hAnsi="Times New Roman" w:eastAsia="宋体" w:cs="Times New Roman"/>
                <w:b/>
                <w:bCs/>
                <w:color w:val="auto"/>
                <w:sz w:val="24"/>
              </w:rPr>
              <w:t xml:space="preserve"> </w:t>
            </w:r>
            <w:r>
              <w:rPr>
                <w:rFonts w:hint="eastAsia" w:ascii="Times New Roman" w:hAnsi="Times New Roman" w:eastAsia="宋体" w:cs="Times New Roman"/>
                <w:b/>
                <w:bCs/>
                <w:color w:val="auto"/>
                <w:sz w:val="24"/>
              </w:rPr>
              <w:t>建设项目二甲苯</w:t>
            </w:r>
            <w:r>
              <w:rPr>
                <w:rFonts w:ascii="Times New Roman" w:hAnsi="Times New Roman" w:eastAsia="宋体" w:cs="Times New Roman"/>
                <w:b/>
                <w:bCs/>
                <w:color w:val="auto"/>
                <w:sz w:val="24"/>
              </w:rPr>
              <w:t>物料平衡表</w:t>
            </w:r>
            <w:r>
              <w:rPr>
                <w:rFonts w:hint="eastAsia" w:ascii="Times New Roman" w:hAnsi="Times New Roman" w:eastAsia="宋体" w:cs="Times New Roman"/>
                <w:b/>
                <w:bCs/>
                <w:color w:val="auto"/>
                <w:sz w:val="24"/>
              </w:rPr>
              <w:t>（t/a）</w:t>
            </w:r>
          </w:p>
          <w:tbl>
            <w:tblPr>
              <w:tblStyle w:val="18"/>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61"/>
              <w:gridCol w:w="964"/>
              <w:gridCol w:w="924"/>
              <w:gridCol w:w="2202"/>
              <w:gridCol w:w="915"/>
              <w:gridCol w:w="1099"/>
            </w:tblGrid>
            <w:tr w14:paraId="0EA5C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53" w:type="pct"/>
                  <w:gridSpan w:val="3"/>
                  <w:noWrap w:val="0"/>
                  <w:vAlign w:val="center"/>
                </w:tcPr>
                <w:p w14:paraId="2FFEC5E6">
                  <w:pPr>
                    <w:autoSpaceDE w:val="0"/>
                    <w:autoSpaceDN w:val="0"/>
                    <w:adjustRightInd w:val="0"/>
                    <w:snapToGrid w:val="0"/>
                    <w:jc w:val="center"/>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入方</w:t>
                  </w:r>
                </w:p>
              </w:tc>
              <w:tc>
                <w:tcPr>
                  <w:tcW w:w="2646" w:type="pct"/>
                  <w:gridSpan w:val="3"/>
                  <w:noWrap w:val="0"/>
                  <w:vAlign w:val="center"/>
                </w:tcPr>
                <w:p w14:paraId="06A46027">
                  <w:pPr>
                    <w:autoSpaceDE w:val="0"/>
                    <w:autoSpaceDN w:val="0"/>
                    <w:adjustRightInd w:val="0"/>
                    <w:snapToGrid w:val="0"/>
                    <w:jc w:val="center"/>
                    <w:rPr>
                      <w:rFonts w:hint="eastAsia" w:ascii="Times New Roman" w:hAnsi="Times New Roman" w:eastAsia="宋体" w:cs="Times New Roman"/>
                      <w:b/>
                      <w:color w:val="auto"/>
                      <w:szCs w:val="21"/>
                    </w:rPr>
                  </w:pPr>
                  <w:r>
                    <w:rPr>
                      <w:rFonts w:hint="eastAsia" w:ascii="Times New Roman" w:hAnsi="Times New Roman" w:eastAsia="宋体" w:cs="Times New Roman"/>
                      <w:b/>
                      <w:color w:val="auto"/>
                      <w:szCs w:val="21"/>
                    </w:rPr>
                    <w:t>出方</w:t>
                  </w:r>
                </w:p>
              </w:tc>
            </w:tr>
            <w:tr w14:paraId="3E2B5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73" w:type="pct"/>
                  <w:gridSpan w:val="2"/>
                  <w:noWrap w:val="0"/>
                  <w:vAlign w:val="center"/>
                </w:tcPr>
                <w:p w14:paraId="2E4B4EF7">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物料名称</w:t>
                  </w:r>
                </w:p>
              </w:tc>
              <w:tc>
                <w:tcPr>
                  <w:tcW w:w="580" w:type="pct"/>
                  <w:noWrap w:val="0"/>
                  <w:vAlign w:val="center"/>
                </w:tcPr>
                <w:p w14:paraId="4A41303B">
                  <w:pPr>
                    <w:autoSpaceDE w:val="0"/>
                    <w:autoSpaceDN w:val="0"/>
                    <w:adjustRightInd w:val="0"/>
                    <w:snapToGrid w:val="0"/>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数量</w:t>
                  </w:r>
                </w:p>
              </w:tc>
              <w:tc>
                <w:tcPr>
                  <w:tcW w:w="1956" w:type="pct"/>
                  <w:gridSpan w:val="2"/>
                  <w:noWrap w:val="0"/>
                  <w:vAlign w:val="center"/>
                </w:tcPr>
                <w:p w14:paraId="71E10942">
                  <w:pPr>
                    <w:autoSpaceDE w:val="0"/>
                    <w:autoSpaceDN w:val="0"/>
                    <w:adjustRightInd w:val="0"/>
                    <w:snapToGrid w:val="0"/>
                    <w:jc w:val="center"/>
                    <w:rPr>
                      <w:rFonts w:hint="eastAsia" w:ascii="Times New Roman" w:hAnsi="Times New Roman" w:eastAsia="宋体" w:cs="Times New Roman"/>
                      <w:b/>
                      <w:color w:val="auto"/>
                      <w:szCs w:val="21"/>
                    </w:rPr>
                  </w:pPr>
                  <w:r>
                    <w:rPr>
                      <w:rFonts w:hint="eastAsia" w:ascii="Times New Roman" w:hAnsi="Times New Roman" w:eastAsia="宋体" w:cs="Times New Roman"/>
                      <w:b/>
                      <w:color w:val="auto"/>
                      <w:szCs w:val="21"/>
                    </w:rPr>
                    <w:t>项目</w:t>
                  </w:r>
                </w:p>
              </w:tc>
              <w:tc>
                <w:tcPr>
                  <w:tcW w:w="689" w:type="pct"/>
                  <w:noWrap w:val="0"/>
                  <w:vAlign w:val="center"/>
                </w:tcPr>
                <w:p w14:paraId="5AF1A096">
                  <w:pPr>
                    <w:autoSpaceDE w:val="0"/>
                    <w:autoSpaceDN w:val="0"/>
                    <w:adjustRightInd w:val="0"/>
                    <w:snapToGrid w:val="0"/>
                    <w:jc w:val="center"/>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数量</w:t>
                  </w:r>
                </w:p>
              </w:tc>
            </w:tr>
            <w:tr w14:paraId="3BDCF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68" w:type="pct"/>
                  <w:noWrap w:val="0"/>
                  <w:vAlign w:val="center"/>
                </w:tcPr>
                <w:p w14:paraId="48CC8ED9">
                  <w:pPr>
                    <w:jc w:val="center"/>
                    <w:rPr>
                      <w:rFonts w:hint="eastAsia" w:ascii="Times New Roman" w:hAnsi="Times New Roman" w:eastAsia="宋体" w:cs="Times New Roman"/>
                      <w:color w:val="auto"/>
                      <w:szCs w:val="21"/>
                    </w:rPr>
                  </w:pPr>
                  <w:r>
                    <w:rPr>
                      <w:rFonts w:hint="eastAsia" w:ascii="Times New Roman" w:hAnsi="Times New Roman" w:cs="Times New Roman"/>
                      <w:color w:val="auto"/>
                      <w:szCs w:val="21"/>
                      <w:lang w:val="en-US" w:eastAsia="zh-CN"/>
                    </w:rPr>
                    <w:t>富锌环氧底漆</w:t>
                  </w:r>
                </w:p>
              </w:tc>
              <w:tc>
                <w:tcPr>
                  <w:tcW w:w="604" w:type="pct"/>
                  <w:noWrap w:val="0"/>
                  <w:vAlign w:val="center"/>
                </w:tcPr>
                <w:p w14:paraId="469612A3">
                  <w:pPr>
                    <w:autoSpaceDE w:val="0"/>
                    <w:autoSpaceDN w:val="0"/>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5C9E85B7">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0.24</w:t>
                  </w:r>
                </w:p>
              </w:tc>
              <w:tc>
                <w:tcPr>
                  <w:tcW w:w="1382" w:type="pct"/>
                  <w:noWrap w:val="0"/>
                  <w:vAlign w:val="center"/>
                </w:tcPr>
                <w:p w14:paraId="386785F1">
                  <w:pPr>
                    <w:autoSpaceDE w:val="0"/>
                    <w:autoSpaceDN w:val="0"/>
                    <w:adjustRightInd w:val="0"/>
                    <w:snapToGrid w:val="0"/>
                    <w:jc w:val="center"/>
                    <w:rPr>
                      <w:rFonts w:ascii="Times New Roman" w:hAnsi="Times New Roman" w:eastAsia="宋体" w:cs="Times New Roman"/>
                      <w:color w:val="auto"/>
                      <w:szCs w:val="21"/>
                    </w:rPr>
                  </w:pPr>
                  <w:r>
                    <w:rPr>
                      <w:rFonts w:hint="eastAsia" w:cs="Times New Roman"/>
                      <w:color w:val="auto"/>
                      <w:szCs w:val="21"/>
                      <w:lang w:val="en-US" w:eastAsia="zh-CN"/>
                    </w:rPr>
                    <w:t>调漆、喷漆、烤漆有机</w:t>
                  </w:r>
                  <w:r>
                    <w:rPr>
                      <w:rFonts w:ascii="Times New Roman" w:hAnsi="Times New Roman" w:eastAsia="宋体" w:cs="Times New Roman"/>
                      <w:color w:val="auto"/>
                      <w:szCs w:val="21"/>
                    </w:rPr>
                    <w:t>废气</w:t>
                  </w:r>
                </w:p>
              </w:tc>
              <w:tc>
                <w:tcPr>
                  <w:tcW w:w="573" w:type="pct"/>
                  <w:noWrap w:val="0"/>
                  <w:vAlign w:val="center"/>
                </w:tcPr>
                <w:p w14:paraId="7564617F">
                  <w:pPr>
                    <w:autoSpaceDE w:val="0"/>
                    <w:autoSpaceDN w:val="0"/>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689" w:type="pct"/>
                  <w:noWrap w:val="0"/>
                  <w:vAlign w:val="center"/>
                </w:tcPr>
                <w:p w14:paraId="385CC2F5">
                  <w:pPr>
                    <w:widowControl/>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2.29</w:t>
                  </w:r>
                </w:p>
              </w:tc>
            </w:tr>
            <w:tr w14:paraId="07BCE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68" w:type="pct"/>
                  <w:noWrap w:val="0"/>
                  <w:vAlign w:val="center"/>
                </w:tcPr>
                <w:p w14:paraId="5ED91ADA">
                  <w:pPr>
                    <w:jc w:val="center"/>
                    <w:rPr>
                      <w:rFonts w:ascii="Times New Roman" w:hAnsi="Times New Roman" w:eastAsia="宋体" w:cs="Times New Roman"/>
                      <w:color w:val="auto"/>
                      <w:kern w:val="0"/>
                      <w:szCs w:val="21"/>
                      <w:lang w:bidi="ar"/>
                    </w:rPr>
                  </w:pPr>
                  <w:r>
                    <w:rPr>
                      <w:rFonts w:hint="eastAsia" w:cs="Times New Roman"/>
                      <w:color w:val="auto"/>
                      <w:szCs w:val="21"/>
                      <w:lang w:val="en-US" w:eastAsia="zh-CN"/>
                    </w:rPr>
                    <w:t>环氧底漆</w:t>
                  </w:r>
                  <w:r>
                    <w:rPr>
                      <w:rFonts w:hint="eastAsia" w:ascii="Times New Roman" w:hAnsi="Times New Roman" w:cs="Times New Roman"/>
                      <w:color w:val="auto"/>
                      <w:szCs w:val="21"/>
                      <w:lang w:val="en-US" w:eastAsia="zh-CN"/>
                    </w:rPr>
                    <w:t>稀释剂</w:t>
                  </w:r>
                </w:p>
              </w:tc>
              <w:tc>
                <w:tcPr>
                  <w:tcW w:w="604" w:type="pct"/>
                  <w:noWrap w:val="0"/>
                  <w:vAlign w:val="center"/>
                </w:tcPr>
                <w:p w14:paraId="3D438370">
                  <w:pPr>
                    <w:autoSpaceDE w:val="0"/>
                    <w:autoSpaceDN w:val="0"/>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5445E92A">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w:t>
                  </w:r>
                </w:p>
              </w:tc>
              <w:tc>
                <w:tcPr>
                  <w:tcW w:w="1382" w:type="pct"/>
                  <w:shd w:val="clear" w:color="auto" w:fill="auto"/>
                  <w:noWrap w:val="0"/>
                  <w:vAlign w:val="center"/>
                </w:tcPr>
                <w:p w14:paraId="67FCD227">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p>
              </w:tc>
              <w:tc>
                <w:tcPr>
                  <w:tcW w:w="573" w:type="pct"/>
                  <w:shd w:val="clear" w:color="auto" w:fill="auto"/>
                  <w:noWrap w:val="0"/>
                  <w:vAlign w:val="center"/>
                </w:tcPr>
                <w:p w14:paraId="11552590">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p>
              </w:tc>
              <w:tc>
                <w:tcPr>
                  <w:tcW w:w="689" w:type="pct"/>
                  <w:shd w:val="clear" w:color="auto" w:fill="auto"/>
                  <w:noWrap w:val="0"/>
                  <w:vAlign w:val="center"/>
                </w:tcPr>
                <w:p w14:paraId="05DDCE35">
                  <w:pPr>
                    <w:widowControl/>
                    <w:jc w:val="center"/>
                    <w:textAlignment w:val="center"/>
                    <w:rPr>
                      <w:rFonts w:hint="default" w:ascii="Times New Roman" w:hAnsi="Times New Roman" w:eastAsia="宋体" w:cs="Times New Roman"/>
                      <w:color w:val="auto"/>
                      <w:kern w:val="2"/>
                      <w:sz w:val="21"/>
                      <w:szCs w:val="21"/>
                      <w:lang w:val="en-US" w:eastAsia="zh-CN" w:bidi="ar-SA"/>
                    </w:rPr>
                  </w:pPr>
                </w:p>
              </w:tc>
            </w:tr>
            <w:tr w14:paraId="64DCF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68" w:type="pct"/>
                  <w:noWrap w:val="0"/>
                  <w:vAlign w:val="center"/>
                </w:tcPr>
                <w:p w14:paraId="0EDDA964">
                  <w:pPr>
                    <w:jc w:val="center"/>
                    <w:rPr>
                      <w:rFonts w:ascii="Times New Roman" w:hAnsi="Times New Roman" w:eastAsia="宋体" w:cs="Times New Roman"/>
                      <w:color w:val="auto"/>
                      <w:szCs w:val="21"/>
                    </w:rPr>
                  </w:pPr>
                  <w:r>
                    <w:rPr>
                      <w:rFonts w:hint="eastAsia" w:ascii="Times New Roman" w:hAnsi="Times New Roman" w:cs="Times New Roman"/>
                      <w:color w:val="auto"/>
                      <w:szCs w:val="21"/>
                      <w:lang w:val="en-US" w:eastAsia="zh-CN"/>
                    </w:rPr>
                    <w:t>聚氨酯</w:t>
                  </w:r>
                  <w:r>
                    <w:rPr>
                      <w:rFonts w:hint="eastAsia" w:cs="Times New Roman"/>
                      <w:color w:val="auto"/>
                      <w:szCs w:val="21"/>
                      <w:lang w:val="en-US" w:eastAsia="zh-CN"/>
                    </w:rPr>
                    <w:t>稀释剂</w:t>
                  </w:r>
                </w:p>
              </w:tc>
              <w:tc>
                <w:tcPr>
                  <w:tcW w:w="604" w:type="pct"/>
                  <w:noWrap w:val="0"/>
                  <w:vAlign w:val="center"/>
                </w:tcPr>
                <w:p w14:paraId="02451386">
                  <w:pPr>
                    <w:autoSpaceDE w:val="0"/>
                    <w:autoSpaceDN w:val="0"/>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035D5C65">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0.45</w:t>
                  </w:r>
                </w:p>
              </w:tc>
              <w:tc>
                <w:tcPr>
                  <w:tcW w:w="1382" w:type="pct"/>
                  <w:noWrap w:val="0"/>
                  <w:vAlign w:val="center"/>
                </w:tcPr>
                <w:p w14:paraId="720F4E0B">
                  <w:pPr>
                    <w:autoSpaceDE w:val="0"/>
                    <w:autoSpaceDN w:val="0"/>
                    <w:adjustRightInd w:val="0"/>
                    <w:snapToGrid w:val="0"/>
                    <w:jc w:val="center"/>
                    <w:rPr>
                      <w:rFonts w:ascii="Times New Roman" w:hAnsi="Times New Roman" w:eastAsia="宋体" w:cs="Times New Roman"/>
                      <w:color w:val="auto"/>
                      <w:szCs w:val="21"/>
                    </w:rPr>
                  </w:pPr>
                </w:p>
              </w:tc>
              <w:tc>
                <w:tcPr>
                  <w:tcW w:w="573" w:type="pct"/>
                  <w:noWrap w:val="0"/>
                  <w:vAlign w:val="center"/>
                </w:tcPr>
                <w:p w14:paraId="2B0C8A16">
                  <w:pPr>
                    <w:autoSpaceDE w:val="0"/>
                    <w:autoSpaceDN w:val="0"/>
                    <w:adjustRightInd w:val="0"/>
                    <w:snapToGrid w:val="0"/>
                    <w:jc w:val="center"/>
                    <w:rPr>
                      <w:rFonts w:hint="eastAsia" w:ascii="Times New Roman" w:hAnsi="Times New Roman" w:eastAsia="宋体" w:cs="Times New Roman"/>
                      <w:color w:val="auto"/>
                      <w:szCs w:val="21"/>
                    </w:rPr>
                  </w:pPr>
                </w:p>
              </w:tc>
              <w:tc>
                <w:tcPr>
                  <w:tcW w:w="689" w:type="pct"/>
                  <w:noWrap w:val="0"/>
                  <w:vAlign w:val="center"/>
                </w:tcPr>
                <w:p w14:paraId="68EE1AEF">
                  <w:pPr>
                    <w:widowControl/>
                    <w:jc w:val="center"/>
                    <w:textAlignment w:val="center"/>
                    <w:rPr>
                      <w:rFonts w:ascii="Times New Roman" w:hAnsi="Times New Roman" w:eastAsia="宋体" w:cs="Times New Roman"/>
                      <w:color w:val="auto"/>
                      <w:szCs w:val="21"/>
                    </w:rPr>
                  </w:pPr>
                </w:p>
              </w:tc>
            </w:tr>
            <w:tr w14:paraId="20CB7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68" w:type="pct"/>
                  <w:noWrap w:val="0"/>
                  <w:vAlign w:val="center"/>
                </w:tcPr>
                <w:p w14:paraId="1743BFF2">
                  <w:pPr>
                    <w:jc w:val="center"/>
                    <w:rPr>
                      <w:rFonts w:ascii="Times New Roman" w:hAnsi="Times New Roman" w:eastAsia="宋体" w:cs="Times New Roman"/>
                      <w:color w:val="auto"/>
                      <w:szCs w:val="21"/>
                    </w:rPr>
                  </w:pPr>
                  <w:r>
                    <w:rPr>
                      <w:rFonts w:hint="eastAsia" w:ascii="Times New Roman" w:hAnsi="Times New Roman" w:cs="Times New Roman"/>
                      <w:color w:val="auto"/>
                      <w:szCs w:val="21"/>
                      <w:lang w:val="en-US" w:eastAsia="zh-CN"/>
                    </w:rPr>
                    <w:t>聚氨酯面漆</w:t>
                  </w:r>
                </w:p>
              </w:tc>
              <w:tc>
                <w:tcPr>
                  <w:tcW w:w="604" w:type="pct"/>
                  <w:noWrap w:val="0"/>
                  <w:vAlign w:val="center"/>
                </w:tcPr>
                <w:p w14:paraId="18B909B9">
                  <w:pPr>
                    <w:autoSpaceDE w:val="0"/>
                    <w:autoSpaceDN w:val="0"/>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350899A2">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0.3</w:t>
                  </w:r>
                </w:p>
              </w:tc>
              <w:tc>
                <w:tcPr>
                  <w:tcW w:w="1382" w:type="pct"/>
                  <w:noWrap w:val="0"/>
                  <w:vAlign w:val="center"/>
                </w:tcPr>
                <w:p w14:paraId="27B0F2C2">
                  <w:pPr>
                    <w:autoSpaceDE w:val="0"/>
                    <w:autoSpaceDN w:val="0"/>
                    <w:adjustRightInd w:val="0"/>
                    <w:snapToGrid w:val="0"/>
                    <w:jc w:val="center"/>
                    <w:rPr>
                      <w:rFonts w:hint="eastAsia" w:ascii="Times New Roman" w:hAnsi="Times New Roman" w:eastAsia="宋体" w:cs="Times New Roman"/>
                      <w:color w:val="auto"/>
                      <w:szCs w:val="21"/>
                    </w:rPr>
                  </w:pPr>
                </w:p>
              </w:tc>
              <w:tc>
                <w:tcPr>
                  <w:tcW w:w="573" w:type="pct"/>
                  <w:noWrap w:val="0"/>
                  <w:vAlign w:val="center"/>
                </w:tcPr>
                <w:p w14:paraId="7DD98870">
                  <w:pPr>
                    <w:autoSpaceDE w:val="0"/>
                    <w:autoSpaceDN w:val="0"/>
                    <w:adjustRightInd w:val="0"/>
                    <w:snapToGrid w:val="0"/>
                    <w:jc w:val="center"/>
                    <w:rPr>
                      <w:rFonts w:hint="eastAsia" w:ascii="Times New Roman" w:hAnsi="Times New Roman" w:eastAsia="宋体" w:cs="Times New Roman"/>
                      <w:color w:val="auto"/>
                      <w:szCs w:val="21"/>
                    </w:rPr>
                  </w:pPr>
                </w:p>
              </w:tc>
              <w:tc>
                <w:tcPr>
                  <w:tcW w:w="689" w:type="pct"/>
                  <w:noWrap w:val="0"/>
                  <w:vAlign w:val="center"/>
                </w:tcPr>
                <w:p w14:paraId="5BF132D9">
                  <w:pPr>
                    <w:widowControl/>
                    <w:jc w:val="center"/>
                    <w:textAlignment w:val="center"/>
                    <w:rPr>
                      <w:rFonts w:ascii="Times New Roman" w:hAnsi="Times New Roman" w:eastAsia="宋体" w:cs="Times New Roman"/>
                      <w:color w:val="auto"/>
                      <w:szCs w:val="21"/>
                    </w:rPr>
                  </w:pPr>
                </w:p>
              </w:tc>
            </w:tr>
            <w:tr w14:paraId="7226B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68" w:type="pct"/>
                  <w:noWrap w:val="0"/>
                  <w:vAlign w:val="center"/>
                </w:tcPr>
                <w:p w14:paraId="246743B1">
                  <w:pPr>
                    <w:jc w:val="center"/>
                    <w:rPr>
                      <w:rFonts w:ascii="Times New Roman" w:hAnsi="Times New Roman" w:eastAsia="宋体" w:cs="Times New Roman"/>
                      <w:color w:val="auto"/>
                      <w:szCs w:val="21"/>
                    </w:rPr>
                  </w:pPr>
                  <w:r>
                    <w:rPr>
                      <w:rFonts w:hint="eastAsia" w:cs="Times New Roman"/>
                      <w:color w:val="auto"/>
                      <w:szCs w:val="21"/>
                      <w:lang w:val="en-US" w:eastAsia="zh-CN"/>
                    </w:rPr>
                    <w:t>环氧底漆固化剂</w:t>
                  </w:r>
                </w:p>
              </w:tc>
              <w:tc>
                <w:tcPr>
                  <w:tcW w:w="604" w:type="pct"/>
                  <w:noWrap w:val="0"/>
                  <w:vAlign w:val="center"/>
                </w:tcPr>
                <w:p w14:paraId="20DDB5F7">
                  <w:pPr>
                    <w:autoSpaceDE w:val="0"/>
                    <w:autoSpaceDN w:val="0"/>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31F45553">
                  <w:pPr>
                    <w:autoSpaceDE w:val="0"/>
                    <w:autoSpaceDN w:val="0"/>
                    <w:adjustRightInd w:val="0"/>
                    <w:snapToGrid w:val="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w:t>
                  </w:r>
                </w:p>
              </w:tc>
              <w:tc>
                <w:tcPr>
                  <w:tcW w:w="1382" w:type="pct"/>
                  <w:noWrap w:val="0"/>
                  <w:vAlign w:val="center"/>
                </w:tcPr>
                <w:p w14:paraId="62604C77">
                  <w:pPr>
                    <w:autoSpaceDE w:val="0"/>
                    <w:autoSpaceDN w:val="0"/>
                    <w:adjustRightInd w:val="0"/>
                    <w:snapToGrid w:val="0"/>
                    <w:jc w:val="center"/>
                    <w:rPr>
                      <w:rFonts w:hint="eastAsia" w:ascii="Times New Roman" w:hAnsi="Times New Roman" w:eastAsia="宋体" w:cs="Times New Roman"/>
                      <w:color w:val="auto"/>
                      <w:szCs w:val="21"/>
                    </w:rPr>
                  </w:pPr>
                </w:p>
              </w:tc>
              <w:tc>
                <w:tcPr>
                  <w:tcW w:w="573" w:type="pct"/>
                  <w:noWrap w:val="0"/>
                  <w:vAlign w:val="center"/>
                </w:tcPr>
                <w:p w14:paraId="02DFBD1A">
                  <w:pPr>
                    <w:autoSpaceDE w:val="0"/>
                    <w:autoSpaceDN w:val="0"/>
                    <w:adjustRightInd w:val="0"/>
                    <w:snapToGrid w:val="0"/>
                    <w:jc w:val="center"/>
                    <w:rPr>
                      <w:rFonts w:hint="eastAsia" w:ascii="Times New Roman" w:hAnsi="Times New Roman" w:eastAsia="宋体" w:cs="Times New Roman"/>
                      <w:color w:val="auto"/>
                      <w:szCs w:val="21"/>
                    </w:rPr>
                  </w:pPr>
                </w:p>
              </w:tc>
              <w:tc>
                <w:tcPr>
                  <w:tcW w:w="689" w:type="pct"/>
                  <w:noWrap w:val="0"/>
                  <w:vAlign w:val="center"/>
                </w:tcPr>
                <w:p w14:paraId="4DD5218A">
                  <w:pPr>
                    <w:widowControl/>
                    <w:jc w:val="center"/>
                    <w:textAlignment w:val="center"/>
                    <w:rPr>
                      <w:rFonts w:ascii="Times New Roman" w:hAnsi="Times New Roman" w:eastAsia="宋体" w:cs="Times New Roman"/>
                      <w:color w:val="auto"/>
                      <w:szCs w:val="21"/>
                    </w:rPr>
                  </w:pPr>
                </w:p>
              </w:tc>
            </w:tr>
            <w:tr w14:paraId="56979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68" w:type="pct"/>
                  <w:noWrap w:val="0"/>
                  <w:vAlign w:val="center"/>
                </w:tcPr>
                <w:p w14:paraId="48B37F78">
                  <w:pPr>
                    <w:autoSpaceDE w:val="0"/>
                    <w:autoSpaceDN w:val="0"/>
                    <w:adjustRightInd w:val="0"/>
                    <w:snapToGrid w:val="0"/>
                    <w:jc w:val="center"/>
                    <w:textAlignment w:val="center"/>
                    <w:rPr>
                      <w:rFonts w:hint="eastAsia" w:ascii="Times New Roman" w:hAnsi="Times New Roman" w:eastAsia="宋体" w:cs="Times New Roman"/>
                      <w:color w:val="auto"/>
                      <w:szCs w:val="21"/>
                    </w:rPr>
                  </w:pPr>
                  <w:r>
                    <w:rPr>
                      <w:rFonts w:hint="eastAsia" w:ascii="Times New Roman" w:hAnsi="Times New Roman" w:cs="Times New Roman"/>
                      <w:color w:val="auto"/>
                      <w:szCs w:val="21"/>
                      <w:lang w:val="en-US" w:eastAsia="zh-CN"/>
                    </w:rPr>
                    <w:t>聚氨酯面漆固化剂</w:t>
                  </w:r>
                </w:p>
              </w:tc>
              <w:tc>
                <w:tcPr>
                  <w:tcW w:w="604" w:type="pct"/>
                  <w:noWrap w:val="0"/>
                  <w:vAlign w:val="center"/>
                </w:tcPr>
                <w:p w14:paraId="7C48AE2D">
                  <w:pPr>
                    <w:autoSpaceDE w:val="0"/>
                    <w:autoSpaceDN w:val="0"/>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二甲苯</w:t>
                  </w:r>
                </w:p>
              </w:tc>
              <w:tc>
                <w:tcPr>
                  <w:tcW w:w="580" w:type="pct"/>
                  <w:noWrap w:val="0"/>
                  <w:vAlign w:val="center"/>
                </w:tcPr>
                <w:p w14:paraId="62B9434E">
                  <w:pPr>
                    <w:autoSpaceDE w:val="0"/>
                    <w:autoSpaceDN w:val="0"/>
                    <w:adjustRightInd w:val="0"/>
                    <w:snapToGrid w:val="0"/>
                    <w:jc w:val="center"/>
                    <w:textAlignment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0</w:t>
                  </w:r>
                </w:p>
              </w:tc>
              <w:tc>
                <w:tcPr>
                  <w:tcW w:w="1382" w:type="pct"/>
                  <w:noWrap w:val="0"/>
                  <w:vAlign w:val="center"/>
                </w:tcPr>
                <w:p w14:paraId="67095CE5">
                  <w:pPr>
                    <w:autoSpaceDE w:val="0"/>
                    <w:autoSpaceDN w:val="0"/>
                    <w:adjustRightInd w:val="0"/>
                    <w:snapToGrid w:val="0"/>
                    <w:jc w:val="center"/>
                    <w:rPr>
                      <w:rFonts w:hint="eastAsia" w:ascii="Times New Roman" w:hAnsi="Times New Roman" w:eastAsia="宋体" w:cs="Times New Roman"/>
                      <w:color w:val="auto"/>
                      <w:szCs w:val="21"/>
                    </w:rPr>
                  </w:pPr>
                </w:p>
              </w:tc>
              <w:tc>
                <w:tcPr>
                  <w:tcW w:w="573" w:type="pct"/>
                  <w:noWrap w:val="0"/>
                  <w:vAlign w:val="center"/>
                </w:tcPr>
                <w:p w14:paraId="0FF33AB0">
                  <w:pPr>
                    <w:autoSpaceDE w:val="0"/>
                    <w:autoSpaceDN w:val="0"/>
                    <w:adjustRightInd w:val="0"/>
                    <w:snapToGrid w:val="0"/>
                    <w:jc w:val="center"/>
                    <w:rPr>
                      <w:rFonts w:hint="eastAsia" w:ascii="Times New Roman" w:hAnsi="Times New Roman" w:eastAsia="宋体" w:cs="Times New Roman"/>
                      <w:color w:val="auto"/>
                      <w:szCs w:val="21"/>
                    </w:rPr>
                  </w:pPr>
                </w:p>
              </w:tc>
              <w:tc>
                <w:tcPr>
                  <w:tcW w:w="689" w:type="pct"/>
                  <w:noWrap w:val="0"/>
                  <w:vAlign w:val="center"/>
                </w:tcPr>
                <w:p w14:paraId="05AB9FAB">
                  <w:pPr>
                    <w:widowControl/>
                    <w:jc w:val="center"/>
                    <w:textAlignment w:val="center"/>
                    <w:rPr>
                      <w:rFonts w:ascii="Times New Roman" w:hAnsi="Times New Roman" w:eastAsia="宋体" w:cs="Times New Roman"/>
                      <w:color w:val="auto"/>
                      <w:szCs w:val="21"/>
                    </w:rPr>
                  </w:pPr>
                </w:p>
              </w:tc>
            </w:tr>
            <w:tr w14:paraId="6C24E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68" w:type="pct"/>
                  <w:noWrap w:val="0"/>
                  <w:vAlign w:val="center"/>
                </w:tcPr>
                <w:p w14:paraId="0D22868B">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合计</w:t>
                  </w:r>
                </w:p>
              </w:tc>
              <w:tc>
                <w:tcPr>
                  <w:tcW w:w="604" w:type="pct"/>
                  <w:noWrap w:val="0"/>
                  <w:vAlign w:val="center"/>
                </w:tcPr>
                <w:p w14:paraId="2E320633">
                  <w:pPr>
                    <w:autoSpaceDE w:val="0"/>
                    <w:autoSpaceDN w:val="0"/>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w:t>
                  </w:r>
                </w:p>
              </w:tc>
              <w:tc>
                <w:tcPr>
                  <w:tcW w:w="580" w:type="pct"/>
                  <w:noWrap w:val="0"/>
                  <w:vAlign w:val="center"/>
                </w:tcPr>
                <w:p w14:paraId="106B9297">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2.29</w:t>
                  </w:r>
                </w:p>
              </w:tc>
              <w:tc>
                <w:tcPr>
                  <w:tcW w:w="1382" w:type="pct"/>
                  <w:noWrap w:val="0"/>
                  <w:vAlign w:val="center"/>
                </w:tcPr>
                <w:p w14:paraId="52EF8071">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573" w:type="pct"/>
                  <w:noWrap w:val="0"/>
                  <w:vAlign w:val="center"/>
                </w:tcPr>
                <w:p w14:paraId="65B2548D">
                  <w:pPr>
                    <w:autoSpaceDE w:val="0"/>
                    <w:autoSpaceDN w:val="0"/>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689" w:type="pct"/>
                  <w:noWrap w:val="0"/>
                  <w:vAlign w:val="center"/>
                </w:tcPr>
                <w:p w14:paraId="6826E26F">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2.29</w:t>
                  </w:r>
                </w:p>
              </w:tc>
            </w:tr>
          </w:tbl>
          <w:p w14:paraId="0F7E81B0">
            <w:pPr>
              <w:pStyle w:val="29"/>
              <w:bidi w:val="0"/>
              <w:rPr>
                <w:rFonts w:hint="eastAsia" w:ascii="Times New Roman" w:hAnsi="Times New Roman" w:cs="Times New Roman"/>
                <w:b/>
                <w:bCs/>
                <w:color w:val="FF0000"/>
                <w:highlight w:val="none"/>
                <w:lang w:val="en-US" w:eastAsia="zh-CN"/>
              </w:rPr>
            </w:pPr>
          </w:p>
          <w:p w14:paraId="691EB838">
            <w:pPr>
              <w:pStyle w:val="29"/>
              <w:bidi w:val="0"/>
              <w:rPr>
                <w:rFonts w:hint="default" w:ascii="Times New Roman" w:hAnsi="Times New Roman" w:cs="Times New Roman"/>
                <w:color w:val="auto"/>
                <w:highlight w:val="none"/>
              </w:rPr>
            </w:pPr>
            <w:r>
              <w:rPr>
                <w:rFonts w:hint="eastAsia"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、公用工程</w:t>
            </w:r>
          </w:p>
          <w:p w14:paraId="0F227625">
            <w:pPr>
              <w:pStyle w:val="29"/>
              <w:bidi w:val="0"/>
              <w:rPr>
                <w:rFonts w:hint="default" w:ascii="Times New Roman" w:hAnsi="Times New Roman" w:cs="Times New Roman"/>
                <w:color w:val="auto"/>
                <w:highlight w:val="none"/>
              </w:rPr>
            </w:pPr>
            <w:r>
              <w:rPr>
                <w:rFonts w:hint="eastAsia"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.1 给排水</w:t>
            </w:r>
          </w:p>
          <w:p w14:paraId="3E5B84BC">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（1）给水</w:t>
            </w:r>
          </w:p>
          <w:p w14:paraId="2759993A">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本项目用水由园区市政给水系统提供。</w:t>
            </w:r>
          </w:p>
          <w:p w14:paraId="276FB0A5">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本项目主要用水为工作人员生活用水及废气处理设施用水，项目用水情况见表2-5。</w:t>
            </w:r>
          </w:p>
          <w:p w14:paraId="5F2BE237">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1）生活用水</w:t>
            </w:r>
          </w:p>
          <w:p w14:paraId="6F50AB21">
            <w:pPr>
              <w:pStyle w:val="29"/>
              <w:bidi w:val="0"/>
              <w:rPr>
                <w:rFonts w:hint="default" w:ascii="Times New Roman" w:hAnsi="Times New Roman" w:cs="Times New Roman"/>
                <w:color w:val="auto"/>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劳动定员1</w:t>
            </w:r>
            <w:r>
              <w:rPr>
                <w:rFonts w:hint="default" w:ascii="Times New Roman" w:hAnsi="Times New Roman" w:cs="Times New Roman"/>
                <w:color w:val="auto"/>
                <w:highlight w:val="none"/>
              </w:rPr>
              <w:t>0人，全年工作 300 天，每天工作</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w:t>
            </w:r>
            <w:r>
              <w:rPr>
                <w:rFonts w:hint="eastAsia" w:ascii="Times New Roman" w:hAnsi="Times New Roman" w:cs="Times New Roman"/>
                <w:color w:val="auto"/>
                <w:highlight w:val="none"/>
                <w:lang w:val="en-US" w:eastAsia="zh-CN"/>
              </w:rPr>
              <w:t>不提供食宿</w:t>
            </w:r>
            <w:r>
              <w:rPr>
                <w:rFonts w:hint="default" w:ascii="Times New Roman" w:hAnsi="Times New Roman" w:cs="Times New Roman"/>
                <w:color w:val="auto"/>
                <w:highlight w:val="none"/>
              </w:rPr>
              <w:t>。参照湖南省地方标准《湖南省用水定额》（DB43T388-202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），项目生活用水量按 </w:t>
            </w:r>
            <w:r>
              <w:rPr>
                <w:rFonts w:hint="eastAsia" w:ascii="Times New Roman" w:hAnsi="Times New Roman" w:cs="Times New Roman"/>
                <w:color w:val="auto"/>
                <w:highlight w:val="none"/>
                <w:lang w:val="en-US" w:eastAsia="zh-CN"/>
              </w:rPr>
              <w:t>60</w:t>
            </w:r>
            <w:r>
              <w:rPr>
                <w:rFonts w:hint="default" w:ascii="Times New Roman" w:hAnsi="Times New Roman" w:cs="Times New Roman"/>
                <w:color w:val="auto"/>
                <w:highlight w:val="none"/>
              </w:rPr>
              <w:t xml:space="preserve"> L/d·人计算。</w:t>
            </w:r>
            <w:r>
              <w:rPr>
                <w:rFonts w:hint="default" w:ascii="Times New Roman" w:hAnsi="Times New Roman" w:cs="Times New Roman"/>
                <w:color w:val="auto"/>
              </w:rPr>
              <w:t>经计算，本项目生活用水量为</w:t>
            </w:r>
            <w:r>
              <w:rPr>
                <w:rFonts w:hint="eastAsia" w:ascii="Times New Roman" w:hAnsi="Times New Roman" w:cs="Times New Roman"/>
                <w:color w:val="auto"/>
                <w:lang w:val="en-US" w:eastAsia="zh-CN"/>
              </w:rPr>
              <w:t>0.6</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eastAsia" w:ascii="Times New Roman" w:hAnsi="Times New Roman" w:cs="Times New Roman"/>
                <w:color w:val="auto"/>
                <w:lang w:val="en-US" w:eastAsia="zh-CN"/>
              </w:rPr>
              <w:t>180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/a，生活污水产生系数以0.8计，则本项目生活污水产生量为</w:t>
            </w:r>
            <w:r>
              <w:rPr>
                <w:rFonts w:hint="eastAsia" w:ascii="Times New Roman" w:hAnsi="Times New Roman" w:cs="Times New Roman"/>
                <w:color w:val="auto"/>
                <w:lang w:val="en-US" w:eastAsia="zh-CN"/>
              </w:rPr>
              <w:t>0.48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eastAsia" w:ascii="Times New Roman" w:hAnsi="Times New Roman" w:cs="Times New Roman"/>
                <w:color w:val="auto"/>
                <w:lang w:val="en-US" w:eastAsia="zh-CN"/>
              </w:rPr>
              <w:t>144</w:t>
            </w:r>
            <w:r>
              <w:rPr>
                <w:rFonts w:hint="default" w:ascii="Times New Roman" w:hAnsi="Times New Roman" w:cs="Times New Roman"/>
                <w:color w:val="auto"/>
              </w:rPr>
              <w:t xml:space="preserve"> 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p w14:paraId="1906E2AA">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2）水帘柜用水</w:t>
            </w:r>
          </w:p>
          <w:p w14:paraId="5188C8F7">
            <w:pPr>
              <w:adjustRightInd w:val="0"/>
              <w:snapToGrid w:val="0"/>
              <w:spacing w:line="360" w:lineRule="auto"/>
              <w:ind w:firstLine="480" w:firstLineChars="200"/>
              <w:rPr>
                <w:rFonts w:hint="eastAsia"/>
                <w:color w:val="auto"/>
                <w:sz w:val="24"/>
                <w:u w:val="single"/>
              </w:rPr>
            </w:pPr>
            <w:r>
              <w:rPr>
                <w:rFonts w:hint="eastAsia"/>
                <w:color w:val="auto"/>
                <w:sz w:val="24"/>
                <w:u w:val="single"/>
                <w:lang w:val="en-US" w:eastAsia="zh-CN"/>
              </w:rPr>
              <w:t>本项目喷漆房设置有2个水帘柜，打磨房设置有2个水帘柜，单个水帘柜循环水量为5m</w:t>
            </w:r>
            <w:r>
              <w:rPr>
                <w:rFonts w:hint="eastAsia"/>
                <w:color w:val="auto"/>
                <w:sz w:val="24"/>
                <w:u w:val="single"/>
                <w:vertAlign w:val="superscript"/>
                <w:lang w:val="en-US" w:eastAsia="zh-CN"/>
              </w:rPr>
              <w:t>3</w:t>
            </w:r>
            <w:r>
              <w:rPr>
                <w:rFonts w:hint="eastAsia"/>
                <w:color w:val="auto"/>
                <w:sz w:val="24"/>
                <w:u w:val="single"/>
                <w:lang w:val="en-US" w:eastAsia="zh-CN"/>
              </w:rPr>
              <w:t>/h、循环水在线量为0.5t，循环过程中损耗量按照2%计算，循环损耗水量为120m</w:t>
            </w:r>
            <w:r>
              <w:rPr>
                <w:rFonts w:hint="eastAsia"/>
                <w:color w:val="auto"/>
                <w:sz w:val="24"/>
                <w:u w:val="single"/>
                <w:vertAlign w:val="superscript"/>
                <w:lang w:val="en-US" w:eastAsia="zh-CN"/>
              </w:rPr>
              <w:t>3</w:t>
            </w:r>
            <w:r>
              <w:rPr>
                <w:rFonts w:hint="eastAsia"/>
                <w:color w:val="auto"/>
                <w:sz w:val="24"/>
                <w:u w:val="single"/>
                <w:lang w:val="en-US" w:eastAsia="zh-CN"/>
              </w:rPr>
              <w:t>/a，每1年更换一次循环水即2m</w:t>
            </w:r>
            <w:r>
              <w:rPr>
                <w:rFonts w:hint="eastAsia"/>
                <w:color w:val="auto"/>
                <w:sz w:val="24"/>
                <w:u w:val="single"/>
                <w:vertAlign w:val="superscript"/>
                <w:lang w:val="en-US" w:eastAsia="zh-CN"/>
              </w:rPr>
              <w:t>3</w:t>
            </w:r>
            <w:r>
              <w:rPr>
                <w:rFonts w:hint="eastAsia"/>
                <w:color w:val="auto"/>
                <w:sz w:val="24"/>
                <w:u w:val="single"/>
                <w:lang w:val="en-US" w:eastAsia="zh-CN"/>
              </w:rPr>
              <w:t>/a，并定期补充捞渣损耗的水量约4.61m</w:t>
            </w:r>
            <w:r>
              <w:rPr>
                <w:rFonts w:hint="eastAsia"/>
                <w:color w:val="auto"/>
                <w:sz w:val="24"/>
                <w:u w:val="single"/>
                <w:vertAlign w:val="superscript"/>
                <w:lang w:val="en-US" w:eastAsia="zh-CN"/>
              </w:rPr>
              <w:t>3</w:t>
            </w:r>
            <w:r>
              <w:rPr>
                <w:rFonts w:hint="eastAsia"/>
                <w:color w:val="auto"/>
                <w:sz w:val="24"/>
                <w:u w:val="single"/>
                <w:lang w:val="en-US" w:eastAsia="zh-CN"/>
              </w:rPr>
              <w:t>/a</w:t>
            </w:r>
            <w:r>
              <w:rPr>
                <w:color w:val="auto"/>
                <w:sz w:val="24"/>
                <w:u w:val="single"/>
              </w:rPr>
              <w:t>。</w:t>
            </w:r>
          </w:p>
          <w:p w14:paraId="0F8FC00F">
            <w:pPr>
              <w:pStyle w:val="29"/>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（2）排水</w:t>
            </w:r>
          </w:p>
          <w:p w14:paraId="1C28770E">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水帘柜中水循环使用，定期捞渣并补充循环损耗水，循环水1年更换一次，</w:t>
            </w:r>
            <w:r>
              <w:rPr>
                <w:rFonts w:hint="eastAsia" w:ascii="Times New Roman"/>
                <w:color w:val="auto"/>
                <w:sz w:val="24"/>
                <w:lang w:val="en-US" w:eastAsia="zh-CN"/>
              </w:rPr>
              <w:t>2</w:t>
            </w:r>
            <w:r>
              <w:rPr>
                <w:rFonts w:hint="eastAsia" w:ascii="Times New Roman" w:eastAsia="宋体"/>
                <w:color w:val="auto"/>
                <w:sz w:val="24"/>
                <w:lang w:val="en-US" w:eastAsia="zh-CN"/>
              </w:rPr>
              <w:t>m</w:t>
            </w:r>
            <w:r>
              <w:rPr>
                <w:rFonts w:hint="eastAsia" w:ascii="Times New Roman" w:eastAsia="宋体"/>
                <w:color w:val="auto"/>
                <w:sz w:val="24"/>
                <w:vertAlign w:val="superscript"/>
                <w:lang w:val="en-US" w:eastAsia="zh-CN"/>
              </w:rPr>
              <w:t>3</w:t>
            </w:r>
            <w:r>
              <w:rPr>
                <w:rFonts w:hint="eastAsia" w:ascii="Times New Roman" w:eastAsia="宋体"/>
                <w:color w:val="auto"/>
                <w:sz w:val="24"/>
                <w:lang w:val="en-US" w:eastAsia="zh-CN"/>
              </w:rPr>
              <w:t>/a</w:t>
            </w:r>
            <w:r>
              <w:rPr>
                <w:rFonts w:hint="eastAsia" w:ascii="Times New Roman"/>
                <w:color w:val="auto"/>
                <w:sz w:val="24"/>
                <w:lang w:val="en-US" w:eastAsia="zh-CN"/>
              </w:rPr>
              <w:t>作为危废委托有资质单位处理，不外排。</w:t>
            </w:r>
          </w:p>
          <w:p w14:paraId="40D57968">
            <w:pPr>
              <w:pStyle w:val="29"/>
              <w:bidi w:val="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生活污水经化粪池处理达到《污水综合排放标准》（GB8978-1996）表4 中三级标准（其中氨氮、总磷参照执行《污水排入城镇下水道水质标准》GB/T 31962-2015表1中B级排放限值要求）后经市政污水管网进入铜桥港污水处理厂。</w:t>
            </w:r>
          </w:p>
          <w:p w14:paraId="58A2F11F">
            <w:pPr>
              <w:pStyle w:val="29"/>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（3）水平衡</w:t>
            </w:r>
          </w:p>
          <w:p w14:paraId="4254B302">
            <w:pPr>
              <w:pStyle w:val="29"/>
              <w:bidi w:val="0"/>
              <w:ind w:left="0" w:leftChars="0" w:firstLine="0" w:firstLineChars="0"/>
              <w:jc w:val="center"/>
              <w:rPr>
                <w:rFonts w:hint="eastAsia" w:ascii="Times New Roman" w:hAnsi="Times New Roman" w:eastAsia="宋体" w:cs="Times New Roman"/>
                <w:color w:val="FF0000"/>
                <w:highlight w:val="none"/>
                <w:lang w:eastAsia="zh-CN"/>
              </w:rPr>
            </w:pPr>
          </w:p>
          <w:p w14:paraId="05A4EA8A">
            <w:pPr>
              <w:pStyle w:val="29"/>
              <w:bidi w:val="0"/>
              <w:ind w:left="0" w:leftChars="0" w:firstLine="0" w:firstLineChars="0"/>
              <w:jc w:val="center"/>
              <w:rPr>
                <w:rFonts w:hint="eastAsia" w:ascii="Times New Roman" w:hAnsi="Times New Roman" w:eastAsia="宋体" w:cs="Times New Roman"/>
                <w:color w:val="FF0000"/>
                <w:highlight w:val="none"/>
                <w:lang w:eastAsia="zh-CN"/>
              </w:rPr>
            </w:pPr>
            <w:r>
              <w:rPr>
                <w:color w:val="FF0000"/>
                <w:sz w:val="24"/>
              </w:rPr>
              <mc:AlternateContent>
                <mc:Choice Requires="wpc">
                  <w:drawing>
                    <wp:inline distT="0" distB="0" distL="114300" distR="114300">
                      <wp:extent cx="5045075" cy="3214370"/>
                      <wp:effectExtent l="0" t="0" r="3175" b="0"/>
                      <wp:docPr id="47" name="画布 47"/>
                      <wp:cNvGraphicFramePr/>
                      <a:graphic xmlns:a="http://schemas.openxmlformats.org/drawingml/2006/main">
                        <a:graphicData uri="http://schemas.microsoft.com/office/word/2010/wordprocessingCanvas">
                          <wpc:wpc>
                            <wpc:bg/>
                            <wpc:whole/>
                            <wps:wsp>
                              <wps:cNvPr id="99" name="矩形 19"/>
                              <wps:cNvSpPr/>
                              <wps:spPr>
                                <a:xfrm>
                                  <a:off x="65405" y="1370330"/>
                                  <a:ext cx="546100" cy="264160"/>
                                </a:xfrm>
                                <a:prstGeom prst="rect">
                                  <a:avLst/>
                                </a:prstGeom>
                                <a:solidFill>
                                  <a:srgbClr val="FFFFFF"/>
                                </a:solidFill>
                                <a:ln w="9525" cap="flat" cmpd="sng">
                                  <a:noFill/>
                                  <a:prstDash val="solid"/>
                                  <a:miter/>
                                  <a:headEnd type="none" w="med" len="med"/>
                                  <a:tailEnd type="none" w="med" len="med"/>
                                </a:ln>
                              </wps:spPr>
                              <wps:txbx>
                                <w:txbxContent>
                                  <w:p w14:paraId="2C6AA0F5">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自来水</w:t>
                                    </w:r>
                                  </w:p>
                                </w:txbxContent>
                              </wps:txbx>
                              <wps:bodyPr vert="horz" lIns="0" tIns="0" rIns="0" bIns="0" anchor="t" anchorCtr="0" upright="1"/>
                            </wps:wsp>
                            <wps:wsp>
                              <wps:cNvPr id="48" name="矩形 19"/>
                              <wps:cNvSpPr/>
                              <wps:spPr>
                                <a:xfrm>
                                  <a:off x="1208405" y="646430"/>
                                  <a:ext cx="845820" cy="3454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204D9B5">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生活用水</w:t>
                                    </w:r>
                                  </w:p>
                                </w:txbxContent>
                              </wps:txbx>
                              <wps:bodyPr vert="horz" lIns="0" tIns="36000" rIns="0" bIns="0" anchor="t" anchorCtr="0" upright="1"/>
                            </wps:wsp>
                            <wps:wsp>
                              <wps:cNvPr id="67" name="矩形 19"/>
                              <wps:cNvSpPr/>
                              <wps:spPr>
                                <a:xfrm>
                                  <a:off x="2599055" y="646430"/>
                                  <a:ext cx="1092835" cy="3454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410450">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隔油池+化粪池</w:t>
                                    </w:r>
                                  </w:p>
                                </w:txbxContent>
                              </wps:txbx>
                              <wps:bodyPr vert="horz" lIns="0" tIns="36000" rIns="0" bIns="0" anchor="t" anchorCtr="0" upright="1"/>
                            </wps:wsp>
                            <wps:wsp>
                              <wps:cNvPr id="69" name="肘形连接符 69"/>
                              <wps:cNvCnPr>
                                <a:stCxn id="99" idx="3"/>
                                <a:endCxn id="103" idx="1"/>
                              </wps:cNvCnPr>
                              <wps:spPr>
                                <a:xfrm>
                                  <a:off x="611505" y="1502410"/>
                                  <a:ext cx="673100" cy="802640"/>
                                </a:xfrm>
                                <a:prstGeom prst="bentConnector3">
                                  <a:avLst>
                                    <a:gd name="adj1" fmla="val 50000"/>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00" name="矩形 19"/>
                              <wps:cNvSpPr/>
                              <wps:spPr>
                                <a:xfrm>
                                  <a:off x="4199890" y="454025"/>
                                  <a:ext cx="749935" cy="7473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722C7A">
                                    <w:pPr>
                                      <w:jc w:val="center"/>
                                      <w:rPr>
                                        <w:rFonts w:hint="default"/>
                                        <w:lang w:val="en-US" w:eastAsia="zh-CN"/>
                                      </w:rPr>
                                    </w:pPr>
                                    <w:r>
                                      <w:rPr>
                                        <w:rFonts w:hint="eastAsia" w:cs="Times New Roman"/>
                                        <w:color w:val="auto"/>
                                        <w:highlight w:val="none"/>
                                        <w:lang w:val="en-US" w:eastAsia="zh-CN"/>
                                      </w:rPr>
                                      <w:t>铜桥港污水处理厂</w:t>
                                    </w:r>
                                  </w:p>
                                </w:txbxContent>
                              </wps:txbx>
                              <wps:bodyPr vert="horz" lIns="0" tIns="36000" rIns="0" bIns="0" anchor="t" anchorCtr="0" upright="1"/>
                            </wps:wsp>
                            <wps:wsp>
                              <wps:cNvPr id="101" name="直线 20"/>
                              <wps:cNvCnPr/>
                              <wps:spPr>
                                <a:xfrm flipV="1">
                                  <a:off x="2084705" y="817880"/>
                                  <a:ext cx="480060" cy="1905"/>
                                </a:xfrm>
                                <a:prstGeom prst="line">
                                  <a:avLst/>
                                </a:prstGeom>
                                <a:ln w="9525" cap="flat" cmpd="sng">
                                  <a:solidFill>
                                    <a:srgbClr val="000000"/>
                                  </a:solidFill>
                                  <a:prstDash val="solid"/>
                                  <a:headEnd type="none" w="med" len="med"/>
                                  <a:tailEnd type="triangle" w="med" len="med"/>
                                </a:ln>
                              </wps:spPr>
                              <wps:bodyPr/>
                            </wps:wsp>
                            <wps:wsp>
                              <wps:cNvPr id="102" name="直线 20"/>
                              <wps:cNvCnPr/>
                              <wps:spPr>
                                <a:xfrm flipV="1">
                                  <a:off x="3684905" y="817880"/>
                                  <a:ext cx="480060" cy="1905"/>
                                </a:xfrm>
                                <a:prstGeom prst="line">
                                  <a:avLst/>
                                </a:prstGeom>
                                <a:ln w="9525" cap="flat" cmpd="sng">
                                  <a:solidFill>
                                    <a:srgbClr val="000000"/>
                                  </a:solidFill>
                                  <a:prstDash val="solid"/>
                                  <a:headEnd type="none" w="med" len="med"/>
                                  <a:tailEnd type="triangle" w="med" len="med"/>
                                </a:ln>
                              </wps:spPr>
                              <wps:bodyPr/>
                            </wps:wsp>
                            <wps:wsp>
                              <wps:cNvPr id="103" name="矩形 19"/>
                              <wps:cNvSpPr/>
                              <wps:spPr>
                                <a:xfrm>
                                  <a:off x="1284605" y="2132330"/>
                                  <a:ext cx="1148080" cy="3454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464050C">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水帘柜用水</w:t>
                                    </w:r>
                                  </w:p>
                                </w:txbxContent>
                              </wps:txbx>
                              <wps:bodyPr vert="horz" lIns="0" tIns="36000" rIns="0" bIns="0" anchor="t" anchorCtr="0" upright="1"/>
                            </wps:wsp>
                            <wps:wsp>
                              <wps:cNvPr id="104" name="肘形连接符 104"/>
                              <wps:cNvCnPr>
                                <a:stCxn id="99" idx="3"/>
                                <a:endCxn id="48" idx="1"/>
                              </wps:cNvCnPr>
                              <wps:spPr>
                                <a:xfrm flipV="1">
                                  <a:off x="611505" y="819150"/>
                                  <a:ext cx="596900" cy="683260"/>
                                </a:xfrm>
                                <a:prstGeom prst="bentConnector3">
                                  <a:avLst>
                                    <a:gd name="adj1" fmla="val 56382"/>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05" name="矩形 19"/>
                              <wps:cNvSpPr/>
                              <wps:spPr>
                                <a:xfrm>
                                  <a:off x="255905" y="1122680"/>
                                  <a:ext cx="546100" cy="264160"/>
                                </a:xfrm>
                                <a:prstGeom prst="rect">
                                  <a:avLst/>
                                </a:prstGeom>
                                <a:solidFill>
                                  <a:srgbClr val="FFFFFF"/>
                                </a:solidFill>
                                <a:ln w="9525" cap="flat" cmpd="sng">
                                  <a:noFill/>
                                  <a:prstDash val="solid"/>
                                  <a:miter/>
                                  <a:headEnd type="none" w="med" len="med"/>
                                  <a:tailEnd type="none" w="med" len="med"/>
                                </a:ln>
                              </wps:spPr>
                              <wps:txbx>
                                <w:txbxContent>
                                  <w:p w14:paraId="3598A50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286.61</w:t>
                                    </w:r>
                                  </w:p>
                                </w:txbxContent>
                              </wps:txbx>
                              <wps:bodyPr vert="horz" lIns="0" tIns="0" rIns="0" bIns="0" anchor="t" anchorCtr="0" upright="1"/>
                            </wps:wsp>
                            <wps:wsp>
                              <wps:cNvPr id="98" name="矩形 19"/>
                              <wps:cNvSpPr/>
                              <wps:spPr>
                                <a:xfrm>
                                  <a:off x="579755" y="522605"/>
                                  <a:ext cx="546100" cy="264160"/>
                                </a:xfrm>
                                <a:prstGeom prst="rect">
                                  <a:avLst/>
                                </a:prstGeom>
                                <a:solidFill>
                                  <a:srgbClr val="FFFFFF"/>
                                </a:solidFill>
                                <a:ln w="9525" cap="flat" cmpd="sng">
                                  <a:noFill/>
                                  <a:prstDash val="solid"/>
                                  <a:miter/>
                                  <a:headEnd type="none" w="med" len="med"/>
                                  <a:tailEnd type="none" w="med" len="med"/>
                                </a:ln>
                              </wps:spPr>
                              <wps:txbx>
                                <w:txbxContent>
                                  <w:p w14:paraId="1D884F9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180</w:t>
                                    </w:r>
                                  </w:p>
                                </w:txbxContent>
                              </wps:txbx>
                              <wps:bodyPr vert="horz" lIns="0" tIns="0" rIns="0" bIns="0" anchor="t" anchorCtr="0" upright="1"/>
                            </wps:wsp>
                            <wps:wsp>
                              <wps:cNvPr id="106" name="矩形 19"/>
                              <wps:cNvSpPr/>
                              <wps:spPr>
                                <a:xfrm>
                                  <a:off x="1465580" y="122555"/>
                                  <a:ext cx="650875" cy="264160"/>
                                </a:xfrm>
                                <a:prstGeom prst="rect">
                                  <a:avLst/>
                                </a:prstGeom>
                                <a:solidFill>
                                  <a:srgbClr val="FFFFFF"/>
                                </a:solidFill>
                                <a:ln w="9525" cap="flat" cmpd="sng">
                                  <a:noFill/>
                                  <a:prstDash val="solid"/>
                                  <a:miter/>
                                  <a:headEnd type="none" w="med" len="med"/>
                                  <a:tailEnd type="none" w="med" len="med"/>
                                </a:ln>
                              </wps:spPr>
                              <wps:txbx>
                                <w:txbxContent>
                                  <w:p w14:paraId="69C82BC7">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损耗36</w:t>
                                    </w:r>
                                  </w:p>
                                </w:txbxContent>
                              </wps:txbx>
                              <wps:bodyPr vert="horz" lIns="0" tIns="0" rIns="0" bIns="0" anchor="t" anchorCtr="0" upright="1"/>
                            </wps:wsp>
                            <wps:wsp>
                              <wps:cNvPr id="107" name="曲线连接符 107"/>
                              <wps:cNvCnPr>
                                <a:stCxn id="48" idx="0"/>
                                <a:endCxn id="106" idx="2"/>
                              </wps:cNvCnPr>
                              <wps:spPr>
                                <a:xfrm rot="16200000">
                                  <a:off x="1581468" y="436563"/>
                                  <a:ext cx="259715" cy="160020"/>
                                </a:xfrm>
                                <a:prstGeom prst="curvedConnector3">
                                  <a:avLst>
                                    <a:gd name="adj1" fmla="val 50000"/>
                                  </a:avLst>
                                </a:prstGeom>
                                <a:ln w="12700">
                                  <a:solidFill>
                                    <a:schemeClr val="tx1"/>
                                  </a:solidFill>
                                  <a:prstDash val="dashDot"/>
                                  <a:tailEnd type="triangle"/>
                                </a:ln>
                              </wps:spPr>
                              <wps:style>
                                <a:lnRef idx="2">
                                  <a:schemeClr val="accent1"/>
                                </a:lnRef>
                                <a:fillRef idx="0">
                                  <a:srgbClr val="FFFFFF"/>
                                </a:fillRef>
                                <a:effectRef idx="0">
                                  <a:srgbClr val="FFFFFF"/>
                                </a:effectRef>
                                <a:fontRef idx="minor">
                                  <a:schemeClr val="tx1"/>
                                </a:fontRef>
                              </wps:style>
                              <wps:bodyPr/>
                            </wps:wsp>
                            <wps:wsp>
                              <wps:cNvPr id="108" name="矩形 19"/>
                              <wps:cNvSpPr/>
                              <wps:spPr>
                                <a:xfrm>
                                  <a:off x="2112645" y="484505"/>
                                  <a:ext cx="413385" cy="264160"/>
                                </a:xfrm>
                                <a:prstGeom prst="rect">
                                  <a:avLst/>
                                </a:prstGeom>
                                <a:solidFill>
                                  <a:srgbClr val="FFFFFF"/>
                                </a:solidFill>
                                <a:ln w="9525" cap="flat" cmpd="sng">
                                  <a:noFill/>
                                  <a:prstDash val="solid"/>
                                  <a:miter/>
                                  <a:headEnd type="none" w="med" len="med"/>
                                  <a:tailEnd type="none" w="med" len="med"/>
                                </a:ln>
                              </wps:spPr>
                              <wps:txbx>
                                <w:txbxContent>
                                  <w:p w14:paraId="06A3FAA3">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144</w:t>
                                    </w:r>
                                  </w:p>
                                </w:txbxContent>
                              </wps:txbx>
                              <wps:bodyPr vert="horz" lIns="0" tIns="0" rIns="0" bIns="0" anchor="t" anchorCtr="0" upright="1"/>
                            </wps:wsp>
                            <wps:wsp>
                              <wps:cNvPr id="109" name="矩形 19"/>
                              <wps:cNvSpPr/>
                              <wps:spPr>
                                <a:xfrm>
                                  <a:off x="3703955" y="494030"/>
                                  <a:ext cx="413385" cy="264160"/>
                                </a:xfrm>
                                <a:prstGeom prst="rect">
                                  <a:avLst/>
                                </a:prstGeom>
                                <a:solidFill>
                                  <a:srgbClr val="FFFFFF"/>
                                </a:solidFill>
                                <a:ln w="9525" cap="flat" cmpd="sng">
                                  <a:noFill/>
                                  <a:prstDash val="solid"/>
                                  <a:miter/>
                                  <a:headEnd type="none" w="med" len="med"/>
                                  <a:tailEnd type="none" w="med" len="med"/>
                                </a:ln>
                              </wps:spPr>
                              <wps:txbx>
                                <w:txbxContent>
                                  <w:p w14:paraId="1E8A5B8B">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144</w:t>
                                    </w:r>
                                  </w:p>
                                </w:txbxContent>
                              </wps:txbx>
                              <wps:bodyPr vert="horz" lIns="0" tIns="0" rIns="0" bIns="0" anchor="t" anchorCtr="0" upright="1"/>
                            </wps:wsp>
                            <wps:wsp>
                              <wps:cNvPr id="110" name="矩形 19"/>
                              <wps:cNvSpPr/>
                              <wps:spPr>
                                <a:xfrm>
                                  <a:off x="598805" y="2322830"/>
                                  <a:ext cx="546100" cy="264160"/>
                                </a:xfrm>
                                <a:prstGeom prst="rect">
                                  <a:avLst/>
                                </a:prstGeom>
                                <a:solidFill>
                                  <a:srgbClr val="FFFFFF"/>
                                </a:solidFill>
                                <a:ln w="9525" cap="flat" cmpd="sng">
                                  <a:noFill/>
                                  <a:prstDash val="solid"/>
                                  <a:miter/>
                                  <a:headEnd type="none" w="med" len="med"/>
                                  <a:tailEnd type="none" w="med" len="med"/>
                                </a:ln>
                              </wps:spPr>
                              <wps:txbx>
                                <w:txbxContent>
                                  <w:p w14:paraId="12D5A8C1">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126.61</w:t>
                                    </w:r>
                                  </w:p>
                                </w:txbxContent>
                              </wps:txbx>
                              <wps:bodyPr vert="horz" lIns="0" tIns="0" rIns="0" bIns="0" anchor="t" anchorCtr="0" upright="1"/>
                            </wps:wsp>
                            <wps:wsp>
                              <wps:cNvPr id="111" name="矩形 19"/>
                              <wps:cNvSpPr/>
                              <wps:spPr>
                                <a:xfrm>
                                  <a:off x="1330960" y="1598930"/>
                                  <a:ext cx="1651635" cy="264160"/>
                                </a:xfrm>
                                <a:prstGeom prst="rect">
                                  <a:avLst/>
                                </a:prstGeom>
                                <a:solidFill>
                                  <a:srgbClr val="FFFFFF"/>
                                </a:solidFill>
                                <a:ln w="9525" cap="flat" cmpd="sng">
                                  <a:noFill/>
                                  <a:prstDash val="solid"/>
                                  <a:miter/>
                                  <a:headEnd type="none" w="med" len="med"/>
                                  <a:tailEnd type="none" w="med" len="med"/>
                                </a:ln>
                              </wps:spPr>
                              <wps:txbx>
                                <w:txbxContent>
                                  <w:p w14:paraId="7EBABA51">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损耗120</w:t>
                                    </w:r>
                                  </w:p>
                                </w:txbxContent>
                              </wps:txbx>
                              <wps:bodyPr vert="horz" lIns="0" tIns="0" rIns="0" bIns="0" anchor="t" anchorCtr="0" upright="1"/>
                            </wps:wsp>
                            <wps:wsp>
                              <wps:cNvPr id="112" name="曲线连接符 112"/>
                              <wps:cNvCnPr>
                                <a:endCxn id="111" idx="2"/>
                              </wps:cNvCnPr>
                              <wps:spPr>
                                <a:xfrm rot="16200000">
                                  <a:off x="1946910" y="1912620"/>
                                  <a:ext cx="259715" cy="160020"/>
                                </a:xfrm>
                                <a:prstGeom prst="curvedConnector3">
                                  <a:avLst>
                                    <a:gd name="adj1" fmla="val 50000"/>
                                  </a:avLst>
                                </a:prstGeom>
                                <a:ln w="12700">
                                  <a:solidFill>
                                    <a:schemeClr val="tx1"/>
                                  </a:solidFill>
                                  <a:prstDash val="dashDot"/>
                                  <a:tailEnd type="triangle"/>
                                </a:ln>
                              </wps:spPr>
                              <wps:style>
                                <a:lnRef idx="2">
                                  <a:schemeClr val="accent1"/>
                                </a:lnRef>
                                <a:fillRef idx="0">
                                  <a:srgbClr val="FFFFFF"/>
                                </a:fillRef>
                                <a:effectRef idx="0">
                                  <a:srgbClr val="FFFFFF"/>
                                </a:effectRef>
                                <a:fontRef idx="minor">
                                  <a:schemeClr val="tx1"/>
                                </a:fontRef>
                              </wps:style>
                              <wps:bodyPr/>
                            </wps:wsp>
                            <wps:wsp>
                              <wps:cNvPr id="177" name="肘形连接符 177"/>
                              <wps:cNvCnPr>
                                <a:stCxn id="103" idx="3"/>
                                <a:endCxn id="103" idx="2"/>
                              </wps:cNvCnPr>
                              <wps:spPr>
                                <a:xfrm flipH="1">
                                  <a:off x="1858645" y="2305050"/>
                                  <a:ext cx="574040" cy="172720"/>
                                </a:xfrm>
                                <a:prstGeom prst="bentConnector4">
                                  <a:avLst>
                                    <a:gd name="adj1" fmla="val -150553"/>
                                    <a:gd name="adj2" fmla="val 237868"/>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8" name="矩形 19"/>
                              <wps:cNvSpPr/>
                              <wps:spPr>
                                <a:xfrm>
                                  <a:off x="2635250" y="2758440"/>
                                  <a:ext cx="707390" cy="264160"/>
                                </a:xfrm>
                                <a:prstGeom prst="rect">
                                  <a:avLst/>
                                </a:prstGeom>
                                <a:solidFill>
                                  <a:srgbClr val="FFFFFF"/>
                                </a:solidFill>
                                <a:ln w="9525" cap="flat" cmpd="sng">
                                  <a:noFill/>
                                  <a:prstDash val="solid"/>
                                  <a:miter/>
                                  <a:headEnd type="none" w="med" len="med"/>
                                  <a:tailEnd type="none" w="med" len="med"/>
                                </a:ln>
                              </wps:spPr>
                              <wps:txbx>
                                <w:txbxContent>
                                  <w:p w14:paraId="3E9A06D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6000</w:t>
                                    </w:r>
                                  </w:p>
                                </w:txbxContent>
                              </wps:txbx>
                              <wps:bodyPr vert="horz" lIns="0" tIns="0" rIns="0" bIns="0" anchor="t" anchorCtr="0" upright="1"/>
                            </wps:wsp>
                            <wps:wsp>
                              <wps:cNvPr id="16" name="直线 20"/>
                              <wps:cNvCnPr/>
                              <wps:spPr>
                                <a:xfrm flipV="1">
                                  <a:off x="2447290" y="2152650"/>
                                  <a:ext cx="480060" cy="1905"/>
                                </a:xfrm>
                                <a:prstGeom prst="line">
                                  <a:avLst/>
                                </a:prstGeom>
                                <a:ln w="9525" cap="flat" cmpd="sng">
                                  <a:solidFill>
                                    <a:srgbClr val="000000"/>
                                  </a:solidFill>
                                  <a:prstDash val="solid"/>
                                  <a:headEnd type="none" w="med" len="med"/>
                                  <a:tailEnd type="triangle" w="med" len="med"/>
                                </a:ln>
                              </wps:spPr>
                              <wps:bodyPr/>
                            </wps:wsp>
                            <wps:wsp>
                              <wps:cNvPr id="17" name="矩形 19"/>
                              <wps:cNvSpPr/>
                              <wps:spPr>
                                <a:xfrm>
                                  <a:off x="2961005" y="2009140"/>
                                  <a:ext cx="1651635" cy="264160"/>
                                </a:xfrm>
                                <a:prstGeom prst="rect">
                                  <a:avLst/>
                                </a:prstGeom>
                                <a:solidFill>
                                  <a:srgbClr val="FFFFFF"/>
                                </a:solidFill>
                                <a:ln w="9525" cap="flat" cmpd="sng">
                                  <a:noFill/>
                                  <a:prstDash val="solid"/>
                                  <a:miter/>
                                  <a:headEnd type="none" w="med" len="med"/>
                                  <a:tailEnd type="none" w="med" len="med"/>
                                </a:ln>
                              </wps:spPr>
                              <wps:txbx>
                                <w:txbxContent>
                                  <w:p w14:paraId="228472EB">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进入危废6.61</w:t>
                                    </w:r>
                                  </w:p>
                                </w:txbxContent>
                              </wps:txbx>
                              <wps:bodyPr vert="horz" lIns="0" tIns="0" rIns="0" bIns="0" anchor="t" anchorCtr="0" upright="1"/>
                            </wps:wsp>
                          </wpc:wpc>
                        </a:graphicData>
                      </a:graphic>
                    </wp:inline>
                  </w:drawing>
                </mc:Choice>
                <mc:Fallback>
                  <w:pict>
                    <v:group id="_x0000_s1026" o:spid="_x0000_s1026" o:spt="203" style="height:253.1pt;width:397.25pt;" coordsize="5045075,3214370" editas="canvas" o:gfxdata="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">
                      <o:lock v:ext="edit" aspectratio="f"/>
                      <v:shape id="_x0000_s1026" o:spid="_x0000_s1026" style="position:absolute;left:0;top:0;height:3214370;width:5045075;" filled="f" stroked="f" coordsize="21600,21600" o:gfxdata="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">
                        <v:fill on="f" focussize="0,0"/>
                        <v:stroke on="f"/>
                        <v:imagedata o:title=""/>
                        <o:lock v:ext="edit" aspectratio="f"/>
                      </v:shape>
                      <v:rect id="矩形 19" o:spid="_x0000_s1026" o:spt="1" style="position:absolute;left:65405;top:1370330;height:264160;width:546100;"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23y8NMAAAAFAQAADwAAAAAAAAABACAAAAAiAAAAZHJzL2Rvd25yZXYueG1sUEsBAhQAFAAAAAgA&#10;h07iQP7dUEsqAgAAVAQAAA4AAAAAAAAAAQAgAAAAIgEAAGRycy9lMm9Eb2MueG1sUEsFBgAAAAAG&#10;AAYAWQEAAL4FAAAAAA==&#10;">
                        <v:fill on="t" focussize="0,0"/>
                        <v:stroke on="f" joinstyle="miter"/>
                        <v:imagedata o:title=""/>
                        <o:lock v:ext="edit" aspectratio="f"/>
                        <v:textbox inset="0mm,0mm,0mm,0mm">
                          <w:txbxContent>
                            <w:p w14:paraId="2C6AA0F5">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自来水</w:t>
                              </w:r>
                            </w:p>
                          </w:txbxContent>
                        </v:textbox>
                      </v:rect>
                      <v:rect id="矩形 19" o:spid="_x0000_s1026" o:spt="1" style="position:absolute;left:1208405;top:646430;height:345440;width:845820;" fillcolor="#FFFFFF" filled="t" stroked="t" coordsize="21600,21600" o:gfxdata="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RF2I31gAAAAUBAAAPAAAAAAAAAAEAIAAAACIAAABkcnMvZG93bnJl&#10;di54bWxQSwECFAAUAAAACACHTuJAvxgLXTgCAACCBAAADgAAAAAAAAABACAAAAAlAQAAZHJzL2Uy&#10;b0RvYy54bWxQSwUGAAAAAAYABgBZAQAAzwUAAAAA&#10;">
                        <v:fill on="t" focussize="0,0"/>
                        <v:stroke color="#000000" joinstyle="miter"/>
                        <v:imagedata o:title=""/>
                        <o:lock v:ext="edit" aspectratio="f"/>
                        <v:textbox inset="0mm,1mm,0mm,0mm">
                          <w:txbxContent>
                            <w:p w14:paraId="4204D9B5">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生活用水</w:t>
                              </w:r>
                            </w:p>
                          </w:txbxContent>
                        </v:textbox>
                      </v:rect>
                      <v:rect id="矩形 19" o:spid="_x0000_s1026" o:spt="1" style="position:absolute;left:2599055;top:646430;height:345440;width:1092835;" fillcolor="#FFFFFF" filled="t" stroked="t" coordsize="21600,21600" o:gfxdata="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RF2I31gAAAAUBAAAPAAAAAAAAAAEAIAAAACIAAABkcnMvZG93bnJl&#10;di54bWxQSwECFAAUAAAACACHTuJAHbiJ0jgCAACDBAAADgAAAAAAAAABACAAAAAlAQAAZHJzL2Uy&#10;b0RvYy54bWxQSwUGAAAAAAYABgBZAQAAzwUAAAAA&#10;">
                        <v:fill on="t" focussize="0,0"/>
                        <v:stroke color="#000000" joinstyle="miter"/>
                        <v:imagedata o:title=""/>
                        <o:lock v:ext="edit" aspectratio="f"/>
                        <v:textbox inset="0mm,1mm,0mm,0mm">
                          <w:txbxContent>
                            <w:p w14:paraId="60410450">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隔油池+化粪池</w:t>
                              </w:r>
                            </w:p>
                          </w:txbxContent>
                        </v:textbox>
                      </v:rect>
                      <v:shape id="_x0000_s1026" o:spid="_x0000_s1026" o:spt="34" type="#_x0000_t34" style="position:absolute;left:611505;top:1502410;height:802640;width:673100;" filled="f" stroked="t" coordsize="21600,21600" o:gfxdata="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dvQjNUAAAAFAQAADwAAAAAAAAABACAAAAAiAAAAZHJzL2Rvd25yZXYueG1s&#10;UEsBAhQAFAAAAAgAh07iQFgtcvc0AgAAQgQAAA4AAAAAAAAAAQAgAAAAJAEAAGRycy9lMm9Eb2Mu&#10;eG1sUEsFBgAAAAAGAAYAWQEAAMoFAAAAAA==&#10;" adj="10800">
                        <v:fill on="f" focussize="0,0"/>
                        <v:stroke weight="1pt" color="#000000 [3213]" joinstyle="round" endarrow="block"/>
                        <v:imagedata o:title=""/>
                        <o:lock v:ext="edit" aspectratio="f"/>
                      </v:shape>
                      <v:rect id="矩形 19" o:spid="_x0000_s1026" o:spt="1" style="position:absolute;left:4199890;top:454025;height:747395;width:749935;" fillcolor="#FFFFFF" filled="t" stroked="t" coordsize="21600,21600" o:gfxdata="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EXYjfWAAAABQEAAA8AAAAAAAAAAQAgAAAAIgAAAGRycy9kb3ducmV2&#10;LnhtbFBLAQIUABQAAAAIAIdO4kCagwCONwIAAIMEAAAOAAAAAAAAAAEAIAAAACUBAABkcnMvZTJv&#10;RG9jLnhtbFBLBQYAAAAABgAGAFkBAADOBQAAAAA=&#10;">
                        <v:fill on="t" focussize="0,0"/>
                        <v:stroke color="#000000" joinstyle="miter"/>
                        <v:imagedata o:title=""/>
                        <o:lock v:ext="edit" aspectratio="f"/>
                        <v:textbox inset="0mm,1mm,0mm,0mm">
                          <w:txbxContent>
                            <w:p w14:paraId="25722C7A">
                              <w:pPr>
                                <w:jc w:val="center"/>
                                <w:rPr>
                                  <w:rFonts w:hint="default"/>
                                  <w:lang w:val="en-US" w:eastAsia="zh-CN"/>
                                </w:rPr>
                              </w:pPr>
                              <w:r>
                                <w:rPr>
                                  <w:rFonts w:hint="eastAsia" w:cs="Times New Roman"/>
                                  <w:color w:val="auto"/>
                                  <w:highlight w:val="none"/>
                                  <w:lang w:val="en-US" w:eastAsia="zh-CN"/>
                                </w:rPr>
                                <w:t>铜桥港污水处理厂</w:t>
                              </w:r>
                            </w:p>
                          </w:txbxContent>
                        </v:textbox>
                      </v:rect>
                      <v:line id="直线 20" o:spid="_x0000_s1026" o:spt="20" style="position:absolute;left:2084705;top:817880;flip:y;height:1905;width:480060;" filled="f" stroked="t" coordsize="21600,21600" o:gfxdata="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6omiS1wAAAAUBAAAPAAAAAAAAAAEAIAAAACIAAABkcnMvZG93bnJldi54&#10;bWxQSwECFAAUAAAACACHTuJAhg5CtPsBAADtAwAADgAAAAAAAAABACAAAAAmAQAAZHJzL2Uyb0Rv&#10;Yy54bWxQSwUGAAAAAAYABgBZAQAAkwUAAAAA&#10;">
                        <v:fill on="f" focussize="0,0"/>
                        <v:stroke color="#000000" joinstyle="round" endarrow="block"/>
                        <v:imagedata o:title=""/>
                        <o:lock v:ext="edit" aspectratio="f"/>
                      </v:line>
                      <v:line id="直线 20" o:spid="_x0000_s1026" o:spt="20" style="position:absolute;left:3684905;top:817880;flip:y;height:1905;width:480060;" filled="f" stroked="t" coordsize="21600,21600" o:gfxdata="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6omiS1wAAAAUBAAAPAAAAAAAAAAEAIAAAACIAAABkcnMvZG93bnJldi54&#10;bWxQSwECFAAUAAAACACHTuJALOPlwfsBAADtAwAADgAAAAAAAAABACAAAAAmAQAAZHJzL2Uyb0Rv&#10;Yy54bWxQSwUGAAAAAAYABgBZAQAAkwUAAAAA&#10;">
                        <v:fill on="f" focussize="0,0"/>
                        <v:stroke color="#000000" joinstyle="round" endarrow="block"/>
                        <v:imagedata o:title=""/>
                        <o:lock v:ext="edit" aspectratio="f"/>
                      </v:line>
                      <v:rect id="矩形 19" o:spid="_x0000_s1026" o:spt="1" style="position:absolute;left:1284605;top:2132330;height:345440;width:1148080;" fillcolor="#FFFFFF" filled="t" stroked="t" coordsize="21600,21600" o:gfxdata="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RdiN9YAAAAFAQAADwAAAAAAAAABACAAAAAiAAAAZHJzL2Rvd25y&#10;ZXYueG1sUEsBAhQAFAAAAAgAh07iQAv6VLQ5AgAAhQQAAA4AAAAAAAAAAQAgAAAAJQEAAGRycy9l&#10;Mm9Eb2MueG1sUEsFBgAAAAAGAAYAWQEAANAFAAAAAA==&#10;">
                        <v:fill on="t" focussize="0,0"/>
                        <v:stroke color="#000000" joinstyle="miter"/>
                        <v:imagedata o:title=""/>
                        <o:lock v:ext="edit" aspectratio="f"/>
                        <v:textbox inset="0mm,1mm,0mm,0mm">
                          <w:txbxContent>
                            <w:p w14:paraId="3464050C">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水帘柜用水</w:t>
                              </w:r>
                            </w:p>
                          </w:txbxContent>
                        </v:textbox>
                      </v:rect>
                      <v:shape id="_x0000_s1026" o:spid="_x0000_s1026" o:spt="34" type="#_x0000_t34" style="position:absolute;left:611505;top:819150;flip:y;height:683260;width:596900;" filled="f" stroked="t" coordsize="21600,21600" o:gfxdata="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Mv1HDVAAAABQEAAA8AAAAAAAAAAQAgAAAAIgAAAGRycy9k&#10;b3ducmV2LnhtbFBLAQIUABQAAAAIAIdO4kBGItDrPgIAAEwEAAAOAAAAAAAAAAEAIAAAACQBAABk&#10;cnMvZTJvRG9jLnhtbFBLBQYAAAAABgAGAFkBAADUBQAAAAA=&#10;" adj="12179">
                        <v:fill on="f" focussize="0,0"/>
                        <v:stroke weight="1pt" color="#000000 [3213]" joinstyle="round" endarrow="block"/>
                        <v:imagedata o:title=""/>
                        <o:lock v:ext="edit" aspectratio="f"/>
                      </v:shape>
                      <v:rect id="矩形 19" o:spid="_x0000_s1026" o:spt="1" style="position:absolute;left:255905;top:1122680;height:264160;width:546100;"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tt8vDTAAAABQEAAA8AAAAAAAAAAQAgAAAAIgAAAGRycy9kb3ducmV2LnhtbFBLAQIUABQAAAAI&#10;AIdO4kBXaVc7KwIAAFYEAAAOAAAAAAAAAAEAIAAAACIBAABkcnMvZTJvRG9jLnhtbFBLBQYAAAAA&#10;BgAGAFkBAAC/BQAAAAA=&#10;">
                        <v:fill on="t" focussize="0,0"/>
                        <v:stroke on="f" joinstyle="miter"/>
                        <v:imagedata o:title=""/>
                        <o:lock v:ext="edit" aspectratio="f"/>
                        <v:textbox inset="0mm,0mm,0mm,0mm">
                          <w:txbxContent>
                            <w:p w14:paraId="3598A50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286.61</w:t>
                              </w:r>
                            </w:p>
                          </w:txbxContent>
                        </v:textbox>
                      </v:rect>
                      <v:rect id="矩形 19" o:spid="_x0000_s1026" o:spt="1" style="position:absolute;left:579755;top:522605;height:264160;width:546100;"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7&#10;bfLw0wAAAAUBAAAPAAAAAAAAAAEAIAAAACIAAABkcnMvZG93bnJldi54bWxQSwECFAAUAAAACACH&#10;TuJAYY57kikCAABUBAAADgAAAAAAAAABACAAAAAiAQAAZHJzL2Uyb0RvYy54bWxQSwUGAAAAAAYA&#10;BgBZAQAAvQUAAAAA&#10;">
                        <v:fill on="t" focussize="0,0"/>
                        <v:stroke on="f" joinstyle="miter"/>
                        <v:imagedata o:title=""/>
                        <o:lock v:ext="edit" aspectratio="f"/>
                        <v:textbox inset="0mm,0mm,0mm,0mm">
                          <w:txbxContent>
                            <w:p w14:paraId="1D884F9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180</w:t>
                              </w:r>
                            </w:p>
                          </w:txbxContent>
                        </v:textbox>
                      </v:rect>
                      <v:rect id="矩形 19" o:spid="_x0000_s1026" o:spt="1" style="position:absolute;left:1465580;top:122555;height:264160;width:650875;"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tt8vDTAAAABQEAAA8AAAAAAAAAAQAgAAAAIgAAAGRycy9kb3ducmV2LnhtbFBLAQIUABQAAAAI&#10;AIdO4kBhWvNDKwIAAFYEAAAOAAAAAAAAAAEAIAAAACIBAABkcnMvZTJvRG9jLnhtbFBLBQYAAAAA&#10;BgAGAFkBAAC/BQAAAAA=&#10;">
                        <v:fill on="t" focussize="0,0"/>
                        <v:stroke on="f" joinstyle="miter"/>
                        <v:imagedata o:title=""/>
                        <o:lock v:ext="edit" aspectratio="f"/>
                        <v:textbox inset="0mm,0mm,0mm,0mm">
                          <w:txbxContent>
                            <w:p w14:paraId="69C82BC7">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损耗36</w:t>
                              </w:r>
                            </w:p>
                          </w:txbxContent>
                        </v:textbox>
                      </v:rect>
                      <v:shape id="_x0000_s1026" o:spid="_x0000_s1026" o:spt="38" type="#_x0000_t38" style="position:absolute;left:1581468;top:436563;height:160020;width:259715;rotation:-5898240f;" filled="f" stroked="t" coordsize="21600,21600" o:gfxdata="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idUkdQAAAAFAQAADwAAAAAAAAABACAAAAAi&#10;AAAAZHJzL2Rvd25yZXYueG1sUEsBAhQAFAAAAAgAh07iQA2bVQZHAgAAVwQAAA4AAAAAAAAAAQAg&#10;AAAAIwEAAGRycy9lMm9Eb2MueG1sUEsFBgAAAAAGAAYAWQEAANwFAAAAAA==&#10;" adj="10800">
                        <v:fill on="f" focussize="0,0"/>
                        <v:stroke weight="1pt" color="#000000 [3213]" joinstyle="round" dashstyle="dashDot" endarrow="block"/>
                        <v:imagedata o:title=""/>
                        <o:lock v:ext="edit" aspectratio="f"/>
                      </v:shape>
                      <v:rect id="矩形 19" o:spid="_x0000_s1026" o:spt="1" style="position:absolute;left:2112645;top:484505;height:264160;width:413385;"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7bfLw0wAAAAUBAAAPAAAAAAAAAAEAIAAAACIAAABkcnMvZG93bnJldi54bWxQSwECFAAUAAAA&#10;CACHTuJARO+/piwCAABWBAAADgAAAAAAAAABACAAAAAiAQAAZHJzL2Uyb0RvYy54bWxQSwUGAAAA&#10;AAYABgBZAQAAwAUAAAAA&#10;">
                        <v:fill on="t" focussize="0,0"/>
                        <v:stroke on="f" joinstyle="miter"/>
                        <v:imagedata o:title=""/>
                        <o:lock v:ext="edit" aspectratio="f"/>
                        <v:textbox inset="0mm,0mm,0mm,0mm">
                          <w:txbxContent>
                            <w:p w14:paraId="06A3FAA3">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144</w:t>
                              </w:r>
                            </w:p>
                          </w:txbxContent>
                        </v:textbox>
                      </v:rect>
                      <v:rect id="矩形 19" o:spid="_x0000_s1026" o:spt="1" style="position:absolute;left:3703955;top:494030;height:264160;width:413385;"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O23y8NMAAAAFAQAADwAAAAAAAAABACAAAAAiAAAAZHJzL2Rvd25yZXYueG1sUEsBAhQAFAAA&#10;AAgAh07iQOLr+eMtAgAAVgQAAA4AAAAAAAAAAQAgAAAAIgEAAGRycy9lMm9Eb2MueG1sUEsFBgAA&#10;AAAGAAYAWQEAAMEFAAAAAA==&#10;">
                        <v:fill on="t" focussize="0,0"/>
                        <v:stroke on="f" joinstyle="miter"/>
                        <v:imagedata o:title=""/>
                        <o:lock v:ext="edit" aspectratio="f"/>
                        <v:textbox inset="0mm,0mm,0mm,0mm">
                          <w:txbxContent>
                            <w:p w14:paraId="1E8A5B8B">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144</w:t>
                              </w:r>
                            </w:p>
                          </w:txbxContent>
                        </v:textbox>
                      </v:rect>
                      <v:rect id="矩形 19" o:spid="_x0000_s1026" o:spt="1" style="position:absolute;left:598805;top:2322830;height:264160;width:546100;"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7bfLw0wAAAAUBAAAPAAAAAAAAAAEAIAAAACIAAABkcnMvZG93bnJldi54bWxQSwECFAAUAAAA&#10;CACHTuJAys8AVywCAABWBAAADgAAAAAAAAABACAAAAAiAQAAZHJzL2Uyb0RvYy54bWxQSwUGAAAA&#10;AAYABgBZAQAAwAUAAAAA&#10;">
                        <v:fill on="t" focussize="0,0"/>
                        <v:stroke on="f" joinstyle="miter"/>
                        <v:imagedata o:title=""/>
                        <o:lock v:ext="edit" aspectratio="f"/>
                        <v:textbox inset="0mm,0mm,0mm,0mm">
                          <w:txbxContent>
                            <w:p w14:paraId="12D5A8C1">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126.61</w:t>
                              </w:r>
                            </w:p>
                          </w:txbxContent>
                        </v:textbox>
                      </v:rect>
                      <v:rect id="矩形 19" o:spid="_x0000_s1026" o:spt="1" style="position:absolute;left:1330960;top:1598930;height:264160;width:1651635;"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tt8vDTAAAABQEAAA8AAAAAAAAAAQAgAAAAIgAAAGRycy9kb3ducmV2LnhtbFBLAQIUABQAAAAI&#10;AIdO4kC8kqwZKwIAAFgEAAAOAAAAAAAAAAEAIAAAACIBAABkcnMvZTJvRG9jLnhtbFBLBQYAAAAA&#10;BgAGAFkBAAC/BQAAAAA=&#10;">
                        <v:fill on="t" focussize="0,0"/>
                        <v:stroke on="f" joinstyle="miter"/>
                        <v:imagedata o:title=""/>
                        <o:lock v:ext="edit" aspectratio="f"/>
                        <v:textbox inset="0mm,0mm,0mm,0mm">
                          <w:txbxContent>
                            <w:p w14:paraId="7EBABA51">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损耗120</w:t>
                              </w:r>
                            </w:p>
                          </w:txbxContent>
                        </v:textbox>
                      </v:rect>
                      <v:shape id="_x0000_s1026" o:spid="_x0000_s1026" o:spt="38" type="#_x0000_t38" style="position:absolute;left:1946910;top:1912620;height:160020;width:259715;rotation:-5898240f;" filled="f" stroked="t" coordsize="21600,21600" o:gfxdata="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iJ1SR1AAAAAUBAAAPAAAAAAAAAAEAIAAAACIAAABkcnMvZG93bnJldi54&#10;bWxQSwECFAAUAAAACACHTuJARfJ3AzcCAAA+BAAADgAAAAAAAAABACAAAAAjAQAAZHJzL2Uyb0Rv&#10;Yy54bWxQSwUGAAAAAAYABgBZAQAAzAUAAAAA&#10;" adj="10800">
                        <v:fill on="f" focussize="0,0"/>
                        <v:stroke weight="1pt" color="#000000 [3213]" joinstyle="round" dashstyle="dashDot" endarrow="block"/>
                        <v:imagedata o:title=""/>
                        <o:lock v:ext="edit" aspectratio="f"/>
                      </v:shape>
                      <v:shape id="_x0000_s1026" o:spid="_x0000_s1026" o:spt="35" type="#_x0000_t35" style="position:absolute;left:1858645;top:2305050;flip:x;height:172720;width:574040;" filled="f" stroked="t" coordsize="21600,21600" o:gfxdata="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6w9NUAAAAFAQAADwAAAAAAAAAB&#10;ACAAAAAiAAAAZHJzL2Rvd25yZXYueG1sUEsBAhQAFAAAAAgAh07iQEdst+5MAgAAdgQAAA4AAAAA&#10;AAAAAQAgAAAAJAEAAGRycy9lMm9Eb2MueG1sUEsFBgAAAAAGAAYAWQEAAOIFAAAAAA==&#10;" adj="-32519,51379">
                        <v:fill on="f" focussize="0,0"/>
                        <v:stroke color="#000000 [3213]" joinstyle="round" endarrow="block"/>
                        <v:imagedata o:title=""/>
                        <o:lock v:ext="edit" aspectratio="f"/>
                      </v:shape>
                      <v:rect id="矩形 19" o:spid="_x0000_s1026" o:spt="1" style="position:absolute;left:2635250;top:2758440;height:264160;width:707390;"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7bfLw0wAAAAUBAAAPAAAAAAAAAAEAIAAAACIAAABkcnMvZG93bnJldi54bWxQSwECFAAUAAAA&#10;CACHTuJAUCeisCwCAABXBAAADgAAAAAAAAABACAAAAAiAQAAZHJzL2Uyb0RvYy54bWxQSwUGAAAA&#10;AAYABgBZAQAAwAUAAAAA&#10;">
                        <v:fill on="t" focussize="0,0"/>
                        <v:stroke on="f" joinstyle="miter"/>
                        <v:imagedata o:title=""/>
                        <o:lock v:ext="edit" aspectratio="f"/>
                        <v:textbox inset="0mm,0mm,0mm,0mm">
                          <w:txbxContent>
                            <w:p w14:paraId="3E9A06DA">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6000</w:t>
                              </w:r>
                            </w:p>
                          </w:txbxContent>
                        </v:textbox>
                      </v:rect>
                      <v:line id="直线 20" o:spid="_x0000_s1026" o:spt="20" style="position:absolute;left:2447290;top:2152650;flip:y;height:1905;width:480060;" filled="f" stroked="t" coordsize="21600,21600" o:gfxdata="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qiaJLXAAAABQEAAA8AAAAAAAAAAQAgAAAAIgAAAGRycy9kb3ducmV2Lnht&#10;bFBLAQIUABQAAAAIAIdO4kAfFLeL+gEAAO0DAAAOAAAAAAAAAAEAIAAAACYBAABkcnMvZTJvRG9j&#10;LnhtbFBLBQYAAAAABgAGAFkBAACSBQAAAAA=&#10;">
                        <v:fill on="f" focussize="0,0"/>
                        <v:stroke color="#000000" joinstyle="round" endarrow="block"/>
                        <v:imagedata o:title=""/>
                        <o:lock v:ext="edit" aspectratio="f"/>
                      </v:line>
                      <v:rect id="矩形 19" o:spid="_x0000_s1026" o:spt="1" style="position:absolute;left:2961005;top:2009140;height:264160;width:1651635;" fillcolor="#FFFFFF" filled="t" stroked="f" coordsize="21600,21600" o:gfxdata="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7bfLw0wAAAAUBAAAPAAAAAAAAAAEAIAAAACIAAABkcnMvZG93bnJldi54bWxQSwECFAAUAAAA&#10;CACHTuJAOqmUwCwCAABXBAAADgAAAAAAAAABACAAAAAiAQAAZHJzL2Uyb0RvYy54bWxQSwUGAAAA&#10;AAYABgBZAQAAwAUAAAAA&#10;">
                        <v:fill on="t" focussize="0,0"/>
                        <v:stroke on="f" joinstyle="miter"/>
                        <v:imagedata o:title=""/>
                        <o:lock v:ext="edit" aspectratio="f"/>
                        <v:textbox inset="0mm,0mm,0mm,0mm">
                          <w:txbxContent>
                            <w:p w14:paraId="228472EB">
                              <w:pPr>
                                <w:spacing w:line="40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进入危废6.61</w:t>
                              </w:r>
                            </w:p>
                          </w:txbxContent>
                        </v:textbox>
                      </v:rect>
                      <w10:wrap type="none"/>
                      <w10:anchorlock/>
                    </v:group>
                  </w:pict>
                </mc:Fallback>
              </mc:AlternateContent>
            </w:r>
          </w:p>
          <w:p w14:paraId="6C09DEBE">
            <w:pPr>
              <w:pStyle w:val="31"/>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图2-1</w:t>
            </w:r>
            <w:r>
              <w:rPr>
                <w:rFonts w:hint="default" w:ascii="Times New Roman" w:hAnsi="Times New Roman" w:cs="Times New Roman"/>
                <w:color w:val="auto"/>
                <w:highlight w:val="none"/>
                <w:u w:val="single"/>
                <w:lang w:val="en-US" w:eastAsia="zh-CN"/>
              </w:rPr>
              <w:t xml:space="preserve"> </w:t>
            </w:r>
            <w:r>
              <w:rPr>
                <w:rFonts w:hint="default" w:ascii="Times New Roman" w:hAnsi="Times New Roman" w:cs="Times New Roman"/>
                <w:color w:val="auto"/>
                <w:highlight w:val="none"/>
                <w:u w:val="single"/>
              </w:rPr>
              <w:t xml:space="preserve"> 项目水平衡 单位：m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w:t>
            </w:r>
          </w:p>
          <w:p w14:paraId="494F4B60">
            <w:pPr>
              <w:pStyle w:val="29"/>
              <w:bidi w:val="0"/>
              <w:rPr>
                <w:rFonts w:hint="default" w:ascii="Times New Roman" w:hAnsi="Times New Roman" w:cs="Times New Roman"/>
                <w:color w:val="auto"/>
                <w:highlight w:val="none"/>
              </w:rPr>
            </w:pPr>
            <w:r>
              <w:rPr>
                <w:rFonts w:hint="eastAsia"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.2 供电</w:t>
            </w:r>
          </w:p>
          <w:p w14:paraId="5561F1EA">
            <w:pPr>
              <w:pStyle w:val="29"/>
              <w:bidi w:val="0"/>
              <w:rPr>
                <w:rFonts w:hint="eastAsia" w:ascii="Times New Roman" w:hAnsi="Times New Roman" w:eastAsia="宋体" w:cs="Times New Roman"/>
                <w:color w:val="auto"/>
                <w:highlight w:val="yellow"/>
                <w:lang w:eastAsia="zh-CN"/>
              </w:rPr>
            </w:pPr>
            <w:r>
              <w:rPr>
                <w:rFonts w:hint="eastAsia" w:ascii="Times New Roman" w:hAnsi="Times New Roman" w:cs="Times New Roman"/>
                <w:color w:val="auto"/>
                <w:highlight w:val="none"/>
                <w:lang w:val="en-US" w:eastAsia="zh-CN"/>
              </w:rPr>
              <w:t>本项目用电</w:t>
            </w:r>
            <w:r>
              <w:rPr>
                <w:rFonts w:hint="default" w:ascii="Times New Roman" w:hAnsi="Times New Roman" w:cs="Times New Roman"/>
                <w:color w:val="auto"/>
                <w:highlight w:val="none"/>
              </w:rPr>
              <w:t>由当地电网提供</w:t>
            </w:r>
            <w:r>
              <w:rPr>
                <w:rFonts w:hint="eastAsia" w:ascii="Times New Roman" w:hAnsi="Times New Roman" w:cs="Times New Roman"/>
                <w:color w:val="auto"/>
                <w:highlight w:val="none"/>
                <w:lang w:eastAsia="zh-CN"/>
              </w:rPr>
              <w:t>。</w:t>
            </w:r>
          </w:p>
          <w:p w14:paraId="1A327784">
            <w:pPr>
              <w:pStyle w:val="29"/>
              <w:bidi w:val="0"/>
              <w:rPr>
                <w:rFonts w:hint="default" w:ascii="Times New Roman" w:hAnsi="Times New Roman" w:cs="Times New Roman"/>
                <w:color w:val="auto"/>
                <w:highlight w:val="none"/>
              </w:rPr>
            </w:pPr>
            <w:r>
              <w:rPr>
                <w:rFonts w:hint="eastAsia" w:ascii="Times New Roman" w:hAnsi="Times New Roman" w:cs="Times New Roman"/>
                <w:b/>
                <w:bCs/>
                <w:color w:val="auto"/>
                <w:highlight w:val="none"/>
                <w:lang w:val="en-US" w:eastAsia="zh-CN"/>
              </w:rPr>
              <w:t>8</w:t>
            </w:r>
            <w:r>
              <w:rPr>
                <w:rFonts w:hint="default" w:ascii="Times New Roman" w:hAnsi="Times New Roman" w:cs="Times New Roman"/>
                <w:b/>
                <w:bCs/>
                <w:color w:val="auto"/>
                <w:highlight w:val="none"/>
              </w:rPr>
              <w:t>、劳动定员及生产制度</w:t>
            </w:r>
          </w:p>
          <w:p w14:paraId="7B3BD572">
            <w:pPr>
              <w:pStyle w:val="29"/>
              <w:bidi w:val="0"/>
              <w:rPr>
                <w:rFonts w:hint="default" w:ascii="Times New Roman" w:hAnsi="Times New Roman" w:eastAsia="宋体" w:cs="Times New Roman"/>
                <w:color w:val="auto"/>
                <w:highlight w:val="yellow"/>
                <w:lang w:val="en-US" w:eastAsia="zh-CN"/>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劳动定员1</w:t>
            </w:r>
            <w:r>
              <w:rPr>
                <w:rFonts w:hint="default" w:ascii="Times New Roman" w:hAnsi="Times New Roman" w:cs="Times New Roman"/>
                <w:color w:val="auto"/>
                <w:highlight w:val="none"/>
              </w:rPr>
              <w:t>0人，全年工作300天，每天工作</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夜间不生产，不提供食宿。</w:t>
            </w:r>
          </w:p>
          <w:p w14:paraId="41D0896F">
            <w:pPr>
              <w:pStyle w:val="29"/>
              <w:bidi w:val="0"/>
              <w:rPr>
                <w:rFonts w:hint="eastAsia" w:ascii="Times New Roman" w:hAnsi="Times New Roman" w:eastAsia="宋体" w:cs="Times New Roman"/>
                <w:color w:val="auto"/>
                <w:highlight w:val="none"/>
                <w:lang w:val="en-US" w:eastAsia="zh-CN"/>
              </w:rPr>
            </w:pPr>
            <w:r>
              <w:rPr>
                <w:rFonts w:hint="eastAsia" w:ascii="Times New Roman" w:hAnsi="Times New Roman" w:cs="Times New Roman"/>
                <w:b/>
                <w:bCs/>
                <w:color w:val="auto"/>
                <w:highlight w:val="none"/>
                <w:lang w:val="en-US" w:eastAsia="zh-CN"/>
              </w:rPr>
              <w:t>9</w:t>
            </w:r>
            <w:r>
              <w:rPr>
                <w:rFonts w:hint="default" w:ascii="Times New Roman" w:hAnsi="Times New Roman" w:cs="Times New Roman"/>
                <w:b/>
                <w:bCs/>
                <w:color w:val="auto"/>
                <w:highlight w:val="none"/>
              </w:rPr>
              <w:t>、总平面布置</w:t>
            </w:r>
            <w:r>
              <w:rPr>
                <w:rFonts w:hint="eastAsia" w:ascii="Times New Roman" w:hAnsi="Times New Roman" w:cs="Times New Roman"/>
                <w:b/>
                <w:bCs/>
                <w:color w:val="auto"/>
                <w:highlight w:val="none"/>
                <w:lang w:val="en-US" w:eastAsia="zh-CN"/>
              </w:rPr>
              <w:t xml:space="preserve"> </w:t>
            </w:r>
          </w:p>
          <w:p w14:paraId="5429BDE8">
            <w:pPr>
              <w:pStyle w:val="29"/>
              <w:bidi w:val="0"/>
              <w:rPr>
                <w:rFonts w:hint="eastAsia" w:ascii="Times New Roman" w:hAnsi="Times New Roman" w:eastAsia="宋体" w:cs="Times New Roman"/>
                <w:color w:val="auto"/>
                <w:sz w:val="24"/>
              </w:rPr>
            </w:pPr>
            <w:r>
              <w:rPr>
                <w:rFonts w:hint="eastAsia" w:ascii="Times New Roman" w:hAnsi="Times New Roman" w:cs="Times New Roman"/>
                <w:color w:val="auto"/>
                <w:highlight w:val="none"/>
                <w:lang w:val="en-US" w:eastAsia="zh-CN"/>
              </w:rPr>
              <w:t>本项目租用湖南省衡阳高新技术产业开发区湖南新岳电力设备有限公司内（富强路11号）内。厂区东侧布置为生产车间和办公区，主要功能为生产及办公，西侧布置有仓库，主要功能为原辅材料及产品的存放。</w:t>
            </w:r>
            <w:r>
              <w:rPr>
                <w:rFonts w:hint="eastAsia" w:ascii="Times New Roman" w:hAnsi="Times New Roman" w:eastAsia="宋体" w:cs="Times New Roman"/>
                <w:color w:val="auto"/>
                <w:sz w:val="24"/>
              </w:rPr>
              <w:t>厂区平面布置图见附图三。</w:t>
            </w:r>
          </w:p>
          <w:p w14:paraId="0E720F2D">
            <w:pPr>
              <w:pStyle w:val="29"/>
              <w:bidi w:val="0"/>
              <w:rPr>
                <w:rFonts w:hint="default" w:ascii="Times New Roman" w:hAnsi="Times New Roman" w:cs="Times New Roman"/>
                <w:color w:val="auto"/>
                <w:highlight w:val="yellow"/>
              </w:rPr>
            </w:pPr>
            <w:r>
              <w:rPr>
                <w:rFonts w:hint="eastAsia" w:ascii="Times New Roman" w:hAnsi="Times New Roman" w:eastAsia="宋体" w:cs="Times New Roman"/>
                <w:color w:val="auto"/>
                <w:sz w:val="24"/>
              </w:rPr>
              <w:t>纵观厂房的平面布置，各分区的布置规划整齐，方便原辅材料和成品的转运，厂区平面布置较合理。</w:t>
            </w:r>
          </w:p>
          <w:p w14:paraId="7AD93B5A">
            <w:pPr>
              <w:pStyle w:val="29"/>
              <w:bidi w:val="0"/>
              <w:rPr>
                <w:rFonts w:hint="default" w:ascii="Times New Roman" w:hAnsi="Times New Roman" w:cs="Times New Roman"/>
                <w:color w:val="FF0000"/>
              </w:rPr>
            </w:pPr>
          </w:p>
        </w:tc>
      </w:tr>
      <w:tr w14:paraId="13E20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67" w:hRule="atLeast"/>
          <w:jc w:val="center"/>
        </w:trPr>
        <w:tc>
          <w:tcPr>
            <w:tcW w:w="823" w:type="dxa"/>
            <w:noWrap w:val="0"/>
            <w:vAlign w:val="center"/>
          </w:tcPr>
          <w:p w14:paraId="24271201">
            <w:pPr>
              <w:pStyle w:val="14"/>
              <w:adjustRightInd w:val="0"/>
              <w:snapToGrid w:val="0"/>
              <w:spacing w:before="0" w:beforeAutospacing="0" w:after="0" w:afterAutospacing="0"/>
              <w:jc w:val="center"/>
              <w:rPr>
                <w:rFonts w:cs="宋体"/>
                <w:color w:val="auto"/>
                <w:sz w:val="24"/>
                <w:szCs w:val="24"/>
              </w:rPr>
            </w:pPr>
            <w:r>
              <w:rPr>
                <w:rFonts w:hint="eastAsia" w:cs="宋体"/>
                <w:color w:val="auto"/>
                <w:sz w:val="24"/>
                <w:szCs w:val="24"/>
              </w:rPr>
              <w:t>工艺流程和产排污环节</w:t>
            </w:r>
          </w:p>
        </w:tc>
        <w:tc>
          <w:tcPr>
            <w:tcW w:w="8161" w:type="dxa"/>
            <w:noWrap w:val="0"/>
            <w:vAlign w:val="top"/>
          </w:tcPr>
          <w:p w14:paraId="72D8DA7A">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1、施工期</w:t>
            </w:r>
          </w:p>
          <w:p w14:paraId="2A89AA65">
            <w:pPr>
              <w:adjustRightInd w:val="0"/>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本项目租赁现有已建成厂房进行建设，主要施工内容为装修和设备安装。</w:t>
            </w:r>
          </w:p>
          <w:p w14:paraId="57D691BF">
            <w:pPr>
              <w:adjustRightInd w:val="0"/>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装修过程会产生扬尘、油漆废气等装修废气，建筑垃圾及噪声。该过程主要为生产设备安装，会产生设备安装废料。</w:t>
            </w:r>
          </w:p>
          <w:p w14:paraId="090A241C">
            <w:pPr>
              <w:adjustRightInd w:val="0"/>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施工总工期较短，且施工过程产生污染也较少。</w:t>
            </w:r>
          </w:p>
          <w:p w14:paraId="225717D5">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2、运营期</w:t>
            </w:r>
          </w:p>
          <w:p w14:paraId="3FC9AAEF">
            <w:pPr>
              <w:pStyle w:val="29"/>
              <w:bidi w:val="0"/>
              <w:rPr>
                <w:rFonts w:hint="eastAsia"/>
                <w:color w:val="auto"/>
                <w:sz w:val="24"/>
                <w:lang w:val="en-US" w:eastAsia="zh-CN"/>
              </w:rPr>
            </w:pPr>
            <w:r>
              <w:rPr>
                <w:rFonts w:hint="eastAsia"/>
                <w:color w:val="auto"/>
                <w:sz w:val="24"/>
              </w:rPr>
              <w:t>建设项目生产工艺</w:t>
            </w:r>
            <w:r>
              <w:rPr>
                <w:rFonts w:hint="eastAsia"/>
                <w:color w:val="auto"/>
                <w:sz w:val="24"/>
                <w:lang w:val="en-US" w:eastAsia="zh-CN"/>
              </w:rPr>
              <w:t>基本</w:t>
            </w:r>
            <w:r>
              <w:rPr>
                <w:rFonts w:hint="eastAsia"/>
                <w:color w:val="auto"/>
                <w:sz w:val="24"/>
              </w:rPr>
              <w:t>相同，</w:t>
            </w:r>
            <w:r>
              <w:rPr>
                <w:rFonts w:hint="eastAsia"/>
                <w:color w:val="auto"/>
                <w:sz w:val="24"/>
                <w:lang w:val="en-US" w:eastAsia="zh-CN"/>
              </w:rPr>
              <w:t>如下：</w:t>
            </w:r>
          </w:p>
          <w:p w14:paraId="6BCF8809">
            <w:pPr>
              <w:pStyle w:val="29"/>
              <w:bidi w:val="0"/>
              <w:rPr>
                <w:rFonts w:hint="eastAsia"/>
                <w:color w:val="auto"/>
                <w:sz w:val="24"/>
                <w:lang w:val="en-US" w:eastAsia="zh-CN"/>
              </w:rPr>
            </w:pPr>
          </w:p>
          <w:p w14:paraId="3351C6A7">
            <w:pPr>
              <w:pStyle w:val="29"/>
              <w:bidi w:val="0"/>
              <w:rPr>
                <w:rFonts w:hint="eastAsia"/>
                <w:color w:val="auto"/>
                <w:sz w:val="24"/>
                <w:lang w:val="en-US" w:eastAsia="zh-CN"/>
              </w:rPr>
            </w:pPr>
          </w:p>
          <w:p w14:paraId="0DBCDAF6">
            <w:pPr>
              <w:pStyle w:val="29"/>
              <w:bidi w:val="0"/>
              <w:rPr>
                <w:rFonts w:hint="eastAsia"/>
                <w:color w:val="auto"/>
                <w:sz w:val="24"/>
                <w:lang w:val="en-US" w:eastAsia="zh-CN"/>
              </w:rPr>
            </w:pPr>
          </w:p>
          <w:p w14:paraId="445CA1A4">
            <w:pPr>
              <w:pStyle w:val="29"/>
              <w:bidi w:val="0"/>
              <w:rPr>
                <w:rFonts w:hint="eastAsia"/>
                <w:color w:val="auto"/>
                <w:sz w:val="24"/>
                <w:lang w:val="en-US" w:eastAsia="zh-CN"/>
              </w:rPr>
            </w:pPr>
          </w:p>
          <w:p w14:paraId="068B5EB3">
            <w:pPr>
              <w:pStyle w:val="29"/>
              <w:bidi w:val="0"/>
              <w:ind w:left="0" w:leftChars="0" w:firstLine="0" w:firstLineChars="0"/>
              <w:jc w:val="center"/>
              <w:rPr>
                <w:rFonts w:hint="eastAsia" w:ascii="Times New Roman" w:hAnsi="Times New Roman" w:eastAsia="宋体" w:cs="Times New Roman"/>
                <w:color w:val="FF0000"/>
                <w:lang w:eastAsia="zh-CN"/>
              </w:rPr>
            </w:pPr>
            <w:r>
              <w:rPr>
                <w:color w:val="FF0000"/>
                <w:sz w:val="24"/>
              </w:rPr>
              <mc:AlternateContent>
                <mc:Choice Requires="wpc">
                  <w:drawing>
                    <wp:inline distT="0" distB="0" distL="114300" distR="114300">
                      <wp:extent cx="5064125" cy="7282815"/>
                      <wp:effectExtent l="0" t="0" r="0" b="0"/>
                      <wp:docPr id="64" name="画布 64"/>
                      <wp:cNvGraphicFramePr/>
                      <a:graphic xmlns:a="http://schemas.openxmlformats.org/drawingml/2006/main">
                        <a:graphicData uri="http://schemas.microsoft.com/office/word/2010/wordprocessingCanvas">
                          <wpc:wpc>
                            <wpc:bg/>
                            <wpc:whole/>
                            <wps:wsp>
                              <wps:cNvPr id="65" name="矩形 19"/>
                              <wps:cNvSpPr/>
                              <wps:spPr>
                                <a:xfrm>
                                  <a:off x="1595755" y="161925"/>
                                  <a:ext cx="2164715" cy="476250"/>
                                </a:xfrm>
                                <a:prstGeom prst="rect">
                                  <a:avLst/>
                                </a:prstGeom>
                                <a:solidFill>
                                  <a:srgbClr val="FFFFFF"/>
                                </a:solidFill>
                                <a:ln w="9525" cap="flat" cmpd="sng">
                                  <a:noFill/>
                                  <a:prstDash val="solid"/>
                                  <a:miter/>
                                  <a:headEnd type="none" w="med" len="med"/>
                                  <a:tailEnd type="none" w="med" len="med"/>
                                </a:ln>
                              </wps:spPr>
                              <wps:txbx>
                                <w:txbxContent>
                                  <w:p w14:paraId="765CDC1D">
                                    <w:pPr>
                                      <w:spacing w:line="400" w:lineRule="exact"/>
                                      <w:jc w:val="center"/>
                                      <w:rPr>
                                        <w:rFonts w:hint="eastAsia" w:ascii="宋体" w:hAnsi="宋体" w:cs="宋体"/>
                                        <w:sz w:val="24"/>
                                        <w:szCs w:val="24"/>
                                        <w:lang w:val="en-US" w:eastAsia="zh-CN"/>
                                      </w:rPr>
                                    </w:pPr>
                                    <w:r>
                                      <w:rPr>
                                        <w:rFonts w:hint="eastAsia" w:ascii="宋体" w:hAnsi="宋体" w:cs="宋体"/>
                                        <w:sz w:val="24"/>
                                        <w:szCs w:val="24"/>
                                        <w:lang w:val="en-US" w:eastAsia="zh-CN"/>
                                      </w:rPr>
                                      <w:t>半成品变压器配件</w:t>
                                    </w:r>
                                  </w:p>
                                  <w:p w14:paraId="62EFCE20">
                                    <w:pPr>
                                      <w:spacing w:line="400" w:lineRule="exact"/>
                                      <w:jc w:val="center"/>
                                      <w:rPr>
                                        <w:rFonts w:hint="default" w:ascii="宋体" w:hAnsi="宋体" w:cs="宋体"/>
                                        <w:sz w:val="24"/>
                                        <w:szCs w:val="24"/>
                                        <w:lang w:val="en-US" w:eastAsia="zh-CN"/>
                                      </w:rPr>
                                    </w:pPr>
                                    <w:r>
                                      <w:rPr>
                                        <w:rFonts w:hint="eastAsia" w:ascii="宋体" w:hAnsi="宋体" w:cs="宋体"/>
                                        <w:sz w:val="24"/>
                                        <w:szCs w:val="24"/>
                                        <w:lang w:val="en-US" w:eastAsia="zh-CN"/>
                                      </w:rPr>
                                      <w:t>半成品高压开关配件</w:t>
                                    </w:r>
                                  </w:p>
                                </w:txbxContent>
                              </wps:txbx>
                              <wps:bodyPr vert="horz" lIns="0" tIns="0" rIns="0" bIns="0" anchor="t" anchorCtr="0" upright="1"/>
                            </wps:wsp>
                            <wps:wsp>
                              <wps:cNvPr id="66" name="矩形 19"/>
                              <wps:cNvSpPr/>
                              <wps:spPr>
                                <a:xfrm>
                                  <a:off x="2056130" y="1894840"/>
                                  <a:ext cx="1092835" cy="3454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7D8A9C">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喷底漆</w:t>
                                    </w:r>
                                  </w:p>
                                </w:txbxContent>
                              </wps:txbx>
                              <wps:bodyPr vert="horz" lIns="0" tIns="36000" rIns="0" bIns="0" anchor="t" anchorCtr="0" upright="1"/>
                            </wps:wsp>
                            <wps:wsp>
                              <wps:cNvPr id="68" name="直线 20"/>
                              <wps:cNvCnPr/>
                              <wps:spPr>
                                <a:xfrm>
                                  <a:off x="2602230" y="1444625"/>
                                  <a:ext cx="7620" cy="450215"/>
                                </a:xfrm>
                                <a:prstGeom prst="line">
                                  <a:avLst/>
                                </a:prstGeom>
                                <a:ln w="9525" cap="flat" cmpd="sng">
                                  <a:solidFill>
                                    <a:srgbClr val="000000"/>
                                  </a:solidFill>
                                  <a:prstDash val="solid"/>
                                  <a:headEnd type="none" w="med" len="med"/>
                                  <a:tailEnd type="triangle" w="med" len="med"/>
                                </a:ln>
                              </wps:spPr>
                              <wps:bodyPr/>
                            </wps:wsp>
                            <wps:wsp>
                              <wps:cNvPr id="70" name="矩形 19"/>
                              <wps:cNvSpPr/>
                              <wps:spPr>
                                <a:xfrm>
                                  <a:off x="2063750" y="2693035"/>
                                  <a:ext cx="1101725"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4260EA">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烤底漆</w:t>
                                    </w:r>
                                  </w:p>
                                </w:txbxContent>
                              </wps:txbx>
                              <wps:bodyPr vert="horz" lIns="0" tIns="36000" rIns="0" bIns="0" anchor="t" anchorCtr="0" upright="1"/>
                            </wps:wsp>
                            <wps:wsp>
                              <wps:cNvPr id="71" name="直线 20"/>
                              <wps:cNvCnPr/>
                              <wps:spPr>
                                <a:xfrm>
                                  <a:off x="2593975" y="2251710"/>
                                  <a:ext cx="7620" cy="450215"/>
                                </a:xfrm>
                                <a:prstGeom prst="line">
                                  <a:avLst/>
                                </a:prstGeom>
                                <a:ln w="9525" cap="flat" cmpd="sng">
                                  <a:solidFill>
                                    <a:srgbClr val="000000"/>
                                  </a:solidFill>
                                  <a:prstDash val="solid"/>
                                  <a:headEnd type="none" w="med" len="med"/>
                                  <a:tailEnd type="triangle" w="med" len="med"/>
                                </a:ln>
                              </wps:spPr>
                              <wps:bodyPr/>
                            </wps:wsp>
                            <wps:wsp>
                              <wps:cNvPr id="72" name="矩形 19"/>
                              <wps:cNvSpPr/>
                              <wps:spPr>
                                <a:xfrm>
                                  <a:off x="2062480" y="3503295"/>
                                  <a:ext cx="1101725"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92289E">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底漆打磨</w:t>
                                    </w:r>
                                  </w:p>
                                </w:txbxContent>
                              </wps:txbx>
                              <wps:bodyPr vert="horz" lIns="0" tIns="36000" rIns="0" bIns="0" anchor="t" anchorCtr="0" upright="1"/>
                            </wps:wsp>
                            <wps:wsp>
                              <wps:cNvPr id="73" name="直线 20"/>
                              <wps:cNvCnPr/>
                              <wps:spPr>
                                <a:xfrm>
                                  <a:off x="2600325" y="3044825"/>
                                  <a:ext cx="7620" cy="450215"/>
                                </a:xfrm>
                                <a:prstGeom prst="line">
                                  <a:avLst/>
                                </a:prstGeom>
                                <a:ln w="9525" cap="flat" cmpd="sng">
                                  <a:solidFill>
                                    <a:srgbClr val="000000"/>
                                  </a:solidFill>
                                  <a:prstDash val="solid"/>
                                  <a:headEnd type="none" w="med" len="med"/>
                                  <a:tailEnd type="triangle" w="med" len="med"/>
                                </a:ln>
                              </wps:spPr>
                              <wps:bodyPr/>
                            </wps:wsp>
                            <wps:wsp>
                              <wps:cNvPr id="74" name="矩形 19"/>
                              <wps:cNvSpPr/>
                              <wps:spPr>
                                <a:xfrm>
                                  <a:off x="2078355" y="4290060"/>
                                  <a:ext cx="1101725"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3A1764">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喷面漆</w:t>
                                    </w:r>
                                  </w:p>
                                </w:txbxContent>
                              </wps:txbx>
                              <wps:bodyPr vert="horz" lIns="0" tIns="36000" rIns="0" bIns="0" anchor="t" anchorCtr="0" upright="1"/>
                            </wps:wsp>
                            <wps:wsp>
                              <wps:cNvPr id="75" name="直线 20"/>
                              <wps:cNvCnPr/>
                              <wps:spPr>
                                <a:xfrm>
                                  <a:off x="2600960" y="3840480"/>
                                  <a:ext cx="7620" cy="450215"/>
                                </a:xfrm>
                                <a:prstGeom prst="line">
                                  <a:avLst/>
                                </a:prstGeom>
                                <a:ln w="9525" cap="flat" cmpd="sng">
                                  <a:solidFill>
                                    <a:srgbClr val="000000"/>
                                  </a:solidFill>
                                  <a:prstDash val="solid"/>
                                  <a:headEnd type="none" w="med" len="med"/>
                                  <a:tailEnd type="triangle" w="med" len="med"/>
                                </a:ln>
                              </wps:spPr>
                              <wps:bodyPr/>
                            </wps:wsp>
                            <wps:wsp>
                              <wps:cNvPr id="77" name="直线 20"/>
                              <wps:cNvCnPr/>
                              <wps:spPr>
                                <a:xfrm>
                                  <a:off x="2608580" y="4626610"/>
                                  <a:ext cx="7620" cy="450215"/>
                                </a:xfrm>
                                <a:prstGeom prst="line">
                                  <a:avLst/>
                                </a:prstGeom>
                                <a:ln w="9525" cap="flat" cmpd="sng">
                                  <a:solidFill>
                                    <a:srgbClr val="000000"/>
                                  </a:solidFill>
                                  <a:prstDash val="solid"/>
                                  <a:headEnd type="none" w="med" len="med"/>
                                  <a:tailEnd type="triangle" w="med" len="med"/>
                                </a:ln>
                              </wps:spPr>
                              <wps:bodyPr/>
                            </wps:wsp>
                            <wps:wsp>
                              <wps:cNvPr id="115" name="直线 20"/>
                              <wps:cNvCnPr/>
                              <wps:spPr>
                                <a:xfrm>
                                  <a:off x="3162935" y="1290320"/>
                                  <a:ext cx="463550" cy="3175"/>
                                </a:xfrm>
                                <a:prstGeom prst="line">
                                  <a:avLst/>
                                </a:prstGeom>
                                <a:ln w="9525" cap="flat" cmpd="sng">
                                  <a:solidFill>
                                    <a:srgbClr val="000000"/>
                                  </a:solidFill>
                                  <a:prstDash val="dash"/>
                                  <a:headEnd type="none" w="med" len="med"/>
                                  <a:tailEnd type="triangle" w="med" len="med"/>
                                </a:ln>
                              </wps:spPr>
                              <wps:bodyPr/>
                            </wps:wsp>
                            <wps:wsp>
                              <wps:cNvPr id="116" name="矩形 19"/>
                              <wps:cNvSpPr/>
                              <wps:spPr>
                                <a:xfrm>
                                  <a:off x="3639185" y="1137285"/>
                                  <a:ext cx="764540" cy="292100"/>
                                </a:xfrm>
                                <a:prstGeom prst="rect">
                                  <a:avLst/>
                                </a:prstGeom>
                                <a:solidFill>
                                  <a:srgbClr val="FFFFFF"/>
                                </a:solidFill>
                                <a:ln w="9525" cap="flat" cmpd="sng">
                                  <a:noFill/>
                                  <a:prstDash val="solid"/>
                                  <a:miter/>
                                  <a:headEnd type="none" w="med" len="med"/>
                                  <a:tailEnd type="none" w="med" len="med"/>
                                </a:ln>
                              </wps:spPr>
                              <wps:txbx>
                                <w:txbxContent>
                                  <w:p w14:paraId="5662F65B">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1、S1</w:t>
                                    </w:r>
                                  </w:p>
                                </w:txbxContent>
                              </wps:txbx>
                              <wps:bodyPr vert="horz" lIns="0" tIns="0" rIns="0" bIns="0" anchor="t" anchorCtr="0" upright="1"/>
                            </wps:wsp>
                            <wps:wsp>
                              <wps:cNvPr id="117" name="直线 20"/>
                              <wps:cNvCnPr/>
                              <wps:spPr>
                                <a:xfrm>
                                  <a:off x="3195955" y="2049145"/>
                                  <a:ext cx="463550" cy="3175"/>
                                </a:xfrm>
                                <a:prstGeom prst="line">
                                  <a:avLst/>
                                </a:prstGeom>
                                <a:ln w="9525" cap="flat" cmpd="sng">
                                  <a:solidFill>
                                    <a:srgbClr val="000000"/>
                                  </a:solidFill>
                                  <a:prstDash val="dash"/>
                                  <a:headEnd type="none" w="med" len="med"/>
                                  <a:tailEnd type="triangle" w="med" len="med"/>
                                </a:ln>
                              </wps:spPr>
                              <wps:bodyPr/>
                            </wps:wsp>
                            <wps:wsp>
                              <wps:cNvPr id="118" name="矩形 19"/>
                              <wps:cNvSpPr/>
                              <wps:spPr>
                                <a:xfrm>
                                  <a:off x="3679825" y="1919605"/>
                                  <a:ext cx="1152525" cy="292100"/>
                                </a:xfrm>
                                <a:prstGeom prst="rect">
                                  <a:avLst/>
                                </a:prstGeom>
                                <a:solidFill>
                                  <a:srgbClr val="FFFFFF"/>
                                </a:solidFill>
                                <a:ln w="9525" cap="flat" cmpd="sng">
                                  <a:noFill/>
                                  <a:prstDash val="solid"/>
                                  <a:miter/>
                                  <a:headEnd type="none" w="med" len="med"/>
                                  <a:tailEnd type="none" w="med" len="med"/>
                                </a:ln>
                              </wps:spPr>
                              <wps:txbx>
                                <w:txbxContent>
                                  <w:p w14:paraId="1018A515">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2</w:t>
                                    </w:r>
                                    <w:r>
                                      <w:rPr>
                                        <w:rFonts w:hint="default" w:ascii="Times New Roman" w:hAnsi="Times New Roman" w:cs="Times New Roman"/>
                                        <w:sz w:val="24"/>
                                        <w:szCs w:val="24"/>
                                        <w:lang w:val="en-US" w:eastAsia="zh-CN"/>
                                      </w:rPr>
                                      <w:t>、S</w:t>
                                    </w:r>
                                    <w:r>
                                      <w:rPr>
                                        <w:rFonts w:hint="eastAsia" w:cs="Times New Roman"/>
                                        <w:sz w:val="24"/>
                                        <w:szCs w:val="24"/>
                                        <w:lang w:val="en-US" w:eastAsia="zh-CN"/>
                                      </w:rPr>
                                      <w:t>2</w:t>
                                    </w:r>
                                    <w:r>
                                      <w:rPr>
                                        <w:rFonts w:hint="default" w:ascii="Times New Roman" w:hAnsi="Times New Roman" w:cs="Times New Roman"/>
                                        <w:sz w:val="24"/>
                                        <w:szCs w:val="24"/>
                                        <w:lang w:val="en-US" w:eastAsia="zh-CN"/>
                                      </w:rPr>
                                      <w:t>、</w:t>
                                    </w:r>
                                    <w:r>
                                      <w:rPr>
                                        <w:rFonts w:hint="eastAsia" w:cs="Times New Roman"/>
                                        <w:sz w:val="24"/>
                                        <w:szCs w:val="24"/>
                                        <w:lang w:val="en-US" w:eastAsia="zh-CN"/>
                                      </w:rPr>
                                      <w:t>S3、</w:t>
                                    </w:r>
                                    <w:r>
                                      <w:rPr>
                                        <w:rFonts w:hint="default" w:ascii="Times New Roman" w:hAnsi="Times New Roman" w:cs="Times New Roman"/>
                                        <w:sz w:val="24"/>
                                        <w:szCs w:val="24"/>
                                        <w:lang w:val="en-US" w:eastAsia="zh-CN"/>
                                      </w:rPr>
                                      <w:t>N</w:t>
                                    </w:r>
                                  </w:p>
                                </w:txbxContent>
                              </wps:txbx>
                              <wps:bodyPr vert="horz" lIns="0" tIns="0" rIns="0" bIns="0" anchor="t" anchorCtr="0" upright="1"/>
                            </wps:wsp>
                            <wps:wsp>
                              <wps:cNvPr id="196" name="矩形 19"/>
                              <wps:cNvSpPr/>
                              <wps:spPr>
                                <a:xfrm>
                                  <a:off x="2052955" y="1084580"/>
                                  <a:ext cx="1092835" cy="3454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BFB483B">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调漆</w:t>
                                    </w:r>
                                  </w:p>
                                </w:txbxContent>
                              </wps:txbx>
                              <wps:bodyPr vert="horz" lIns="0" tIns="36000" rIns="0" bIns="0" anchor="t" anchorCtr="0" upright="1"/>
                            </wps:wsp>
                            <wps:wsp>
                              <wps:cNvPr id="197" name="直线 20"/>
                              <wps:cNvCnPr/>
                              <wps:spPr>
                                <a:xfrm>
                                  <a:off x="2624455" y="655955"/>
                                  <a:ext cx="7620" cy="450215"/>
                                </a:xfrm>
                                <a:prstGeom prst="line">
                                  <a:avLst/>
                                </a:prstGeom>
                                <a:ln w="9525" cap="flat" cmpd="sng">
                                  <a:solidFill>
                                    <a:srgbClr val="000000"/>
                                  </a:solidFill>
                                  <a:prstDash val="solid"/>
                                  <a:headEnd type="none" w="med" len="med"/>
                                  <a:tailEnd type="triangle" w="med" len="med"/>
                                </a:ln>
                              </wps:spPr>
                              <wps:bodyPr/>
                            </wps:wsp>
                            <wps:wsp>
                              <wps:cNvPr id="198" name="矩形 19"/>
                              <wps:cNvSpPr/>
                              <wps:spPr>
                                <a:xfrm>
                                  <a:off x="2068830" y="5076825"/>
                                  <a:ext cx="1101725"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4E756AA">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烤面漆</w:t>
                                    </w:r>
                                  </w:p>
                                </w:txbxContent>
                              </wps:txbx>
                              <wps:bodyPr vert="horz" lIns="0" tIns="36000" rIns="0" bIns="0" anchor="t" anchorCtr="0" upright="1"/>
                            </wps:wsp>
                            <wps:wsp>
                              <wps:cNvPr id="200" name="直线 20"/>
                              <wps:cNvCnPr/>
                              <wps:spPr>
                                <a:xfrm>
                                  <a:off x="2614930" y="5426710"/>
                                  <a:ext cx="7620" cy="450215"/>
                                </a:xfrm>
                                <a:prstGeom prst="line">
                                  <a:avLst/>
                                </a:prstGeom>
                                <a:ln w="9525" cap="flat" cmpd="sng">
                                  <a:solidFill>
                                    <a:srgbClr val="000000"/>
                                  </a:solidFill>
                                  <a:prstDash val="solid"/>
                                  <a:headEnd type="none" w="med" len="med"/>
                                  <a:tailEnd type="triangle" w="med" len="med"/>
                                </a:ln>
                              </wps:spPr>
                              <wps:bodyPr/>
                            </wps:wsp>
                            <wps:wsp>
                              <wps:cNvPr id="202" name="矩形 19"/>
                              <wps:cNvSpPr/>
                              <wps:spPr>
                                <a:xfrm>
                                  <a:off x="2061210" y="5894705"/>
                                  <a:ext cx="1101725"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ED2E8D">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成品入库</w:t>
                                    </w:r>
                                  </w:p>
                                </w:txbxContent>
                              </wps:txbx>
                              <wps:bodyPr vert="horz" lIns="0" tIns="36000" rIns="0" bIns="0" anchor="t" anchorCtr="0" upright="1"/>
                            </wps:wsp>
                            <wps:wsp>
                              <wps:cNvPr id="3" name="矩形 19"/>
                              <wps:cNvSpPr/>
                              <wps:spPr>
                                <a:xfrm>
                                  <a:off x="86995" y="1053465"/>
                                  <a:ext cx="1355090" cy="420370"/>
                                </a:xfrm>
                                <a:prstGeom prst="rect">
                                  <a:avLst/>
                                </a:prstGeom>
                                <a:solidFill>
                                  <a:srgbClr val="FFFFFF"/>
                                </a:solidFill>
                                <a:ln w="9525" cap="flat" cmpd="sng">
                                  <a:noFill/>
                                  <a:prstDash val="solid"/>
                                  <a:miter/>
                                  <a:headEnd type="none" w="med" len="med"/>
                                  <a:tailEnd type="none" w="med" len="med"/>
                                </a:ln>
                              </wps:spPr>
                              <wps:txbx>
                                <w:txbxContent>
                                  <w:p w14:paraId="0E099EBE">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油漆、稀释剂</w:t>
                                    </w:r>
                                  </w:p>
                                  <w:p w14:paraId="6D40B8C5">
                                    <w:pPr>
                                      <w:spacing w:line="240" w:lineRule="auto"/>
                                      <w:jc w:val="center"/>
                                      <w:rPr>
                                        <w:rFonts w:hint="default" w:ascii="宋体" w:hAnsi="宋体" w:cs="宋体"/>
                                        <w:sz w:val="24"/>
                                        <w:szCs w:val="24"/>
                                        <w:lang w:val="en-US" w:eastAsia="zh-CN"/>
                                      </w:rPr>
                                    </w:pPr>
                                    <w:r>
                                      <w:rPr>
                                        <w:rFonts w:hint="eastAsia" w:ascii="宋体" w:hAnsi="宋体" w:cs="宋体"/>
                                        <w:sz w:val="24"/>
                                        <w:szCs w:val="24"/>
                                        <w:lang w:val="en-US" w:eastAsia="zh-CN"/>
                                      </w:rPr>
                                      <w:t>固化剂</w:t>
                                    </w:r>
                                  </w:p>
                                </w:txbxContent>
                              </wps:txbx>
                              <wps:bodyPr vert="horz" lIns="0" tIns="0" rIns="0" bIns="0" anchor="t" anchorCtr="0" upright="1"/>
                            </wps:wsp>
                            <wps:wsp>
                              <wps:cNvPr id="25" name="直线 20"/>
                              <wps:cNvCnPr>
                                <a:stCxn id="3" idx="3"/>
                                <a:endCxn id="196" idx="1"/>
                              </wps:cNvCnPr>
                              <wps:spPr>
                                <a:xfrm flipV="1">
                                  <a:off x="1442085" y="1257300"/>
                                  <a:ext cx="610870" cy="6350"/>
                                </a:xfrm>
                                <a:prstGeom prst="line">
                                  <a:avLst/>
                                </a:prstGeom>
                                <a:ln w="9525" cap="flat" cmpd="sng">
                                  <a:solidFill>
                                    <a:srgbClr val="000000"/>
                                  </a:solidFill>
                                  <a:prstDash val="dash"/>
                                  <a:headEnd type="none" w="med" len="med"/>
                                  <a:tailEnd type="triangle" w="med" len="med"/>
                                </a:ln>
                              </wps:spPr>
                              <wps:bodyPr/>
                            </wps:wsp>
                            <wps:wsp>
                              <wps:cNvPr id="26" name="直线 20"/>
                              <wps:cNvCnPr/>
                              <wps:spPr>
                                <a:xfrm>
                                  <a:off x="3180715" y="3682365"/>
                                  <a:ext cx="463550" cy="3175"/>
                                </a:xfrm>
                                <a:prstGeom prst="line">
                                  <a:avLst/>
                                </a:prstGeom>
                                <a:ln w="9525" cap="flat" cmpd="sng">
                                  <a:solidFill>
                                    <a:srgbClr val="000000"/>
                                  </a:solidFill>
                                  <a:prstDash val="dash"/>
                                  <a:headEnd type="none" w="med" len="med"/>
                                  <a:tailEnd type="triangle" w="med" len="med"/>
                                </a:ln>
                              </wps:spPr>
                              <wps:bodyPr/>
                            </wps:wsp>
                            <wps:wsp>
                              <wps:cNvPr id="29" name="矩形 19"/>
                              <wps:cNvSpPr/>
                              <wps:spPr>
                                <a:xfrm>
                                  <a:off x="3656330" y="2711450"/>
                                  <a:ext cx="764540" cy="292100"/>
                                </a:xfrm>
                                <a:prstGeom prst="rect">
                                  <a:avLst/>
                                </a:prstGeom>
                                <a:solidFill>
                                  <a:srgbClr val="FFFFFF"/>
                                </a:solidFill>
                                <a:ln w="9525" cap="flat" cmpd="sng">
                                  <a:noFill/>
                                  <a:prstDash val="solid"/>
                                  <a:miter/>
                                  <a:headEnd type="none" w="med" len="med"/>
                                  <a:tailEnd type="none" w="med" len="med"/>
                                </a:ln>
                              </wps:spPr>
                              <wps:txbx>
                                <w:txbxContent>
                                  <w:p w14:paraId="66E5A6F3">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3</w:t>
                                    </w:r>
                                    <w:r>
                                      <w:rPr>
                                        <w:rFonts w:hint="default" w:ascii="Times New Roman" w:hAnsi="Times New Roman" w:cs="Times New Roman"/>
                                        <w:sz w:val="24"/>
                                        <w:szCs w:val="24"/>
                                        <w:lang w:val="en-US" w:eastAsia="zh-CN"/>
                                      </w:rPr>
                                      <w:t>、N</w:t>
                                    </w:r>
                                  </w:p>
                                </w:txbxContent>
                              </wps:txbx>
                              <wps:bodyPr vert="horz" lIns="0" tIns="0" rIns="0" bIns="0" anchor="t" anchorCtr="0" upright="1"/>
                            </wps:wsp>
                            <wps:wsp>
                              <wps:cNvPr id="30" name="矩形 19"/>
                              <wps:cNvSpPr/>
                              <wps:spPr>
                                <a:xfrm>
                                  <a:off x="3648710" y="3529330"/>
                                  <a:ext cx="764540" cy="292100"/>
                                </a:xfrm>
                                <a:prstGeom prst="rect">
                                  <a:avLst/>
                                </a:prstGeom>
                                <a:solidFill>
                                  <a:srgbClr val="FFFFFF"/>
                                </a:solidFill>
                                <a:ln w="9525" cap="flat" cmpd="sng">
                                  <a:noFill/>
                                  <a:prstDash val="solid"/>
                                  <a:miter/>
                                  <a:headEnd type="none" w="med" len="med"/>
                                  <a:tailEnd type="none" w="med" len="med"/>
                                </a:ln>
                              </wps:spPr>
                              <wps:txbx>
                                <w:txbxContent>
                                  <w:p w14:paraId="78994ADD">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4</w:t>
                                    </w:r>
                                    <w:r>
                                      <w:rPr>
                                        <w:rFonts w:hint="default" w:ascii="Times New Roman" w:hAnsi="Times New Roman" w:cs="Times New Roman"/>
                                        <w:sz w:val="24"/>
                                        <w:szCs w:val="24"/>
                                        <w:lang w:val="en-US" w:eastAsia="zh-CN"/>
                                      </w:rPr>
                                      <w:t>、</w:t>
                                    </w:r>
                                    <w:r>
                                      <w:rPr>
                                        <w:rFonts w:hint="eastAsia" w:cs="Times New Roman"/>
                                        <w:sz w:val="24"/>
                                        <w:szCs w:val="24"/>
                                        <w:lang w:val="en-US" w:eastAsia="zh-CN"/>
                                      </w:rPr>
                                      <w:t>S4、</w:t>
                                    </w:r>
                                    <w:r>
                                      <w:rPr>
                                        <w:rFonts w:hint="default" w:ascii="Times New Roman" w:hAnsi="Times New Roman" w:cs="Times New Roman"/>
                                        <w:sz w:val="24"/>
                                        <w:szCs w:val="24"/>
                                        <w:lang w:val="en-US" w:eastAsia="zh-CN"/>
                                      </w:rPr>
                                      <w:t>N</w:t>
                                    </w:r>
                                  </w:p>
                                </w:txbxContent>
                              </wps:txbx>
                              <wps:bodyPr vert="horz" lIns="0" tIns="0" rIns="0" bIns="0" anchor="t" anchorCtr="0" upright="1"/>
                            </wps:wsp>
                            <wps:wsp>
                              <wps:cNvPr id="33" name="直线 20"/>
                              <wps:cNvCnPr/>
                              <wps:spPr>
                                <a:xfrm>
                                  <a:off x="3195955" y="4436745"/>
                                  <a:ext cx="463550" cy="3175"/>
                                </a:xfrm>
                                <a:prstGeom prst="line">
                                  <a:avLst/>
                                </a:prstGeom>
                                <a:ln w="9525" cap="flat" cmpd="sng">
                                  <a:solidFill>
                                    <a:srgbClr val="000000"/>
                                  </a:solidFill>
                                  <a:prstDash val="dash"/>
                                  <a:headEnd type="none" w="med" len="med"/>
                                  <a:tailEnd type="triangle" w="med" len="med"/>
                                </a:ln>
                              </wps:spPr>
                              <wps:bodyPr/>
                            </wps:wsp>
                            <wps:wsp>
                              <wps:cNvPr id="34" name="矩形 19"/>
                              <wps:cNvSpPr/>
                              <wps:spPr>
                                <a:xfrm>
                                  <a:off x="3679825" y="4307205"/>
                                  <a:ext cx="1152525" cy="292100"/>
                                </a:xfrm>
                                <a:prstGeom prst="rect">
                                  <a:avLst/>
                                </a:prstGeom>
                                <a:solidFill>
                                  <a:srgbClr val="FFFFFF"/>
                                </a:solidFill>
                                <a:ln w="9525" cap="flat" cmpd="sng">
                                  <a:noFill/>
                                  <a:prstDash val="solid"/>
                                  <a:miter/>
                                  <a:headEnd type="none" w="med" len="med"/>
                                  <a:tailEnd type="none" w="med" len="med"/>
                                </a:ln>
                              </wps:spPr>
                              <wps:txbx>
                                <w:txbxContent>
                                  <w:p w14:paraId="264F9051">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5</w:t>
                                    </w:r>
                                    <w:r>
                                      <w:rPr>
                                        <w:rFonts w:hint="default" w:ascii="Times New Roman" w:hAnsi="Times New Roman" w:cs="Times New Roman"/>
                                        <w:sz w:val="24"/>
                                        <w:szCs w:val="24"/>
                                        <w:lang w:val="en-US" w:eastAsia="zh-CN"/>
                                      </w:rPr>
                                      <w:t>、S</w:t>
                                    </w:r>
                                    <w:r>
                                      <w:rPr>
                                        <w:rFonts w:hint="eastAsia" w:cs="Times New Roman"/>
                                        <w:sz w:val="24"/>
                                        <w:szCs w:val="24"/>
                                        <w:lang w:val="en-US" w:eastAsia="zh-CN"/>
                                      </w:rPr>
                                      <w:t>5</w:t>
                                    </w:r>
                                    <w:r>
                                      <w:rPr>
                                        <w:rFonts w:hint="default" w:ascii="Times New Roman" w:hAnsi="Times New Roman" w:cs="Times New Roman"/>
                                        <w:sz w:val="24"/>
                                        <w:szCs w:val="24"/>
                                        <w:lang w:val="en-US" w:eastAsia="zh-CN"/>
                                      </w:rPr>
                                      <w:t>、</w:t>
                                    </w:r>
                                    <w:r>
                                      <w:rPr>
                                        <w:rFonts w:hint="eastAsia" w:cs="Times New Roman"/>
                                        <w:sz w:val="24"/>
                                        <w:szCs w:val="24"/>
                                        <w:lang w:val="en-US" w:eastAsia="zh-CN"/>
                                      </w:rPr>
                                      <w:t>S6、</w:t>
                                    </w:r>
                                    <w:r>
                                      <w:rPr>
                                        <w:rFonts w:hint="default" w:ascii="Times New Roman" w:hAnsi="Times New Roman" w:cs="Times New Roman"/>
                                        <w:sz w:val="24"/>
                                        <w:szCs w:val="24"/>
                                        <w:lang w:val="en-US" w:eastAsia="zh-CN"/>
                                      </w:rPr>
                                      <w:t>N</w:t>
                                    </w:r>
                                  </w:p>
                                </w:txbxContent>
                              </wps:txbx>
                              <wps:bodyPr vert="horz" lIns="0" tIns="0" rIns="0" bIns="0" anchor="t" anchorCtr="0" upright="1"/>
                            </wps:wsp>
                            <wps:wsp>
                              <wps:cNvPr id="35" name="直线 20"/>
                              <wps:cNvCnPr/>
                              <wps:spPr>
                                <a:xfrm>
                                  <a:off x="3187700" y="2862580"/>
                                  <a:ext cx="463550" cy="3175"/>
                                </a:xfrm>
                                <a:prstGeom prst="line">
                                  <a:avLst/>
                                </a:prstGeom>
                                <a:ln w="9525" cap="flat" cmpd="sng">
                                  <a:solidFill>
                                    <a:srgbClr val="000000"/>
                                  </a:solidFill>
                                  <a:prstDash val="dash"/>
                                  <a:headEnd type="none" w="med" len="med"/>
                                  <a:tailEnd type="triangle" w="med" len="med"/>
                                </a:ln>
                              </wps:spPr>
                              <wps:bodyPr/>
                            </wps:wsp>
                            <wps:wsp>
                              <wps:cNvPr id="36" name="矩形 19"/>
                              <wps:cNvSpPr/>
                              <wps:spPr>
                                <a:xfrm>
                                  <a:off x="3680460" y="5085080"/>
                                  <a:ext cx="764540" cy="292100"/>
                                </a:xfrm>
                                <a:prstGeom prst="rect">
                                  <a:avLst/>
                                </a:prstGeom>
                                <a:solidFill>
                                  <a:srgbClr val="FFFFFF"/>
                                </a:solidFill>
                                <a:ln w="9525" cap="flat" cmpd="sng">
                                  <a:noFill/>
                                  <a:prstDash val="solid"/>
                                  <a:miter/>
                                  <a:headEnd type="none" w="med" len="med"/>
                                  <a:tailEnd type="none" w="med" len="med"/>
                                </a:ln>
                              </wps:spPr>
                              <wps:txbx>
                                <w:txbxContent>
                                  <w:p w14:paraId="6F0D56E9">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6</w:t>
                                    </w:r>
                                    <w:r>
                                      <w:rPr>
                                        <w:rFonts w:hint="default" w:ascii="Times New Roman" w:hAnsi="Times New Roman" w:cs="Times New Roman"/>
                                        <w:sz w:val="24"/>
                                        <w:szCs w:val="24"/>
                                        <w:lang w:val="en-US" w:eastAsia="zh-CN"/>
                                      </w:rPr>
                                      <w:t>、N</w:t>
                                    </w:r>
                                  </w:p>
                                </w:txbxContent>
                              </wps:txbx>
                              <wps:bodyPr vert="horz" lIns="0" tIns="0" rIns="0" bIns="0" anchor="t" anchorCtr="0" upright="1"/>
                            </wps:wsp>
                            <wps:wsp>
                              <wps:cNvPr id="37" name="直线 20"/>
                              <wps:cNvCnPr/>
                              <wps:spPr>
                                <a:xfrm>
                                  <a:off x="3195955" y="5236210"/>
                                  <a:ext cx="463550" cy="3175"/>
                                </a:xfrm>
                                <a:prstGeom prst="line">
                                  <a:avLst/>
                                </a:prstGeom>
                                <a:ln w="9525" cap="flat" cmpd="sng">
                                  <a:solidFill>
                                    <a:srgbClr val="000000"/>
                                  </a:solidFill>
                                  <a:prstDash val="dash"/>
                                  <a:headEnd type="none" w="med" len="med"/>
                                  <a:tailEnd type="triangle" w="med" len="med"/>
                                </a:ln>
                              </wps:spPr>
                              <wps:bodyPr/>
                            </wps:wsp>
                            <wps:wsp>
                              <wps:cNvPr id="55" name="矩形 19"/>
                              <wps:cNvSpPr/>
                              <wps:spPr>
                                <a:xfrm>
                                  <a:off x="216535" y="5903595"/>
                                  <a:ext cx="808990" cy="993140"/>
                                </a:xfrm>
                                <a:prstGeom prst="rect">
                                  <a:avLst/>
                                </a:prstGeom>
                                <a:solidFill>
                                  <a:srgbClr val="FFFFFF"/>
                                </a:solidFill>
                                <a:ln w="9525" cap="flat" cmpd="sng">
                                  <a:noFill/>
                                  <a:prstDash val="solid"/>
                                  <a:miter/>
                                  <a:headEnd type="none" w="med" len="med"/>
                                  <a:tailEnd type="none" w="med" len="med"/>
                                </a:ln>
                              </wps:spPr>
                              <wps:txbx>
                                <w:txbxContent>
                                  <w:p w14:paraId="6B3EA982">
                                    <w:pPr>
                                      <w:spacing w:line="36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图例</w:t>
                                    </w:r>
                                  </w:p>
                                  <w:p w14:paraId="2A7BD875">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G 废气</w:t>
                                    </w:r>
                                  </w:p>
                                  <w:p w14:paraId="39E94F26">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S 固废</w:t>
                                    </w:r>
                                  </w:p>
                                  <w:p w14:paraId="1D59153E">
                                    <w:pPr>
                                      <w:spacing w:line="240" w:lineRule="auto"/>
                                      <w:jc w:val="center"/>
                                      <w:rPr>
                                        <w:rFonts w:hint="default" w:ascii="宋体" w:hAnsi="宋体" w:cs="宋体"/>
                                        <w:sz w:val="24"/>
                                        <w:szCs w:val="24"/>
                                        <w:lang w:val="en-US" w:eastAsia="zh-CN"/>
                                      </w:rPr>
                                    </w:pPr>
                                    <w:r>
                                      <w:rPr>
                                        <w:rFonts w:hint="eastAsia" w:ascii="宋体" w:hAnsi="宋体" w:cs="宋体"/>
                                        <w:sz w:val="24"/>
                                        <w:szCs w:val="24"/>
                                        <w:lang w:val="en-US" w:eastAsia="zh-CN"/>
                                      </w:rPr>
                                      <w:t>N 噪声</w:t>
                                    </w:r>
                                  </w:p>
                                </w:txbxContent>
                              </wps:txbx>
                              <wps:bodyPr vert="horz" lIns="0" tIns="0" rIns="0" bIns="0" anchor="t" anchorCtr="0" upright="1"/>
                            </wps:wsp>
                          </wpc:wpc>
                        </a:graphicData>
                      </a:graphic>
                    </wp:inline>
                  </w:drawing>
                </mc:Choice>
                <mc:Fallback>
                  <w:pict>
                    <v:group id="_x0000_s1026" o:spid="_x0000_s1026" o:spt="203" style="height:573.45pt;width:398.75pt;" coordsize="5064125,7282815" editas="canvas" o:gfxdata="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">
                      <o:lock v:ext="edit" aspectratio="f"/>
                      <v:shape id="_x0000_s1026" o:spid="_x0000_s1026" style="position:absolute;left:0;top:0;height:7282815;width:5064125;" filled="f" stroked="f" coordsize="21600,21600" o:gfxdata="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">
                        <v:fill on="f" focussize="0,0"/>
                        <v:stroke on="f"/>
                        <v:imagedata o:title=""/>
                        <o:lock v:ext="edit" aspectratio="f"/>
                      </v:shape>
                      <v:rect id="矩形 19" o:spid="_x0000_s1026" o:spt="1" style="position:absolute;left:1595755;top:161925;height:476250;width:2164715;"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l+G47UAAAABgEAAA8AAAAAAAAAAQAgAAAAIgAAAGRycy9kb3ducmV2LnhtbFBLAQIUABQAAAAI&#10;AIdO4kAdYdm4KgIAAFYEAAAOAAAAAAAAAAEAIAAAACMBAABkcnMvZTJvRG9jLnhtbFBLBQYAAAAA&#10;BgAGAFkBAAC/BQAAAAA=&#10;">
                        <v:fill on="t" focussize="0,0"/>
                        <v:stroke on="f" joinstyle="miter"/>
                        <v:imagedata o:title=""/>
                        <o:lock v:ext="edit" aspectratio="f"/>
                        <v:textbox inset="0mm,0mm,0mm,0mm">
                          <w:txbxContent>
                            <w:p w14:paraId="765CDC1D">
                              <w:pPr>
                                <w:spacing w:line="400" w:lineRule="exact"/>
                                <w:jc w:val="center"/>
                                <w:rPr>
                                  <w:rFonts w:hint="eastAsia" w:ascii="宋体" w:hAnsi="宋体" w:cs="宋体"/>
                                  <w:sz w:val="24"/>
                                  <w:szCs w:val="24"/>
                                  <w:lang w:val="en-US" w:eastAsia="zh-CN"/>
                                </w:rPr>
                              </w:pPr>
                              <w:r>
                                <w:rPr>
                                  <w:rFonts w:hint="eastAsia" w:ascii="宋体" w:hAnsi="宋体" w:cs="宋体"/>
                                  <w:sz w:val="24"/>
                                  <w:szCs w:val="24"/>
                                  <w:lang w:val="en-US" w:eastAsia="zh-CN"/>
                                </w:rPr>
                                <w:t>半成品变压器配件</w:t>
                              </w:r>
                            </w:p>
                            <w:p w14:paraId="62EFCE20">
                              <w:pPr>
                                <w:spacing w:line="400" w:lineRule="exact"/>
                                <w:jc w:val="center"/>
                                <w:rPr>
                                  <w:rFonts w:hint="default" w:ascii="宋体" w:hAnsi="宋体" w:cs="宋体"/>
                                  <w:sz w:val="24"/>
                                  <w:szCs w:val="24"/>
                                  <w:lang w:val="en-US" w:eastAsia="zh-CN"/>
                                </w:rPr>
                              </w:pPr>
                              <w:r>
                                <w:rPr>
                                  <w:rFonts w:hint="eastAsia" w:ascii="宋体" w:hAnsi="宋体" w:cs="宋体"/>
                                  <w:sz w:val="24"/>
                                  <w:szCs w:val="24"/>
                                  <w:lang w:val="en-US" w:eastAsia="zh-CN"/>
                                </w:rPr>
                                <w:t>半成品高压开关配件</w:t>
                              </w:r>
                            </w:p>
                          </w:txbxContent>
                        </v:textbox>
                      </v:rect>
                      <v:rect id="矩形 19" o:spid="_x0000_s1026" o:spt="1" style="position:absolute;left:2056130;top:1894840;height:345440;width:109283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FZrsj1gAAAAYBAAAPAAAAAAAAAAEAIAAAACIAAABkcnMvZG93bnJl&#10;di54bWxQSwECFAAUAAAACACHTuJAxZCPhDgCAACEBAAADgAAAAAAAAABACAAAAAlAQAAZHJzL2Uy&#10;b0RvYy54bWxQSwUGAAAAAAYABgBZAQAAzwUAAAAA&#10;">
                        <v:fill on="t" focussize="0,0"/>
                        <v:stroke color="#000000" joinstyle="miter"/>
                        <v:imagedata o:title=""/>
                        <o:lock v:ext="edit" aspectratio="f"/>
                        <v:textbox inset="0mm,1mm,0mm,0mm">
                          <w:txbxContent>
                            <w:p w14:paraId="7F7D8A9C">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喷底漆</w:t>
                              </w:r>
                            </w:p>
                          </w:txbxContent>
                        </v:textbox>
                      </v:rect>
                      <v:line id="直线 20" o:spid="_x0000_s1026" o:spt="20" style="position:absolute;left:2602230;top:1444625;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qIKoHYAAAABgEAAA8AAAAAAAAAAQAgAAAAIgAAAGRycy9kb3ducmV2LnhtbFBL&#10;AQIUABQAAAAIAIdO4kBQagy99gEAAOMDAAAOAAAAAAAAAAEAIAAAACcBAABkcnMvZTJvRG9jLnht&#10;bFBLBQYAAAAABgAGAFkBAACPBQAAAAA=&#10;">
                        <v:fill on="f" focussize="0,0"/>
                        <v:stroke color="#000000" joinstyle="round" endarrow="block"/>
                        <v:imagedata o:title=""/>
                        <o:lock v:ext="edit" aspectratio="f"/>
                      </v:line>
                      <v:rect id="矩形 19" o:spid="_x0000_s1026" o:spt="1" style="position:absolute;left:2063750;top:2693035;height:337820;width:110172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FZrsj1gAAAAYBAAAPAAAAAAAAAAEAIAAAACIAAABkcnMvZG93bnJl&#10;di54bWxQSwECFAAUAAAACACHTuJAMFgRQjgCAACEBAAADgAAAAAAAAABACAAAAAlAQAAZHJzL2Uy&#10;b0RvYy54bWxQSwUGAAAAAAYABgBZAQAAzwUAAAAA&#10;">
                        <v:fill on="t" focussize="0,0"/>
                        <v:stroke color="#000000" joinstyle="miter"/>
                        <v:imagedata o:title=""/>
                        <o:lock v:ext="edit" aspectratio="f"/>
                        <v:textbox inset="0mm,1mm,0mm,0mm">
                          <w:txbxContent>
                            <w:p w14:paraId="2E4260EA">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烤底漆</w:t>
                              </w:r>
                            </w:p>
                          </w:txbxContent>
                        </v:textbox>
                      </v:rect>
                      <v:line id="直线 20" o:spid="_x0000_s1026" o:spt="20" style="position:absolute;left:2593975;top:2251710;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qiCqB2AAAAAYBAAAPAAAAAAAAAAEAIAAAACIAAABkcnMvZG93bnJldi54bWxQSwEC&#10;FAAUAAAACACHTuJA7xZa/PQBAADjAwAADgAAAAAAAAABACAAAAAnAQAAZHJzL2Uyb0RvYy54bWxQ&#10;SwUGAAAAAAYABgBZAQAAjQUAAAAA&#10;">
                        <v:fill on="f" focussize="0,0"/>
                        <v:stroke color="#000000" joinstyle="round" endarrow="block"/>
                        <v:imagedata o:title=""/>
                        <o:lock v:ext="edit" aspectratio="f"/>
                      </v:line>
                      <v:rect id="矩形 19" o:spid="_x0000_s1026" o:spt="1" style="position:absolute;left:2062480;top:3503295;height:337820;width:110172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Wa7I9YAAAAGAQAADwAAAAAAAAABACAAAAAiAAAAZHJzL2Rvd25y&#10;ZXYueG1sUEsBAhQAFAAAAAgAh07iQBnjK3E5AgAAhAQAAA4AAAAAAAAAAQAgAAAAJQEAAGRycy9l&#10;Mm9Eb2MueG1sUEsFBgAAAAAGAAYAWQEAANAFAAAAAA==&#10;">
                        <v:fill on="t" focussize="0,0"/>
                        <v:stroke color="#000000" joinstyle="miter"/>
                        <v:imagedata o:title=""/>
                        <o:lock v:ext="edit" aspectratio="f"/>
                        <v:textbox inset="0mm,1mm,0mm,0mm">
                          <w:txbxContent>
                            <w:p w14:paraId="1192289E">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底漆打磨</w:t>
                              </w:r>
                            </w:p>
                          </w:txbxContent>
                        </v:textbox>
                      </v:rect>
                      <v:line id="直线 20" o:spid="_x0000_s1026" o:spt="20" style="position:absolute;left:2600325;top:3044825;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ogqgdgAAAAGAQAADwAAAAAAAAABACAAAAAiAAAAZHJzL2Rvd25yZXYueG1sUEsB&#10;AhQAFAAAAAgAh07iQGcRyDv1AQAA4wMAAA4AAAAAAAAAAQAgAAAAJwEAAGRycy9lMm9Eb2MueG1s&#10;UEsFBgAAAAAGAAYAWQEAAI4FAAAAAA==&#10;">
                        <v:fill on="f" focussize="0,0"/>
                        <v:stroke color="#000000" joinstyle="round" endarrow="block"/>
                        <v:imagedata o:title=""/>
                        <o:lock v:ext="edit" aspectratio="f"/>
                      </v:line>
                      <v:rect id="矩形 19" o:spid="_x0000_s1026" o:spt="1" style="position:absolute;left:2078355;top:4290060;height:337820;width:110172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Wa7I9YAAAAGAQAADwAAAAAAAAABACAAAAAiAAAAZHJzL2Rvd25y&#10;ZXYueG1sUEsBAhQAFAAAAAgAh07iQPKELt85AgAAhAQAAA4AAAAAAAAAAQAgAAAAJQEAAGRycy9l&#10;Mm9Eb2MueG1sUEsFBgAAAAAGAAYAWQEAANAFAAAAAA==&#10;">
                        <v:fill on="t" focussize="0,0"/>
                        <v:stroke color="#000000" joinstyle="miter"/>
                        <v:imagedata o:title=""/>
                        <o:lock v:ext="edit" aspectratio="f"/>
                        <v:textbox inset="0mm,1mm,0mm,0mm">
                          <w:txbxContent>
                            <w:p w14:paraId="083A1764">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喷面漆</w:t>
                              </w:r>
                            </w:p>
                          </w:txbxContent>
                        </v:textbox>
                      </v:rect>
                      <v:line id="直线 20" o:spid="_x0000_s1026" o:spt="20" style="position:absolute;left:2600960;top:3840480;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qIKoHYAAAABgEAAA8AAAAAAAAAAQAgAAAAIgAAAGRycy9kb3ducmV2LnhtbFBL&#10;AQIUABQAAAAIAIdO4kAda6169gEAAOMDAAAOAAAAAAAAAAEAIAAAACcBAABkcnMvZTJvRG9jLnht&#10;bFBLBQYAAAAABgAGAFkBAACPBQAAAAA=&#10;">
                        <v:fill on="f" focussize="0,0"/>
                        <v:stroke color="#000000" joinstyle="round" endarrow="block"/>
                        <v:imagedata o:title=""/>
                        <o:lock v:ext="edit" aspectratio="f"/>
                      </v:line>
                      <v:line id="直线 20" o:spid="_x0000_s1026" o:spt="20" style="position:absolute;left:2608580;top:4626610;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qIKoHYAAAABgEAAA8AAAAAAAAAAQAgAAAAIgAAAGRycy9kb3ducmV2LnhtbFBLAQIU&#10;ABQAAAAIAIdO4kAlCSGD8wEAAOMDAAAOAAAAAAAAAAEAIAAAACcBAABkcnMvZTJvRG9jLnhtbFBL&#10;BQYAAAAABgAGAFkBAACMBQAAAAA=&#10;">
                        <v:fill on="f" focussize="0,0"/>
                        <v:stroke color="#000000" joinstyle="round" endarrow="block"/>
                        <v:imagedata o:title=""/>
                        <o:lock v:ext="edit" aspectratio="f"/>
                      </v:line>
                      <v:line id="直线 20" o:spid="_x0000_s1026" o:spt="20" style="position:absolute;left:3162935;top:1290320;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m62adgAAAAGAQAADwAAAAAAAAABACAAAAAiAAAAZHJzL2Rvd25yZXYueG1sUEsB&#10;AhQAFAAAAAgAh07iQFxsZDX1AQAA4wMAAA4AAAAAAAAAAQAgAAAAJwEAAGRycy9lMm9Eb2MueG1s&#10;UEsFBgAAAAAGAAYAWQEAAI4FAAAAAA==&#10;">
                        <v:fill on="f" focussize="0,0"/>
                        <v:stroke color="#000000" joinstyle="round" dashstyle="dash" endarrow="block"/>
                        <v:imagedata o:title=""/>
                        <o:lock v:ext="edit" aspectratio="f"/>
                      </v:line>
                      <v:rect id="矩形 19" o:spid="_x0000_s1026" o:spt="1" style="position:absolute;left:3639185;top:1137285;height:292100;width:76454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5fhuO1AAAAAYBAAAPAAAAAAAAAAEAIAAAACIAAABkcnMvZG93bnJldi54bWxQSwECFAAU&#10;AAAACACHTuJA4QYBDi4CAABXBAAADgAAAAAAAAABACAAAAAjAQAAZHJzL2Uyb0RvYy54bWxQSwUG&#10;AAAAAAYABgBZAQAAwwUAAAAA&#10;">
                        <v:fill on="t" focussize="0,0"/>
                        <v:stroke on="f" joinstyle="miter"/>
                        <v:imagedata o:title=""/>
                        <o:lock v:ext="edit" aspectratio="f"/>
                        <v:textbox inset="0mm,0mm,0mm,0mm">
                          <w:txbxContent>
                            <w:p w14:paraId="5662F65B">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1、S1</w:t>
                              </w:r>
                            </w:p>
                          </w:txbxContent>
                        </v:textbox>
                      </v:rect>
                      <v:line id="直线 20" o:spid="_x0000_s1026" o:spt="20" style="position:absolute;left:3195955;top:2049145;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5utmnYAAAABgEAAA8AAAAAAAAAAQAgAAAAIgAAAGRycy9kb3ducmV2Lnht&#10;bFBLAQIUABQAAAAIAIdO4kDMWEqO+QEAAOMDAAAOAAAAAAAAAAEAIAAAACcBAABkcnMvZTJvRG9j&#10;LnhtbFBLBQYAAAAABgAGAFkBAACSBQAAAAA=&#10;">
                        <v:fill on="f" focussize="0,0"/>
                        <v:stroke color="#000000" joinstyle="round" dashstyle="dash" endarrow="block"/>
                        <v:imagedata o:title=""/>
                        <o:lock v:ext="edit" aspectratio="f"/>
                      </v:line>
                      <v:rect id="矩形 19" o:spid="_x0000_s1026" o:spt="1" style="position:absolute;left:3679825;top:1919605;height:292100;width:1152525;"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X4bjtQAAAAGAQAADwAAAAAAAAABACAAAAAiAAAAZHJzL2Rvd25yZXYueG1sUEsBAhQAFAAA&#10;AAgAh07iQPmhlhIsAgAAWAQAAA4AAAAAAAAAAQAgAAAAIwEAAGRycy9lMm9Eb2MueG1sUEsFBgAA&#10;AAAGAAYAWQEAAMEFAAAAAA==&#10;">
                        <v:fill on="t" focussize="0,0"/>
                        <v:stroke on="f" joinstyle="miter"/>
                        <v:imagedata o:title=""/>
                        <o:lock v:ext="edit" aspectratio="f"/>
                        <v:textbox inset="0mm,0mm,0mm,0mm">
                          <w:txbxContent>
                            <w:p w14:paraId="1018A515">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2</w:t>
                              </w:r>
                              <w:r>
                                <w:rPr>
                                  <w:rFonts w:hint="default" w:ascii="Times New Roman" w:hAnsi="Times New Roman" w:cs="Times New Roman"/>
                                  <w:sz w:val="24"/>
                                  <w:szCs w:val="24"/>
                                  <w:lang w:val="en-US" w:eastAsia="zh-CN"/>
                                </w:rPr>
                                <w:t>、S</w:t>
                              </w:r>
                              <w:r>
                                <w:rPr>
                                  <w:rFonts w:hint="eastAsia" w:cs="Times New Roman"/>
                                  <w:sz w:val="24"/>
                                  <w:szCs w:val="24"/>
                                  <w:lang w:val="en-US" w:eastAsia="zh-CN"/>
                                </w:rPr>
                                <w:t>2</w:t>
                              </w:r>
                              <w:r>
                                <w:rPr>
                                  <w:rFonts w:hint="default" w:ascii="Times New Roman" w:hAnsi="Times New Roman" w:cs="Times New Roman"/>
                                  <w:sz w:val="24"/>
                                  <w:szCs w:val="24"/>
                                  <w:lang w:val="en-US" w:eastAsia="zh-CN"/>
                                </w:rPr>
                                <w:t>、</w:t>
                              </w:r>
                              <w:r>
                                <w:rPr>
                                  <w:rFonts w:hint="eastAsia" w:cs="Times New Roman"/>
                                  <w:sz w:val="24"/>
                                  <w:szCs w:val="24"/>
                                  <w:lang w:val="en-US" w:eastAsia="zh-CN"/>
                                </w:rPr>
                                <w:t>S3、</w:t>
                              </w:r>
                              <w:r>
                                <w:rPr>
                                  <w:rFonts w:hint="default" w:ascii="Times New Roman" w:hAnsi="Times New Roman" w:cs="Times New Roman"/>
                                  <w:sz w:val="24"/>
                                  <w:szCs w:val="24"/>
                                  <w:lang w:val="en-US" w:eastAsia="zh-CN"/>
                                </w:rPr>
                                <w:t>N</w:t>
                              </w:r>
                            </w:p>
                          </w:txbxContent>
                        </v:textbox>
                      </v:rect>
                      <v:rect id="矩形 19" o:spid="_x0000_s1026" o:spt="1" style="position:absolute;left:2052955;top:1084580;height:345440;width:109283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Wa7I9YAAAAGAQAADwAAAAAAAAABACAAAAAiAAAAZHJzL2Rvd25y&#10;ZXYueG1sUEsBAhQAFAAAAAgAh07iQC84A8E5AgAAhQQAAA4AAAAAAAAAAQAgAAAAJQEAAGRycy9l&#10;Mm9Eb2MueG1sUEsFBgAAAAAGAAYAWQEAANAFAAAAAA==&#10;">
                        <v:fill on="t" focussize="0,0"/>
                        <v:stroke color="#000000" joinstyle="miter"/>
                        <v:imagedata o:title=""/>
                        <o:lock v:ext="edit" aspectratio="f"/>
                        <v:textbox inset="0mm,1mm,0mm,0mm">
                          <w:txbxContent>
                            <w:p w14:paraId="5BFB483B">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调漆</w:t>
                              </w:r>
                            </w:p>
                          </w:txbxContent>
                        </v:textbox>
                      </v:rect>
                      <v:line id="直线 20" o:spid="_x0000_s1026" o:spt="20" style="position:absolute;left:2624455;top:655955;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qIKoHYAAAABgEAAA8AAAAAAAAAAQAgAAAAIgAAAGRycy9kb3ducmV2LnhtbFBL&#10;AQIUABQAAAAIAIdO4kClnrx79gEAAOMDAAAOAAAAAAAAAAEAIAAAACcBAABkcnMvZTJvRG9jLnht&#10;bFBLBQYAAAAABgAGAFkBAACPBQAAAAA=&#10;">
                        <v:fill on="f" focussize="0,0"/>
                        <v:stroke color="#000000" joinstyle="round" endarrow="block"/>
                        <v:imagedata o:title=""/>
                        <o:lock v:ext="edit" aspectratio="f"/>
                      </v:line>
                      <v:rect id="矩形 19" o:spid="_x0000_s1026" o:spt="1" style="position:absolute;left:2068830;top:5076825;height:337820;width:110172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FZrsj1gAAAAYBAAAPAAAAAAAAAAEAIAAAACIAAABkcnMvZG93bnJl&#10;di54bWxQSwECFAAUAAAACACHTuJAbDyf3zgCAACFBAAADgAAAAAAAAABACAAAAAlAQAAZHJzL2Uy&#10;b0RvYy54bWxQSwUGAAAAAAYABgBZAQAAzwUAAAAA&#10;">
                        <v:fill on="t" focussize="0,0"/>
                        <v:stroke color="#000000" joinstyle="miter"/>
                        <v:imagedata o:title=""/>
                        <o:lock v:ext="edit" aspectratio="f"/>
                        <v:textbox inset="0mm,1mm,0mm,0mm">
                          <w:txbxContent>
                            <w:p w14:paraId="14E756AA">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烤面漆</w:t>
                              </w:r>
                            </w:p>
                          </w:txbxContent>
                        </v:textbox>
                      </v:rect>
                      <v:line id="直线 20" o:spid="_x0000_s1026" o:spt="20" style="position:absolute;left:2614930;top:5426710;height:450215;width:7620;" filled="f" stroked="t" coordsize="21600,21600" o:gfxdata="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ogqgdgAAAAGAQAADwAAAAAAAAABACAAAAAiAAAAZHJzL2Rvd25yZXYueG1sUEsB&#10;AhQAFAAAAAgAh07iQNHdUW71AQAA5AMAAA4AAAAAAAAAAQAgAAAAJwEAAGRycy9lMm9Eb2MueG1s&#10;UEsFBgAAAAAGAAYAWQEAAI4FAAAAAA==&#10;">
                        <v:fill on="f" focussize="0,0"/>
                        <v:stroke color="#000000" joinstyle="round" endarrow="block"/>
                        <v:imagedata o:title=""/>
                        <o:lock v:ext="edit" aspectratio="f"/>
                      </v:line>
                      <v:rect id="矩形 19" o:spid="_x0000_s1026" o:spt="1" style="position:absolute;left:2061210;top:5894705;height:337820;width:1101725;" fillcolor="#FFFFFF" filled="t" stroked="t" coordsize="21600,21600" o:gfxdata="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Wa7I9YAAAAGAQAADwAAAAAAAAABACAAAAAiAAAAZHJzL2Rvd25y&#10;ZXYueG1sUEsBAhQAFAAAAAgAh07iQKnesn45AgAAhQQAAA4AAAAAAAAAAQAgAAAAJQEAAGRycy9l&#10;Mm9Eb2MueG1sUEsFBgAAAAAGAAYAWQEAANAFAAAAAA==&#10;">
                        <v:fill on="t" focussize="0,0"/>
                        <v:stroke color="#000000" joinstyle="miter"/>
                        <v:imagedata o:title=""/>
                        <o:lock v:ext="edit" aspectratio="f"/>
                        <v:textbox inset="0mm,1mm,0mm,0mm">
                          <w:txbxContent>
                            <w:p w14:paraId="32ED2E8D">
                              <w:pPr>
                                <w:spacing w:line="400" w:lineRule="exact"/>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成品入库</w:t>
                              </w:r>
                            </w:p>
                          </w:txbxContent>
                        </v:textbox>
                      </v:rect>
                      <v:rect id="矩形 19" o:spid="_x0000_s1026" o:spt="1" style="position:absolute;left:86995;top:1053465;height:420370;width:135509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X4bjtQAAAAGAQAADwAAAAAAAAABACAAAAAiAAAAZHJzL2Rvd25yZXYueG1sUEsBAhQAFAAA&#10;AAgAh07iQFaih6osAgAAVAQAAA4AAAAAAAAAAQAgAAAAIwEAAGRycy9lMm9Eb2MueG1sUEsFBgAA&#10;AAAGAAYAWQEAAMEFAAAAAA==&#10;">
                        <v:fill on="t" focussize="0,0"/>
                        <v:stroke on="f" joinstyle="miter"/>
                        <v:imagedata o:title=""/>
                        <o:lock v:ext="edit" aspectratio="f"/>
                        <v:textbox inset="0mm,0mm,0mm,0mm">
                          <w:txbxContent>
                            <w:p w14:paraId="0E099EBE">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油漆、稀释剂</w:t>
                              </w:r>
                            </w:p>
                            <w:p w14:paraId="6D40B8C5">
                              <w:pPr>
                                <w:spacing w:line="240" w:lineRule="auto"/>
                                <w:jc w:val="center"/>
                                <w:rPr>
                                  <w:rFonts w:hint="default" w:ascii="宋体" w:hAnsi="宋体" w:cs="宋体"/>
                                  <w:sz w:val="24"/>
                                  <w:szCs w:val="24"/>
                                  <w:lang w:val="en-US" w:eastAsia="zh-CN"/>
                                </w:rPr>
                              </w:pPr>
                              <w:r>
                                <w:rPr>
                                  <w:rFonts w:hint="eastAsia" w:ascii="宋体" w:hAnsi="宋体" w:cs="宋体"/>
                                  <w:sz w:val="24"/>
                                  <w:szCs w:val="24"/>
                                  <w:lang w:val="en-US" w:eastAsia="zh-CN"/>
                                </w:rPr>
                                <w:t>固化剂</w:t>
                              </w:r>
                            </w:p>
                          </w:txbxContent>
                        </v:textbox>
                      </v:rect>
                      <v:line id="直线 20" o:spid="_x0000_s1026" o:spt="20" style="position:absolute;left:1442085;top:1257300;flip:y;height:6350;width:610870;" filled="f" stroked="t" coordsize="21600,21600" o:gfxdata="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BSX5dUAAAAGAQAADwAA&#10;AAAAAAABACAAAAAiAAAAZHJzL2Rvd25yZXYueG1sUEsBAhQAFAAAAAgAh07iQHT62G8ZAgAALgQA&#10;AA4AAAAAAAAAAQAgAAAAJAEAAGRycy9lMm9Eb2MueG1sUEsFBgAAAAAGAAYAWQEAAK8FAAAAAA==&#10;">
                        <v:fill on="f" focussize="0,0"/>
                        <v:stroke color="#000000" joinstyle="round" dashstyle="dash" endarrow="block"/>
                        <v:imagedata o:title=""/>
                        <o:lock v:ext="edit" aspectratio="f"/>
                      </v:line>
                      <v:line id="直线 20" o:spid="_x0000_s1026" o:spt="20" style="position:absolute;left:3180715;top:3682365;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5utmnYAAAABgEAAA8AAAAAAAAAAQAgAAAAIgAAAGRycy9kb3ducmV2LnhtbFBL&#10;AQIUABQAAAAIAIdO4kB5R3E+9gEAAOIDAAAOAAAAAAAAAAEAIAAAACcBAABkcnMvZTJvRG9jLnht&#10;bFBLBQYAAAAABgAGAFkBAACPBQAAAAA=&#10;">
                        <v:fill on="f" focussize="0,0"/>
                        <v:stroke color="#000000" joinstyle="round" dashstyle="dash" endarrow="block"/>
                        <v:imagedata o:title=""/>
                        <o:lock v:ext="edit" aspectratio="f"/>
                      </v:line>
                      <v:rect id="矩形 19" o:spid="_x0000_s1026" o:spt="1" style="position:absolute;left:3656330;top:2711450;height:292100;width:76454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X4bjtQAAAAGAQAADwAAAAAAAAABACAAAAAiAAAAZHJzL2Rvd25yZXYueG1sUEsBAhQAFAAA&#10;AAgAh07iQNqUwe8sAgAAVgQAAA4AAAAAAAAAAQAgAAAAIwEAAGRycy9lMm9Eb2MueG1sUEsFBgAA&#10;AAAGAAYAWQEAAMEFAAAAAA==&#10;">
                        <v:fill on="t" focussize="0,0"/>
                        <v:stroke on="f" joinstyle="miter"/>
                        <v:imagedata o:title=""/>
                        <o:lock v:ext="edit" aspectratio="f"/>
                        <v:textbox inset="0mm,0mm,0mm,0mm">
                          <w:txbxContent>
                            <w:p w14:paraId="66E5A6F3">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3</w:t>
                              </w:r>
                              <w:r>
                                <w:rPr>
                                  <w:rFonts w:hint="default" w:ascii="Times New Roman" w:hAnsi="Times New Roman" w:cs="Times New Roman"/>
                                  <w:sz w:val="24"/>
                                  <w:szCs w:val="24"/>
                                  <w:lang w:val="en-US" w:eastAsia="zh-CN"/>
                                </w:rPr>
                                <w:t>、N</w:t>
                              </w:r>
                            </w:p>
                          </w:txbxContent>
                        </v:textbox>
                      </v:rect>
                      <v:rect id="矩形 19" o:spid="_x0000_s1026" o:spt="1" style="position:absolute;left:3648710;top:3529330;height:292100;width:76454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X4bjtQAAAAGAQAADwAAAAAAAAABACAAAAAiAAAAZHJzL2Rvd25yZXYueG1sUEsBAhQAFAAA&#10;AAgAh07iQOObeS4sAgAAVgQAAA4AAAAAAAAAAQAgAAAAIwEAAGRycy9lMm9Eb2MueG1sUEsFBgAA&#10;AAAGAAYAWQEAAMEFAAAAAA==&#10;">
                        <v:fill on="t" focussize="0,0"/>
                        <v:stroke on="f" joinstyle="miter"/>
                        <v:imagedata o:title=""/>
                        <o:lock v:ext="edit" aspectratio="f"/>
                        <v:textbox inset="0mm,0mm,0mm,0mm">
                          <w:txbxContent>
                            <w:p w14:paraId="78994ADD">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4</w:t>
                              </w:r>
                              <w:r>
                                <w:rPr>
                                  <w:rFonts w:hint="default" w:ascii="Times New Roman" w:hAnsi="Times New Roman" w:cs="Times New Roman"/>
                                  <w:sz w:val="24"/>
                                  <w:szCs w:val="24"/>
                                  <w:lang w:val="en-US" w:eastAsia="zh-CN"/>
                                </w:rPr>
                                <w:t>、</w:t>
                              </w:r>
                              <w:r>
                                <w:rPr>
                                  <w:rFonts w:hint="eastAsia" w:cs="Times New Roman"/>
                                  <w:sz w:val="24"/>
                                  <w:szCs w:val="24"/>
                                  <w:lang w:val="en-US" w:eastAsia="zh-CN"/>
                                </w:rPr>
                                <w:t>S4、</w:t>
                              </w:r>
                              <w:r>
                                <w:rPr>
                                  <w:rFonts w:hint="default" w:ascii="Times New Roman" w:hAnsi="Times New Roman" w:cs="Times New Roman"/>
                                  <w:sz w:val="24"/>
                                  <w:szCs w:val="24"/>
                                  <w:lang w:val="en-US" w:eastAsia="zh-CN"/>
                                </w:rPr>
                                <w:t>N</w:t>
                              </w:r>
                            </w:p>
                          </w:txbxContent>
                        </v:textbox>
                      </v:rect>
                      <v:line id="直线 20" o:spid="_x0000_s1026" o:spt="20" style="position:absolute;left:3195955;top:4436745;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m62adgAAAAGAQAADwAAAAAAAAABACAAAAAiAAAAZHJzL2Rvd25yZXYueG1s&#10;UEsBAhQAFAAAAAgAh07iQNTpR5j4AQAA4gMAAA4AAAAAAAAAAQAgAAAAJwEAAGRycy9lMm9Eb2Mu&#10;eG1sUEsFBgAAAAAGAAYAWQEAAJEFAAAAAA==&#10;">
                        <v:fill on="f" focussize="0,0"/>
                        <v:stroke color="#000000" joinstyle="round" dashstyle="dash" endarrow="block"/>
                        <v:imagedata o:title=""/>
                        <o:lock v:ext="edit" aspectratio="f"/>
                      </v:line>
                      <v:rect id="矩形 19" o:spid="_x0000_s1026" o:spt="1" style="position:absolute;left:3679825;top:4307205;height:292100;width:1152525;"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l+G47UAAAABgEAAA8AAAAAAAAAAQAgAAAAIgAAAGRycy9kb3ducmV2LnhtbFBLAQIUABQA&#10;AAAIAIdO4kAB0FUBLQIAAFcEAAAOAAAAAAAAAAEAIAAAACMBAABkcnMvZTJvRG9jLnhtbFBLBQYA&#10;AAAABgAGAFkBAADCBQAAAAA=&#10;">
                        <v:fill on="t" focussize="0,0"/>
                        <v:stroke on="f" joinstyle="miter"/>
                        <v:imagedata o:title=""/>
                        <o:lock v:ext="edit" aspectratio="f"/>
                        <v:textbox inset="0mm,0mm,0mm,0mm">
                          <w:txbxContent>
                            <w:p w14:paraId="264F9051">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5</w:t>
                              </w:r>
                              <w:r>
                                <w:rPr>
                                  <w:rFonts w:hint="default" w:ascii="Times New Roman" w:hAnsi="Times New Roman" w:cs="Times New Roman"/>
                                  <w:sz w:val="24"/>
                                  <w:szCs w:val="24"/>
                                  <w:lang w:val="en-US" w:eastAsia="zh-CN"/>
                                </w:rPr>
                                <w:t>、S</w:t>
                              </w:r>
                              <w:r>
                                <w:rPr>
                                  <w:rFonts w:hint="eastAsia" w:cs="Times New Roman"/>
                                  <w:sz w:val="24"/>
                                  <w:szCs w:val="24"/>
                                  <w:lang w:val="en-US" w:eastAsia="zh-CN"/>
                                </w:rPr>
                                <w:t>5</w:t>
                              </w:r>
                              <w:r>
                                <w:rPr>
                                  <w:rFonts w:hint="default" w:ascii="Times New Roman" w:hAnsi="Times New Roman" w:cs="Times New Roman"/>
                                  <w:sz w:val="24"/>
                                  <w:szCs w:val="24"/>
                                  <w:lang w:val="en-US" w:eastAsia="zh-CN"/>
                                </w:rPr>
                                <w:t>、</w:t>
                              </w:r>
                              <w:r>
                                <w:rPr>
                                  <w:rFonts w:hint="eastAsia" w:cs="Times New Roman"/>
                                  <w:sz w:val="24"/>
                                  <w:szCs w:val="24"/>
                                  <w:lang w:val="en-US" w:eastAsia="zh-CN"/>
                                </w:rPr>
                                <w:t>S6、</w:t>
                              </w:r>
                              <w:r>
                                <w:rPr>
                                  <w:rFonts w:hint="default" w:ascii="Times New Roman" w:hAnsi="Times New Roman" w:cs="Times New Roman"/>
                                  <w:sz w:val="24"/>
                                  <w:szCs w:val="24"/>
                                  <w:lang w:val="en-US" w:eastAsia="zh-CN"/>
                                </w:rPr>
                                <w:t>N</w:t>
                              </w:r>
                            </w:p>
                          </w:txbxContent>
                        </v:textbox>
                      </v:rect>
                      <v:line id="直线 20" o:spid="_x0000_s1026" o:spt="20" style="position:absolute;left:3187700;top:2862580;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m62adgAAAAGAQAADwAAAAAAAAABACAAAAAiAAAAZHJzL2Rvd25yZXYueG1sUEsB&#10;AhQAFAAAAAgAh07iQC7p/cr1AQAA4gMAAA4AAAAAAAAAAQAgAAAAJwEAAGRycy9lMm9Eb2MueG1s&#10;UEsFBgAAAAAGAAYAWQEAAI4FAAAAAA==&#10;">
                        <v:fill on="f" focussize="0,0"/>
                        <v:stroke color="#000000" joinstyle="round" dashstyle="dash" endarrow="block"/>
                        <v:imagedata o:title=""/>
                        <o:lock v:ext="edit" aspectratio="f"/>
                      </v:line>
                      <v:rect id="矩形 19" o:spid="_x0000_s1026" o:spt="1" style="position:absolute;left:3680460;top:5085080;height:292100;width:76454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5fhuO1AAAAAYBAAAPAAAAAAAAAAEAIAAAACIAAABkcnMvZG93bnJldi54bWxQSwECFAAUAAAA&#10;CACHTuJAVAEtxSsCAABWBAAADgAAAAAAAAABACAAAAAjAQAAZHJzL2Uyb0RvYy54bWxQSwUGAAAA&#10;AAYABgBZAQAAwAUAAAAA&#10;">
                        <v:fill on="t" focussize="0,0"/>
                        <v:stroke on="f" joinstyle="miter"/>
                        <v:imagedata o:title=""/>
                        <o:lock v:ext="edit" aspectratio="f"/>
                        <v:textbox inset="0mm,0mm,0mm,0mm">
                          <w:txbxContent>
                            <w:p w14:paraId="6F0D56E9">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G</w:t>
                              </w:r>
                              <w:r>
                                <w:rPr>
                                  <w:rFonts w:hint="eastAsia" w:cs="Times New Roman"/>
                                  <w:sz w:val="24"/>
                                  <w:szCs w:val="24"/>
                                  <w:lang w:val="en-US" w:eastAsia="zh-CN"/>
                                </w:rPr>
                                <w:t>6</w:t>
                              </w:r>
                              <w:r>
                                <w:rPr>
                                  <w:rFonts w:hint="default" w:ascii="Times New Roman" w:hAnsi="Times New Roman" w:cs="Times New Roman"/>
                                  <w:sz w:val="24"/>
                                  <w:szCs w:val="24"/>
                                  <w:lang w:val="en-US" w:eastAsia="zh-CN"/>
                                </w:rPr>
                                <w:t>、N</w:t>
                              </w:r>
                            </w:p>
                          </w:txbxContent>
                        </v:textbox>
                      </v:rect>
                      <v:line id="直线 20" o:spid="_x0000_s1026" o:spt="20" style="position:absolute;left:3195955;top:5236210;height:3175;width:463550;" filled="f" stroked="t" coordsize="21600,21600" o:gfxdata="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5utmnYAAAABgEAAA8AAAAAAAAAAQAgAAAAIgAAAGRycy9kb3ducmV2LnhtbFBL&#10;AQIUABQAAAAIAIdO4kCEF+R29gEAAOIDAAAOAAAAAAAAAAEAIAAAACcBAABkcnMvZTJvRG9jLnht&#10;bFBLBQYAAAAABgAGAFkBAACPBQAAAAA=&#10;">
                        <v:fill on="f" focussize="0,0"/>
                        <v:stroke color="#000000" joinstyle="round" dashstyle="dash" endarrow="block"/>
                        <v:imagedata o:title=""/>
                        <o:lock v:ext="edit" aspectratio="f"/>
                      </v:line>
                      <v:rect id="矩形 19" o:spid="_x0000_s1026" o:spt="1" style="position:absolute;left:216535;top:5903595;height:993140;width:808990;" fillcolor="#FFFFFF" filled="t" stroked="f" coordsize="21600,21600" o:gfxdata="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l+G47UAAAABgEAAA8AAAAAAAAAAQAgAAAAIgAAAGRycy9kb3ducmV2LnhtbFBLAQIUABQAAAAI&#10;AIdO4kBQcjqcKgIAAFUEAAAOAAAAAAAAAAEAIAAAACMBAABkcnMvZTJvRG9jLnhtbFBLBQYAAAAA&#10;BgAGAFkBAAC/BQAAAAA=&#10;">
                        <v:fill on="t" focussize="0,0"/>
                        <v:stroke on="f" joinstyle="miter"/>
                        <v:imagedata o:title=""/>
                        <o:lock v:ext="edit" aspectratio="f"/>
                        <v:textbox inset="0mm,0mm,0mm,0mm">
                          <w:txbxContent>
                            <w:p w14:paraId="6B3EA982">
                              <w:pPr>
                                <w:spacing w:line="36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图例</w:t>
                              </w:r>
                            </w:p>
                            <w:p w14:paraId="2A7BD875">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G 废气</w:t>
                              </w:r>
                            </w:p>
                            <w:p w14:paraId="39E94F26">
                              <w:pPr>
                                <w:spacing w:line="240" w:lineRule="auto"/>
                                <w:jc w:val="center"/>
                                <w:rPr>
                                  <w:rFonts w:hint="eastAsia" w:ascii="宋体" w:hAnsi="宋体" w:cs="宋体"/>
                                  <w:sz w:val="24"/>
                                  <w:szCs w:val="24"/>
                                  <w:lang w:val="en-US" w:eastAsia="zh-CN"/>
                                </w:rPr>
                              </w:pPr>
                              <w:r>
                                <w:rPr>
                                  <w:rFonts w:hint="eastAsia" w:ascii="宋体" w:hAnsi="宋体" w:cs="宋体"/>
                                  <w:sz w:val="24"/>
                                  <w:szCs w:val="24"/>
                                  <w:lang w:val="en-US" w:eastAsia="zh-CN"/>
                                </w:rPr>
                                <w:t>S 固废</w:t>
                              </w:r>
                            </w:p>
                            <w:p w14:paraId="1D59153E">
                              <w:pPr>
                                <w:spacing w:line="240" w:lineRule="auto"/>
                                <w:jc w:val="center"/>
                                <w:rPr>
                                  <w:rFonts w:hint="default" w:ascii="宋体" w:hAnsi="宋体" w:cs="宋体"/>
                                  <w:sz w:val="24"/>
                                  <w:szCs w:val="24"/>
                                  <w:lang w:val="en-US" w:eastAsia="zh-CN"/>
                                </w:rPr>
                              </w:pPr>
                              <w:r>
                                <w:rPr>
                                  <w:rFonts w:hint="eastAsia" w:ascii="宋体" w:hAnsi="宋体" w:cs="宋体"/>
                                  <w:sz w:val="24"/>
                                  <w:szCs w:val="24"/>
                                  <w:lang w:val="en-US" w:eastAsia="zh-CN"/>
                                </w:rPr>
                                <w:t>N 噪声</w:t>
                              </w:r>
                            </w:p>
                          </w:txbxContent>
                        </v:textbox>
                      </v:rect>
                      <w10:wrap type="none"/>
                      <w10:anchorlock/>
                    </v:group>
                  </w:pict>
                </mc:Fallback>
              </mc:AlternateContent>
            </w:r>
          </w:p>
          <w:p w14:paraId="0E598BEB">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图2-2</w:t>
            </w:r>
            <w:r>
              <w:rPr>
                <w:rFonts w:hint="default" w:ascii="Times New Roman" w:hAnsi="Times New Roman" w:cs="Times New Roman"/>
                <w:color w:val="auto"/>
                <w:lang w:val="en-US" w:eastAsia="zh-CN"/>
              </w:rPr>
              <w:t xml:space="preserve">  </w:t>
            </w:r>
            <w:r>
              <w:rPr>
                <w:rFonts w:hint="eastAsia" w:ascii="Times New Roman" w:hAnsi="Times New Roman" w:cs="Times New Roman"/>
                <w:color w:val="auto"/>
                <w:lang w:val="en-US" w:eastAsia="zh-CN"/>
              </w:rPr>
              <w:t>建设项目</w:t>
            </w:r>
            <w:r>
              <w:rPr>
                <w:rFonts w:hint="default" w:ascii="Times New Roman" w:hAnsi="Times New Roman" w:cs="Times New Roman"/>
                <w:color w:val="auto"/>
                <w:lang w:val="en-US" w:eastAsia="zh-CN"/>
              </w:rPr>
              <w:t>生产工艺流程及产污环节</w:t>
            </w:r>
          </w:p>
          <w:p w14:paraId="6F0398DB">
            <w:pPr>
              <w:pStyle w:val="29"/>
              <w:bidi w:val="0"/>
              <w:rPr>
                <w:rFonts w:hint="default" w:ascii="Times New Roman" w:hAnsi="Times New Roman" w:cs="Times New Roman"/>
                <w:b/>
                <w:bCs/>
                <w:color w:val="FF0000"/>
              </w:rPr>
            </w:pPr>
          </w:p>
          <w:p w14:paraId="411B4766">
            <w:pPr>
              <w:pStyle w:val="29"/>
              <w:bidi w:val="0"/>
              <w:rPr>
                <w:rFonts w:hint="default" w:ascii="Times New Roman" w:hAnsi="Times New Roman" w:cs="Times New Roman"/>
                <w:b/>
                <w:bCs/>
                <w:color w:val="FF0000"/>
              </w:rPr>
            </w:pPr>
          </w:p>
          <w:p w14:paraId="05A5B5EC">
            <w:pPr>
              <w:pStyle w:val="29"/>
              <w:bidi w:val="0"/>
              <w:rPr>
                <w:rFonts w:hint="default" w:ascii="Times New Roman" w:hAnsi="Times New Roman" w:cs="Times New Roman"/>
                <w:b/>
                <w:bCs/>
                <w:color w:val="FF0000"/>
              </w:rPr>
            </w:pPr>
          </w:p>
          <w:p w14:paraId="143F0EE7">
            <w:pPr>
              <w:pStyle w:val="29"/>
              <w:bidi w:val="0"/>
              <w:rPr>
                <w:rFonts w:hint="default" w:ascii="Times New Roman" w:hAnsi="Times New Roman" w:cs="Times New Roman"/>
                <w:color w:val="auto"/>
              </w:rPr>
            </w:pPr>
            <w:r>
              <w:rPr>
                <w:rFonts w:hint="default" w:ascii="Times New Roman" w:hAnsi="Times New Roman" w:cs="Times New Roman"/>
                <w:b/>
                <w:bCs/>
                <w:color w:val="auto"/>
              </w:rPr>
              <w:t>工艺流程简述：</w:t>
            </w:r>
          </w:p>
          <w:p w14:paraId="1121B289">
            <w:pPr>
              <w:keepNext/>
              <w:keepLines/>
              <w:topLinePunct/>
              <w:autoSpaceDE w:val="0"/>
              <w:adjustRightInd w:val="0"/>
              <w:snapToGrid w:val="0"/>
              <w:spacing w:line="360" w:lineRule="auto"/>
              <w:ind w:firstLine="480" w:firstLineChars="200"/>
              <w:rPr>
                <w:rFonts w:hint="eastAsia" w:eastAsia="宋体"/>
                <w:color w:val="auto"/>
                <w:sz w:val="24"/>
                <w:szCs w:val="24"/>
                <w:lang w:eastAsia="zh-CN"/>
              </w:rPr>
            </w:pPr>
            <w:r>
              <w:rPr>
                <w:rFonts w:hint="eastAsia"/>
                <w:color w:val="auto"/>
                <w:sz w:val="24"/>
                <w:szCs w:val="24"/>
              </w:rPr>
              <w:t>（1）</w:t>
            </w:r>
            <w:r>
              <w:rPr>
                <w:rFonts w:hint="eastAsia"/>
                <w:color w:val="auto"/>
                <w:sz w:val="24"/>
                <w:szCs w:val="24"/>
                <w:lang w:val="en-US" w:eastAsia="zh-CN"/>
              </w:rPr>
              <w:t>调漆</w:t>
            </w:r>
          </w:p>
          <w:p w14:paraId="5E1DC5CF">
            <w:pPr>
              <w:keepNext/>
              <w:keepLines/>
              <w:topLinePunct/>
              <w:autoSpaceDE w:val="0"/>
              <w:adjustRightInd w:val="0"/>
              <w:snapToGrid w:val="0"/>
              <w:spacing w:line="360" w:lineRule="auto"/>
              <w:ind w:firstLine="480" w:firstLineChars="200"/>
              <w:rPr>
                <w:rFonts w:hint="eastAsia"/>
                <w:color w:val="auto"/>
                <w:sz w:val="24"/>
                <w:szCs w:val="24"/>
              </w:rPr>
            </w:pPr>
            <w:r>
              <w:rPr>
                <w:rFonts w:hint="eastAsia"/>
                <w:color w:val="auto"/>
                <w:sz w:val="24"/>
                <w:szCs w:val="24"/>
                <w:lang w:val="en-US" w:eastAsia="zh-CN"/>
              </w:rPr>
              <w:t>调漆按照底漆（面漆）</w:t>
            </w:r>
            <w:r>
              <w:rPr>
                <w:rFonts w:hint="eastAsia"/>
                <w:color w:val="auto"/>
                <w:sz w:val="24"/>
                <w:szCs w:val="24"/>
              </w:rPr>
              <w:t>：稀释剂：</w:t>
            </w:r>
            <w:r>
              <w:rPr>
                <w:rFonts w:hint="eastAsia"/>
                <w:color w:val="auto"/>
                <w:sz w:val="24"/>
                <w:szCs w:val="24"/>
                <w:lang w:val="en-US" w:eastAsia="zh-CN"/>
              </w:rPr>
              <w:t>固化剂</w:t>
            </w:r>
            <w:r>
              <w:rPr>
                <w:rFonts w:hint="eastAsia"/>
                <w:color w:val="auto"/>
                <w:sz w:val="24"/>
                <w:szCs w:val="24"/>
              </w:rPr>
              <w:t>=</w:t>
            </w:r>
            <w:r>
              <w:rPr>
                <w:rFonts w:hint="eastAsia"/>
                <w:color w:val="auto"/>
                <w:sz w:val="24"/>
                <w:szCs w:val="24"/>
                <w:lang w:val="en-US" w:eastAsia="zh-CN"/>
              </w:rPr>
              <w:t>1</w:t>
            </w:r>
            <w:r>
              <w:rPr>
                <w:rFonts w:hint="eastAsia"/>
                <w:color w:val="auto"/>
                <w:sz w:val="24"/>
                <w:szCs w:val="24"/>
              </w:rPr>
              <w:t>：</w:t>
            </w:r>
            <w:r>
              <w:rPr>
                <w:rFonts w:hint="eastAsia"/>
                <w:color w:val="auto"/>
                <w:sz w:val="24"/>
                <w:szCs w:val="24"/>
                <w:lang w:val="en-US" w:eastAsia="zh-CN"/>
              </w:rPr>
              <w:t>0.75</w:t>
            </w:r>
            <w:r>
              <w:rPr>
                <w:rFonts w:hint="eastAsia"/>
                <w:color w:val="auto"/>
                <w:sz w:val="24"/>
                <w:szCs w:val="24"/>
              </w:rPr>
              <w:t>：</w:t>
            </w:r>
            <w:r>
              <w:rPr>
                <w:rFonts w:hint="eastAsia"/>
                <w:color w:val="auto"/>
                <w:sz w:val="24"/>
                <w:szCs w:val="24"/>
                <w:lang w:val="en-US" w:eastAsia="zh-CN"/>
              </w:rPr>
              <w:t>0.1的比例进行调配，调漆在专用调漆房进行。</w:t>
            </w:r>
            <w:r>
              <w:rPr>
                <w:rFonts w:hint="eastAsia"/>
                <w:color w:val="auto"/>
                <w:sz w:val="24"/>
                <w:szCs w:val="24"/>
              </w:rPr>
              <w:t>该工序产生</w:t>
            </w:r>
            <w:r>
              <w:rPr>
                <w:rFonts w:hint="eastAsia"/>
                <w:color w:val="auto"/>
                <w:sz w:val="24"/>
                <w:szCs w:val="24"/>
                <w:lang w:val="en-US" w:eastAsia="zh-CN"/>
              </w:rPr>
              <w:t>废油漆、稀释剂、固化剂桶</w:t>
            </w:r>
            <w:r>
              <w:rPr>
                <w:rFonts w:hint="eastAsia"/>
                <w:color w:val="auto"/>
                <w:sz w:val="24"/>
                <w:szCs w:val="24"/>
              </w:rPr>
              <w:t>（S1）</w:t>
            </w:r>
            <w:r>
              <w:rPr>
                <w:rFonts w:hint="eastAsia"/>
                <w:color w:val="auto"/>
                <w:sz w:val="24"/>
                <w:szCs w:val="24"/>
                <w:lang w:val="en-US" w:eastAsia="zh-CN"/>
              </w:rPr>
              <w:t>及有机废气（G1）</w:t>
            </w:r>
            <w:r>
              <w:rPr>
                <w:rFonts w:hint="eastAsia"/>
                <w:color w:val="auto"/>
                <w:sz w:val="24"/>
                <w:szCs w:val="24"/>
              </w:rPr>
              <w:t>。</w:t>
            </w:r>
          </w:p>
          <w:p w14:paraId="56DC5536">
            <w:pPr>
              <w:keepNext/>
              <w:keepLines/>
              <w:topLinePunct/>
              <w:autoSpaceDE w:val="0"/>
              <w:adjustRightInd w:val="0"/>
              <w:snapToGrid w:val="0"/>
              <w:spacing w:line="360" w:lineRule="auto"/>
              <w:ind w:firstLine="480" w:firstLineChars="200"/>
              <w:rPr>
                <w:rFonts w:hint="default" w:eastAsia="宋体"/>
                <w:color w:val="auto"/>
                <w:sz w:val="24"/>
                <w:szCs w:val="24"/>
                <w:lang w:val="en-US" w:eastAsia="zh-CN"/>
              </w:rPr>
            </w:pPr>
            <w:r>
              <w:rPr>
                <w:rFonts w:hint="eastAsia"/>
                <w:color w:val="auto"/>
                <w:sz w:val="24"/>
                <w:szCs w:val="24"/>
              </w:rPr>
              <w:t>（2）</w:t>
            </w:r>
            <w:r>
              <w:rPr>
                <w:rFonts w:hint="eastAsia"/>
                <w:color w:val="auto"/>
                <w:sz w:val="24"/>
                <w:szCs w:val="24"/>
                <w:lang w:val="en-US" w:eastAsia="zh-CN"/>
              </w:rPr>
              <w:t>喷漆（底漆、面漆）</w:t>
            </w:r>
          </w:p>
          <w:p w14:paraId="40B0F49A">
            <w:pPr>
              <w:keepNext/>
              <w:keepLines/>
              <w:topLinePunct/>
              <w:autoSpaceDE w:val="0"/>
              <w:adjustRightInd w:val="0"/>
              <w:snapToGrid w:val="0"/>
              <w:spacing w:line="360" w:lineRule="auto"/>
              <w:ind w:firstLine="480" w:firstLineChars="200"/>
              <w:rPr>
                <w:rFonts w:hint="eastAsia"/>
                <w:color w:val="auto"/>
                <w:sz w:val="24"/>
                <w:szCs w:val="24"/>
              </w:rPr>
            </w:pPr>
            <w:r>
              <w:rPr>
                <w:rFonts w:hint="eastAsia"/>
                <w:color w:val="auto"/>
                <w:sz w:val="24"/>
                <w:szCs w:val="24"/>
                <w:lang w:val="en-US" w:eastAsia="zh-CN"/>
              </w:rPr>
              <w:t>本项目底漆面漆喷涂均在同一喷漆房进行，均采用</w:t>
            </w:r>
            <w:r>
              <w:rPr>
                <w:rFonts w:hint="eastAsia"/>
                <w:color w:val="auto"/>
                <w:sz w:val="24"/>
                <w:szCs w:val="24"/>
              </w:rPr>
              <w:t>人工持枪喷涂，在工件表面上喷涂漆。喷时，外部空气经过初级过滤网过滤后由风机送到喷漆库顶部，再经过顶部过滤网二次过滤净化后进入房内。房内空气采用全降式，以&gt;0.3m/s的速度向下流动，使喷后的雾微粒不能在空气中停留直接通过底部过滤装置后，从出风口被排出房外。这样不断地循环转换，使喷漆时房内空气清洁度达98%以上，且送入的空气具有一定的压力，确保室内灰尘不会往喷烤漆房内渗漏，污染工件表面，从而最大限度地保证喷漆的质量</w:t>
            </w:r>
            <w:r>
              <w:rPr>
                <w:rFonts w:hint="eastAsia"/>
                <w:color w:val="auto"/>
                <w:sz w:val="24"/>
                <w:szCs w:val="24"/>
                <w:lang w:eastAsia="zh-CN"/>
              </w:rPr>
              <w:t>，</w:t>
            </w:r>
            <w:r>
              <w:rPr>
                <w:rFonts w:hint="eastAsia"/>
                <w:color w:val="auto"/>
                <w:sz w:val="24"/>
                <w:szCs w:val="24"/>
                <w:lang w:val="en-US" w:eastAsia="zh-CN"/>
              </w:rPr>
              <w:t>根据建设单位提供信息，</w:t>
            </w:r>
            <w:r>
              <w:rPr>
                <w:rFonts w:hint="default" w:ascii="Times New Roman" w:hAnsi="Times New Roman" w:cs="Times New Roman"/>
                <w:color w:val="auto"/>
                <w:sz w:val="24"/>
                <w:szCs w:val="24"/>
                <w:u w:val="single"/>
                <w:lang w:eastAsia="zh-CN"/>
              </w:rPr>
              <w:t>底漆成膜厚度为30μm</w:t>
            </w:r>
            <w:r>
              <w:rPr>
                <w:rFonts w:hint="eastAsia" w:cs="Times New Roman"/>
                <w:color w:val="auto"/>
                <w:sz w:val="24"/>
                <w:szCs w:val="24"/>
                <w:u w:val="single"/>
                <w:lang w:val="en-US" w:eastAsia="zh-CN"/>
              </w:rPr>
              <w:t>左右</w:t>
            </w:r>
            <w:r>
              <w:rPr>
                <w:rFonts w:hint="eastAsia" w:cs="Times New Roman"/>
                <w:color w:val="auto"/>
                <w:sz w:val="24"/>
                <w:szCs w:val="24"/>
                <w:u w:val="single"/>
                <w:lang w:eastAsia="zh-CN"/>
              </w:rPr>
              <w:t>，</w:t>
            </w:r>
            <w:r>
              <w:rPr>
                <w:rFonts w:hint="eastAsia" w:cs="Times New Roman"/>
                <w:color w:val="auto"/>
                <w:sz w:val="24"/>
                <w:szCs w:val="24"/>
                <w:u w:val="single"/>
                <w:lang w:val="en-US" w:eastAsia="zh-CN"/>
              </w:rPr>
              <w:t>面漆成膜厚度</w:t>
            </w:r>
            <w:r>
              <w:rPr>
                <w:rFonts w:hint="default" w:ascii="Times New Roman" w:hAnsi="Times New Roman" w:cs="Times New Roman"/>
                <w:color w:val="auto"/>
                <w:sz w:val="24"/>
                <w:szCs w:val="24"/>
                <w:u w:val="single"/>
                <w:lang w:eastAsia="zh-CN"/>
              </w:rPr>
              <w:t>为</w:t>
            </w:r>
            <w:r>
              <w:rPr>
                <w:rFonts w:hint="eastAsia" w:cs="Times New Roman"/>
                <w:color w:val="auto"/>
                <w:sz w:val="24"/>
                <w:szCs w:val="24"/>
                <w:u w:val="single"/>
                <w:lang w:val="en-US" w:eastAsia="zh-CN"/>
              </w:rPr>
              <w:t>4</w:t>
            </w:r>
            <w:r>
              <w:rPr>
                <w:rFonts w:hint="default" w:ascii="Times New Roman" w:hAnsi="Times New Roman" w:cs="Times New Roman"/>
                <w:color w:val="auto"/>
                <w:sz w:val="24"/>
                <w:szCs w:val="24"/>
                <w:u w:val="single"/>
                <w:lang w:eastAsia="zh-CN"/>
              </w:rPr>
              <w:t>0μm</w:t>
            </w:r>
            <w:r>
              <w:rPr>
                <w:rFonts w:hint="eastAsia" w:cs="Times New Roman"/>
                <w:color w:val="auto"/>
                <w:sz w:val="24"/>
                <w:szCs w:val="24"/>
                <w:u w:val="single"/>
                <w:lang w:val="en-US" w:eastAsia="zh-CN"/>
              </w:rPr>
              <w:t>左右</w:t>
            </w:r>
            <w:r>
              <w:rPr>
                <w:rFonts w:hint="eastAsia"/>
                <w:color w:val="auto"/>
                <w:sz w:val="24"/>
                <w:szCs w:val="24"/>
                <w:u w:val="single"/>
              </w:rPr>
              <w:t>。</w:t>
            </w:r>
            <w:r>
              <w:rPr>
                <w:rFonts w:hint="eastAsia"/>
                <w:color w:val="auto"/>
                <w:sz w:val="24"/>
                <w:szCs w:val="24"/>
              </w:rPr>
              <w:t>该工序</w:t>
            </w:r>
            <w:r>
              <w:rPr>
                <w:rFonts w:hint="eastAsia"/>
                <w:color w:val="auto"/>
                <w:sz w:val="24"/>
                <w:szCs w:val="24"/>
                <w:lang w:val="en-US" w:eastAsia="zh-CN"/>
              </w:rPr>
              <w:t>会有喷漆废气</w:t>
            </w:r>
            <w:r>
              <w:rPr>
                <w:rFonts w:hint="eastAsia"/>
                <w:color w:val="auto"/>
                <w:sz w:val="24"/>
                <w:szCs w:val="24"/>
              </w:rPr>
              <w:t>（</w:t>
            </w:r>
            <w:r>
              <w:rPr>
                <w:rFonts w:hint="eastAsia"/>
                <w:color w:val="auto"/>
                <w:sz w:val="24"/>
                <w:szCs w:val="24"/>
                <w:lang w:val="en-US" w:eastAsia="zh-CN"/>
              </w:rPr>
              <w:t>G2\G5</w:t>
            </w:r>
            <w:r>
              <w:rPr>
                <w:rFonts w:hint="eastAsia"/>
                <w:color w:val="auto"/>
                <w:sz w:val="24"/>
                <w:szCs w:val="24"/>
              </w:rPr>
              <w:t>）、</w:t>
            </w:r>
            <w:r>
              <w:rPr>
                <w:rFonts w:hint="eastAsia"/>
                <w:color w:val="auto"/>
                <w:sz w:val="24"/>
                <w:szCs w:val="24"/>
                <w:lang w:val="en-US" w:eastAsia="zh-CN"/>
              </w:rPr>
              <w:t>废漆渣（</w:t>
            </w:r>
            <w:r>
              <w:rPr>
                <w:rFonts w:hint="eastAsia"/>
                <w:color w:val="auto"/>
                <w:sz w:val="24"/>
                <w:szCs w:val="24"/>
              </w:rPr>
              <w:t>S</w:t>
            </w:r>
            <w:r>
              <w:rPr>
                <w:rFonts w:hint="eastAsia"/>
                <w:color w:val="auto"/>
                <w:sz w:val="24"/>
                <w:szCs w:val="24"/>
                <w:lang w:val="en-US" w:eastAsia="zh-CN"/>
              </w:rPr>
              <w:t>2\S5）、水帘废液（S3\S6）</w:t>
            </w:r>
            <w:r>
              <w:rPr>
                <w:rFonts w:hint="eastAsia"/>
                <w:color w:val="auto"/>
                <w:sz w:val="24"/>
                <w:szCs w:val="24"/>
              </w:rPr>
              <w:t>、噪声（N）。</w:t>
            </w:r>
          </w:p>
          <w:p w14:paraId="5E6A2E2D">
            <w:pPr>
              <w:keepNext/>
              <w:keepLines/>
              <w:topLinePunct/>
              <w:autoSpaceDE w:val="0"/>
              <w:adjustRightInd w:val="0"/>
              <w:snapToGrid w:val="0"/>
              <w:spacing w:line="360" w:lineRule="auto"/>
              <w:ind w:firstLine="480" w:firstLineChars="200"/>
              <w:rPr>
                <w:rFonts w:hint="eastAsia" w:eastAsia="宋体"/>
                <w:color w:val="auto"/>
                <w:sz w:val="24"/>
                <w:szCs w:val="24"/>
                <w:lang w:val="en-US" w:eastAsia="zh-CN"/>
              </w:rPr>
            </w:pPr>
            <w:r>
              <w:rPr>
                <w:rFonts w:hint="eastAsia"/>
                <w:color w:val="auto"/>
                <w:sz w:val="24"/>
                <w:szCs w:val="24"/>
              </w:rPr>
              <w:t>（3）</w:t>
            </w:r>
            <w:r>
              <w:rPr>
                <w:rFonts w:hint="eastAsia"/>
                <w:color w:val="auto"/>
                <w:sz w:val="24"/>
                <w:szCs w:val="24"/>
                <w:lang w:val="en-US" w:eastAsia="zh-CN"/>
              </w:rPr>
              <w:t>烤漆（底漆、面漆）</w:t>
            </w:r>
          </w:p>
          <w:p w14:paraId="18F7A992">
            <w:pPr>
              <w:keepNext/>
              <w:keepLines/>
              <w:topLinePunct/>
              <w:autoSpaceDE w:val="0"/>
              <w:adjustRightInd w:val="0"/>
              <w:snapToGrid w:val="0"/>
              <w:spacing w:line="360" w:lineRule="auto"/>
              <w:ind w:firstLine="480" w:firstLineChars="200"/>
              <w:rPr>
                <w:rFonts w:hint="eastAsia"/>
                <w:color w:val="FF0000"/>
                <w:sz w:val="24"/>
                <w:szCs w:val="24"/>
              </w:rPr>
            </w:pPr>
            <w:r>
              <w:rPr>
                <w:rFonts w:hint="eastAsia"/>
                <w:color w:val="auto"/>
                <w:sz w:val="24"/>
                <w:szCs w:val="24"/>
                <w:lang w:val="en-US" w:eastAsia="zh-CN"/>
              </w:rPr>
              <w:t>喷漆后的工件转运到烤漆房内</w:t>
            </w:r>
            <w:r>
              <w:rPr>
                <w:rFonts w:hint="eastAsia"/>
                <w:color w:val="auto"/>
                <w:sz w:val="24"/>
                <w:szCs w:val="24"/>
              </w:rPr>
              <w:t>，烤房内</w:t>
            </w:r>
            <w:r>
              <w:rPr>
                <w:rFonts w:hint="eastAsia"/>
                <w:color w:val="auto"/>
                <w:sz w:val="24"/>
                <w:szCs w:val="24"/>
                <w:lang w:val="en-US" w:eastAsia="zh-CN"/>
              </w:rPr>
              <w:t>通过电加热器加热，</w:t>
            </w:r>
            <w:r>
              <w:rPr>
                <w:rFonts w:hint="eastAsia"/>
                <w:color w:val="auto"/>
                <w:sz w:val="24"/>
                <w:szCs w:val="24"/>
              </w:rPr>
              <w:t>温度迅速升高到预定干燥温度(55℃-60℃)。风机将外部新鲜空气进行初过滤后,与热能转换器发生热交换后送至</w:t>
            </w:r>
            <w:r>
              <w:rPr>
                <w:rFonts w:hint="eastAsia"/>
                <w:color w:val="auto"/>
                <w:sz w:val="24"/>
                <w:szCs w:val="24"/>
                <w:lang w:val="en-US" w:eastAsia="zh-CN"/>
              </w:rPr>
              <w:t>烤漆房</w:t>
            </w:r>
            <w:r>
              <w:rPr>
                <w:rFonts w:hint="eastAsia"/>
                <w:color w:val="auto"/>
                <w:sz w:val="24"/>
                <w:szCs w:val="24"/>
              </w:rPr>
              <w:t>顶部的气室,再经过第二次过滤净化，热风经过风门的内循环作用，除吸进少量新鲜空气外，绝大部分热空气又被继续加热利用，使得烤漆房内温度逐步升高时，</w:t>
            </w:r>
            <w:r>
              <w:rPr>
                <w:rFonts w:hint="eastAsia"/>
                <w:color w:val="auto"/>
                <w:sz w:val="24"/>
                <w:szCs w:val="24"/>
                <w:lang w:val="en-US" w:eastAsia="zh-CN"/>
              </w:rPr>
              <w:t>电加热器</w:t>
            </w:r>
            <w:r>
              <w:rPr>
                <w:rFonts w:hint="eastAsia"/>
                <w:color w:val="auto"/>
                <w:sz w:val="24"/>
                <w:szCs w:val="24"/>
              </w:rPr>
              <w:t>自动停止;当温度下降到设置温度时，风机和</w:t>
            </w:r>
            <w:r>
              <w:rPr>
                <w:rFonts w:hint="eastAsia"/>
                <w:color w:val="auto"/>
                <w:sz w:val="24"/>
                <w:szCs w:val="24"/>
                <w:lang w:val="en-US" w:eastAsia="zh-CN"/>
              </w:rPr>
              <w:t>电加热器</w:t>
            </w:r>
            <w:r>
              <w:rPr>
                <w:rFonts w:hint="eastAsia"/>
                <w:color w:val="auto"/>
                <w:sz w:val="24"/>
                <w:szCs w:val="24"/>
              </w:rPr>
              <w:t>又自动开启，使烤漆房内温度保持相对恒定。最后当烤漆时间达到设定的时间时，烤漆房自动关机</w:t>
            </w:r>
            <w:r>
              <w:rPr>
                <w:rFonts w:hint="eastAsia"/>
                <w:color w:val="auto"/>
                <w:sz w:val="24"/>
                <w:szCs w:val="24"/>
                <w:lang w:eastAsia="zh-CN"/>
              </w:rPr>
              <w:t>，</w:t>
            </w:r>
            <w:r>
              <w:rPr>
                <w:rFonts w:hint="eastAsia"/>
                <w:color w:val="auto"/>
                <w:sz w:val="24"/>
                <w:szCs w:val="24"/>
              </w:rPr>
              <w:t>烤漆结束。</w:t>
            </w:r>
            <w:r>
              <w:rPr>
                <w:rFonts w:hint="eastAsia"/>
                <w:color w:val="auto"/>
                <w:sz w:val="24"/>
                <w:szCs w:val="24"/>
                <w:lang w:val="en-US" w:eastAsia="zh-CN"/>
              </w:rPr>
              <w:t>烤漆</w:t>
            </w:r>
            <w:r>
              <w:rPr>
                <w:rFonts w:hint="eastAsia"/>
                <w:color w:val="auto"/>
                <w:sz w:val="24"/>
                <w:szCs w:val="24"/>
              </w:rPr>
              <w:t>工序产生的有机废气直接从出风口被排出房外</w:t>
            </w:r>
            <w:r>
              <w:rPr>
                <w:rFonts w:hint="eastAsia"/>
                <w:color w:val="auto"/>
                <w:sz w:val="24"/>
                <w:szCs w:val="24"/>
                <w:lang w:val="en-US" w:eastAsia="zh-CN"/>
              </w:rPr>
              <w:t>进入有机废气处理系统</w:t>
            </w:r>
            <w:r>
              <w:rPr>
                <w:rFonts w:hint="eastAsia"/>
                <w:color w:val="auto"/>
                <w:sz w:val="24"/>
                <w:szCs w:val="24"/>
              </w:rPr>
              <w:t>。当温度达到设定的温度。</w:t>
            </w:r>
            <w:bookmarkStart w:id="5" w:name="OLE_LINK2"/>
            <w:r>
              <w:rPr>
                <w:rFonts w:hint="eastAsia"/>
                <w:color w:val="auto"/>
                <w:sz w:val="24"/>
                <w:szCs w:val="24"/>
              </w:rPr>
              <w:t>该工序</w:t>
            </w:r>
            <w:bookmarkEnd w:id="5"/>
            <w:r>
              <w:rPr>
                <w:rFonts w:hint="eastAsia"/>
                <w:color w:val="auto"/>
                <w:sz w:val="24"/>
                <w:szCs w:val="24"/>
              </w:rPr>
              <w:t>会产生</w:t>
            </w:r>
            <w:r>
              <w:rPr>
                <w:rFonts w:hint="eastAsia"/>
                <w:color w:val="auto"/>
                <w:sz w:val="24"/>
                <w:szCs w:val="24"/>
                <w:lang w:val="en-US" w:eastAsia="zh-CN"/>
              </w:rPr>
              <w:t>烤漆废气</w:t>
            </w:r>
            <w:r>
              <w:rPr>
                <w:rFonts w:hint="eastAsia"/>
                <w:color w:val="auto"/>
                <w:sz w:val="24"/>
                <w:szCs w:val="24"/>
              </w:rPr>
              <w:t>（</w:t>
            </w:r>
            <w:r>
              <w:rPr>
                <w:rFonts w:hint="eastAsia"/>
                <w:color w:val="auto"/>
                <w:sz w:val="24"/>
                <w:szCs w:val="24"/>
                <w:lang w:val="en-US" w:eastAsia="zh-CN"/>
              </w:rPr>
              <w:t>G3\G6</w:t>
            </w:r>
            <w:r>
              <w:rPr>
                <w:rFonts w:hint="eastAsia"/>
                <w:color w:val="auto"/>
                <w:sz w:val="24"/>
                <w:szCs w:val="24"/>
              </w:rPr>
              <w:t>）、噪声（N）。</w:t>
            </w:r>
          </w:p>
          <w:p w14:paraId="6B29DB41">
            <w:pPr>
              <w:keepNext/>
              <w:keepLines/>
              <w:topLinePunct/>
              <w:autoSpaceDE w:val="0"/>
              <w:adjustRightInd w:val="0"/>
              <w:snapToGrid w:val="0"/>
              <w:spacing w:line="360" w:lineRule="auto"/>
              <w:ind w:firstLine="480" w:firstLineChars="200"/>
              <w:rPr>
                <w:rFonts w:hint="default" w:eastAsia="宋体"/>
                <w:color w:val="auto"/>
                <w:sz w:val="24"/>
                <w:szCs w:val="24"/>
                <w:lang w:val="en-US" w:eastAsia="zh-CN"/>
              </w:rPr>
            </w:pPr>
            <w:r>
              <w:rPr>
                <w:rFonts w:hint="eastAsia"/>
                <w:color w:val="auto"/>
                <w:sz w:val="24"/>
                <w:szCs w:val="24"/>
              </w:rPr>
              <w:t>（4）</w:t>
            </w:r>
            <w:r>
              <w:rPr>
                <w:rFonts w:hint="eastAsia"/>
                <w:color w:val="auto"/>
                <w:sz w:val="24"/>
                <w:szCs w:val="24"/>
                <w:lang w:val="en-US" w:eastAsia="zh-CN"/>
              </w:rPr>
              <w:t>底漆打磨</w:t>
            </w:r>
          </w:p>
          <w:p w14:paraId="3C9BABF3">
            <w:pPr>
              <w:keepNext/>
              <w:keepLines/>
              <w:topLinePunct/>
              <w:autoSpaceDE w:val="0"/>
              <w:adjustRightInd w:val="0"/>
              <w:snapToGrid w:val="0"/>
              <w:spacing w:line="360" w:lineRule="auto"/>
              <w:ind w:firstLine="480" w:firstLineChars="200"/>
              <w:rPr>
                <w:rFonts w:hint="default" w:eastAsia="宋体"/>
                <w:color w:val="auto"/>
                <w:sz w:val="24"/>
                <w:szCs w:val="24"/>
                <w:lang w:val="en-US" w:eastAsia="zh-CN"/>
              </w:rPr>
            </w:pPr>
            <w:r>
              <w:rPr>
                <w:rFonts w:hint="eastAsia"/>
                <w:color w:val="auto"/>
                <w:sz w:val="24"/>
                <w:szCs w:val="24"/>
                <w:lang w:val="en-US" w:eastAsia="zh-CN"/>
              </w:rPr>
              <w:t>底漆喷涂后</w:t>
            </w:r>
            <w:r>
              <w:rPr>
                <w:rFonts w:hint="eastAsia"/>
                <w:color w:val="auto"/>
                <w:sz w:val="24"/>
                <w:szCs w:val="24"/>
              </w:rPr>
              <w:t>，</w:t>
            </w:r>
            <w:r>
              <w:rPr>
                <w:rFonts w:hint="eastAsia"/>
                <w:color w:val="auto"/>
                <w:sz w:val="24"/>
                <w:szCs w:val="24"/>
                <w:lang w:val="en-US" w:eastAsia="zh-CN"/>
              </w:rPr>
              <w:t>需要进行表面打磨，打磨在密闭打磨室进行，</w:t>
            </w:r>
            <w:r>
              <w:rPr>
                <w:rFonts w:hint="eastAsia"/>
                <w:color w:val="auto"/>
                <w:sz w:val="24"/>
                <w:szCs w:val="24"/>
              </w:rPr>
              <w:t>该工序会产生打磨粉尘（</w:t>
            </w:r>
            <w:r>
              <w:rPr>
                <w:rFonts w:hint="eastAsia"/>
                <w:color w:val="auto"/>
                <w:sz w:val="24"/>
                <w:szCs w:val="24"/>
                <w:lang w:val="en-US" w:eastAsia="zh-CN"/>
              </w:rPr>
              <w:t>G4</w:t>
            </w:r>
            <w:r>
              <w:rPr>
                <w:rFonts w:hint="eastAsia"/>
                <w:color w:val="auto"/>
                <w:sz w:val="24"/>
                <w:szCs w:val="24"/>
              </w:rPr>
              <w:t>）、废</w:t>
            </w:r>
            <w:r>
              <w:rPr>
                <w:rFonts w:hint="eastAsia"/>
                <w:color w:val="auto"/>
                <w:sz w:val="24"/>
                <w:szCs w:val="24"/>
                <w:lang w:val="en-US" w:eastAsia="zh-CN"/>
              </w:rPr>
              <w:t>边角料</w:t>
            </w:r>
            <w:r>
              <w:rPr>
                <w:rFonts w:hint="eastAsia"/>
                <w:color w:val="auto"/>
                <w:sz w:val="24"/>
                <w:szCs w:val="24"/>
              </w:rPr>
              <w:t>（S</w:t>
            </w:r>
            <w:r>
              <w:rPr>
                <w:rFonts w:hint="eastAsia"/>
                <w:color w:val="auto"/>
                <w:sz w:val="24"/>
                <w:szCs w:val="24"/>
                <w:lang w:val="en-US" w:eastAsia="zh-CN"/>
              </w:rPr>
              <w:t>4</w:t>
            </w:r>
            <w:r>
              <w:rPr>
                <w:rFonts w:hint="eastAsia"/>
                <w:color w:val="auto"/>
                <w:sz w:val="24"/>
                <w:szCs w:val="24"/>
              </w:rPr>
              <w:t>）、噪声（N）。</w:t>
            </w:r>
            <w:r>
              <w:rPr>
                <w:rFonts w:hint="eastAsia"/>
                <w:color w:val="auto"/>
                <w:sz w:val="24"/>
                <w:szCs w:val="24"/>
                <w:lang w:val="en-US" w:eastAsia="zh-CN"/>
              </w:rPr>
              <w:t>完成后即为成品入库。</w:t>
            </w:r>
          </w:p>
          <w:p w14:paraId="23001153">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eastAsia="zh-CN"/>
              </w:rPr>
              <w:t>运营期产污环节情况见表</w:t>
            </w:r>
            <w:r>
              <w:rPr>
                <w:rFonts w:hint="eastAsia" w:ascii="Times New Roman" w:hAnsi="Times New Roman" w:cs="Times New Roman"/>
                <w:color w:val="auto"/>
                <w:lang w:val="en-US" w:eastAsia="zh-CN"/>
              </w:rPr>
              <w:t>2-6。</w:t>
            </w:r>
          </w:p>
          <w:p w14:paraId="7400B398">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表2-6  运营期产污环节情况</w:t>
            </w:r>
          </w:p>
          <w:tbl>
            <w:tblPr>
              <w:tblStyle w:val="1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994"/>
              <w:gridCol w:w="2816"/>
              <w:gridCol w:w="2415"/>
            </w:tblGrid>
            <w:tr w14:paraId="0E731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tl2br w:val="nil"/>
                    <w:tr2bl w:val="nil"/>
                  </w:tcBorders>
                  <w:noWrap w:val="0"/>
                  <w:vAlign w:val="center"/>
                </w:tcPr>
                <w:p w14:paraId="43F26D12">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污染类别</w:t>
                  </w:r>
                </w:p>
              </w:tc>
              <w:tc>
                <w:tcPr>
                  <w:tcW w:w="1994" w:type="dxa"/>
                  <w:tcBorders>
                    <w:tl2br w:val="nil"/>
                    <w:tr2bl w:val="nil"/>
                  </w:tcBorders>
                  <w:noWrap w:val="0"/>
                  <w:vAlign w:val="center"/>
                </w:tcPr>
                <w:p w14:paraId="261B035F">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w:t>
                  </w:r>
                </w:p>
              </w:tc>
              <w:tc>
                <w:tcPr>
                  <w:tcW w:w="2816" w:type="dxa"/>
                  <w:tcBorders>
                    <w:tl2br w:val="nil"/>
                    <w:tr2bl w:val="nil"/>
                  </w:tcBorders>
                  <w:noWrap w:val="0"/>
                  <w:vAlign w:val="center"/>
                </w:tcPr>
                <w:p w14:paraId="2934DF68">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产污环节</w:t>
                  </w:r>
                </w:p>
              </w:tc>
              <w:tc>
                <w:tcPr>
                  <w:tcW w:w="2415" w:type="dxa"/>
                  <w:tcBorders>
                    <w:tl2br w:val="nil"/>
                    <w:tr2bl w:val="nil"/>
                  </w:tcBorders>
                  <w:noWrap w:val="0"/>
                  <w:vAlign w:val="center"/>
                </w:tcPr>
                <w:p w14:paraId="6654A9FF">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主要污染物</w:t>
                  </w:r>
                </w:p>
              </w:tc>
            </w:tr>
            <w:tr w14:paraId="6FAB1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tcBorders>
                    <w:tl2br w:val="nil"/>
                    <w:tr2bl w:val="nil"/>
                  </w:tcBorders>
                  <w:noWrap w:val="0"/>
                  <w:vAlign w:val="center"/>
                </w:tcPr>
                <w:p w14:paraId="7E1CA6B7">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1994" w:type="dxa"/>
                  <w:tcBorders>
                    <w:tl2br w:val="nil"/>
                    <w:tr2bl w:val="nil"/>
                  </w:tcBorders>
                  <w:noWrap w:val="0"/>
                  <w:vAlign w:val="center"/>
                </w:tcPr>
                <w:p w14:paraId="4823F2E4">
                  <w:pPr>
                    <w:pStyle w:val="30"/>
                    <w:bidi w:val="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G1</w:t>
                  </w:r>
                  <w:r>
                    <w:rPr>
                      <w:rFonts w:hint="eastAsia"/>
                      <w:color w:val="auto"/>
                      <w:sz w:val="21"/>
                      <w:szCs w:val="21"/>
                      <w:lang w:val="en-US" w:eastAsia="zh-CN"/>
                    </w:rPr>
                    <w:t>调漆房</w:t>
                  </w:r>
                </w:p>
              </w:tc>
              <w:tc>
                <w:tcPr>
                  <w:tcW w:w="2816" w:type="dxa"/>
                  <w:tcBorders>
                    <w:tl2br w:val="nil"/>
                    <w:tr2bl w:val="nil"/>
                  </w:tcBorders>
                  <w:noWrap w:val="0"/>
                  <w:vAlign w:val="center"/>
                </w:tcPr>
                <w:p w14:paraId="3C169F1D">
                  <w:pPr>
                    <w:pStyle w:val="30"/>
                    <w:bidi w:val="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调漆</w:t>
                  </w:r>
                </w:p>
              </w:tc>
              <w:tc>
                <w:tcPr>
                  <w:tcW w:w="2415" w:type="dxa"/>
                  <w:tcBorders>
                    <w:tl2br w:val="nil"/>
                    <w:tr2bl w:val="nil"/>
                  </w:tcBorders>
                  <w:noWrap w:val="0"/>
                  <w:vAlign w:val="center"/>
                </w:tcPr>
                <w:p w14:paraId="697D8B04">
                  <w:pPr>
                    <w:pStyle w:val="30"/>
                    <w:bidi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VOCs（非甲烷总烃）、二甲苯、苯系物、臭气浓度</w:t>
                  </w:r>
                </w:p>
              </w:tc>
            </w:tr>
            <w:tr w14:paraId="40E0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76178882">
                  <w:pPr>
                    <w:pStyle w:val="30"/>
                    <w:bidi w:val="0"/>
                    <w:rPr>
                      <w:rFonts w:hint="default" w:ascii="Times New Roman" w:hAnsi="Times New Roman" w:cs="Times New Roman"/>
                      <w:color w:val="FF0000"/>
                      <w:sz w:val="21"/>
                      <w:szCs w:val="21"/>
                    </w:rPr>
                  </w:pPr>
                </w:p>
              </w:tc>
              <w:tc>
                <w:tcPr>
                  <w:tcW w:w="1994" w:type="dxa"/>
                  <w:tcBorders>
                    <w:tl2br w:val="nil"/>
                    <w:tr2bl w:val="nil"/>
                  </w:tcBorders>
                  <w:noWrap w:val="0"/>
                  <w:vAlign w:val="center"/>
                </w:tcPr>
                <w:p w14:paraId="271FD40D">
                  <w:pPr>
                    <w:pStyle w:val="30"/>
                    <w:bidi w:val="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G2</w:t>
                  </w:r>
                  <w:r>
                    <w:rPr>
                      <w:rFonts w:hint="eastAsia" w:ascii="Times New Roman" w:hAnsi="Times New Roman" w:cs="Times New Roman"/>
                      <w:color w:val="auto"/>
                      <w:sz w:val="21"/>
                      <w:szCs w:val="21"/>
                      <w:lang w:val="en-US" w:eastAsia="zh-CN"/>
                    </w:rPr>
                    <w:t>喷漆房</w:t>
                  </w:r>
                </w:p>
              </w:tc>
              <w:tc>
                <w:tcPr>
                  <w:tcW w:w="2816" w:type="dxa"/>
                  <w:tcBorders>
                    <w:tl2br w:val="nil"/>
                    <w:tr2bl w:val="nil"/>
                  </w:tcBorders>
                  <w:noWrap w:val="0"/>
                  <w:vAlign w:val="center"/>
                </w:tcPr>
                <w:p w14:paraId="7B7A9E3C">
                  <w:pPr>
                    <w:pStyle w:val="30"/>
                    <w:bidi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喷底漆</w:t>
                  </w:r>
                </w:p>
              </w:tc>
              <w:tc>
                <w:tcPr>
                  <w:tcW w:w="2415" w:type="dxa"/>
                  <w:tcBorders>
                    <w:tl2br w:val="nil"/>
                    <w:tr2bl w:val="nil"/>
                  </w:tcBorders>
                  <w:noWrap w:val="0"/>
                  <w:vAlign w:val="center"/>
                </w:tcPr>
                <w:p w14:paraId="08B3727F">
                  <w:pPr>
                    <w:pStyle w:val="30"/>
                    <w:bidi w:val="0"/>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颗粒物、VOCs（非甲烷总烃）、二甲苯、苯系物、臭气浓度</w:t>
                  </w:r>
                </w:p>
              </w:tc>
            </w:tr>
            <w:tr w14:paraId="40789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36E78740">
                  <w:pPr>
                    <w:pStyle w:val="30"/>
                    <w:bidi w:val="0"/>
                    <w:rPr>
                      <w:rFonts w:hint="default" w:ascii="Times New Roman" w:hAnsi="Times New Roman" w:cs="Times New Roman"/>
                      <w:color w:val="FF0000"/>
                      <w:sz w:val="21"/>
                      <w:szCs w:val="21"/>
                    </w:rPr>
                  </w:pPr>
                </w:p>
              </w:tc>
              <w:tc>
                <w:tcPr>
                  <w:tcW w:w="1994" w:type="dxa"/>
                  <w:tcBorders>
                    <w:tl2br w:val="nil"/>
                    <w:tr2bl w:val="nil"/>
                  </w:tcBorders>
                  <w:noWrap w:val="0"/>
                  <w:vAlign w:val="center"/>
                </w:tcPr>
                <w:p w14:paraId="29CC5B8B">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G3</w:t>
                  </w:r>
                  <w:r>
                    <w:rPr>
                      <w:rFonts w:hint="eastAsia" w:ascii="Times New Roman" w:hAnsi="Times New Roman" w:cs="Times New Roman"/>
                      <w:color w:val="auto"/>
                      <w:sz w:val="21"/>
                      <w:szCs w:val="21"/>
                      <w:lang w:val="en-US" w:eastAsia="zh-CN"/>
                    </w:rPr>
                    <w:t>烤漆房</w:t>
                  </w:r>
                </w:p>
              </w:tc>
              <w:tc>
                <w:tcPr>
                  <w:tcW w:w="2816" w:type="dxa"/>
                  <w:tcBorders>
                    <w:tl2br w:val="nil"/>
                    <w:tr2bl w:val="nil"/>
                  </w:tcBorders>
                  <w:noWrap w:val="0"/>
                  <w:vAlign w:val="center"/>
                </w:tcPr>
                <w:p w14:paraId="66DD4EB9">
                  <w:pPr>
                    <w:pStyle w:val="30"/>
                    <w:bidi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烤漆（底漆）</w:t>
                  </w:r>
                </w:p>
              </w:tc>
              <w:tc>
                <w:tcPr>
                  <w:tcW w:w="2415" w:type="dxa"/>
                  <w:tcBorders>
                    <w:tl2br w:val="nil"/>
                    <w:tr2bl w:val="nil"/>
                  </w:tcBorders>
                  <w:noWrap w:val="0"/>
                  <w:vAlign w:val="center"/>
                </w:tcPr>
                <w:p w14:paraId="19185AE5">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VOCs（非甲烷总烃）、二甲苯、苯系物、臭气浓度</w:t>
                  </w:r>
                </w:p>
              </w:tc>
            </w:tr>
            <w:tr w14:paraId="21B07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1F516D7F">
                  <w:pPr>
                    <w:pStyle w:val="30"/>
                    <w:bidi w:val="0"/>
                    <w:rPr>
                      <w:rFonts w:hint="default" w:ascii="Times New Roman" w:hAnsi="Times New Roman" w:cs="Times New Roman"/>
                      <w:color w:val="FF0000"/>
                      <w:sz w:val="21"/>
                      <w:szCs w:val="21"/>
                    </w:rPr>
                  </w:pPr>
                </w:p>
              </w:tc>
              <w:tc>
                <w:tcPr>
                  <w:tcW w:w="1994" w:type="dxa"/>
                  <w:tcBorders>
                    <w:tl2br w:val="nil"/>
                    <w:tr2bl w:val="nil"/>
                  </w:tcBorders>
                  <w:noWrap w:val="0"/>
                  <w:vAlign w:val="center"/>
                </w:tcPr>
                <w:p w14:paraId="36691CB6">
                  <w:pPr>
                    <w:pStyle w:val="30"/>
                    <w:bidi w:val="0"/>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G4</w:t>
                  </w:r>
                  <w:r>
                    <w:rPr>
                      <w:rFonts w:hint="eastAsia" w:ascii="Times New Roman" w:hAnsi="Times New Roman" w:cs="Times New Roman"/>
                      <w:color w:val="auto"/>
                      <w:sz w:val="21"/>
                      <w:szCs w:val="21"/>
                      <w:lang w:val="en-US" w:eastAsia="zh-CN"/>
                    </w:rPr>
                    <w:t>打磨房</w:t>
                  </w:r>
                </w:p>
              </w:tc>
              <w:tc>
                <w:tcPr>
                  <w:tcW w:w="2816" w:type="dxa"/>
                  <w:tcBorders>
                    <w:tl2br w:val="nil"/>
                    <w:tr2bl w:val="nil"/>
                  </w:tcBorders>
                  <w:noWrap w:val="0"/>
                  <w:vAlign w:val="center"/>
                </w:tcPr>
                <w:p w14:paraId="26ABF55B">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底漆打磨</w:t>
                  </w:r>
                </w:p>
              </w:tc>
              <w:tc>
                <w:tcPr>
                  <w:tcW w:w="2415" w:type="dxa"/>
                  <w:tcBorders>
                    <w:tl2br w:val="nil"/>
                    <w:tr2bl w:val="nil"/>
                  </w:tcBorders>
                  <w:noWrap w:val="0"/>
                  <w:vAlign w:val="center"/>
                </w:tcPr>
                <w:p w14:paraId="490F122F">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颗粒物</w:t>
                  </w:r>
                </w:p>
              </w:tc>
            </w:tr>
            <w:tr w14:paraId="0BCDD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4B30BB57">
                  <w:pPr>
                    <w:pStyle w:val="30"/>
                    <w:bidi w:val="0"/>
                    <w:rPr>
                      <w:rFonts w:hint="default" w:ascii="Times New Roman" w:hAnsi="Times New Roman" w:cs="Times New Roman"/>
                      <w:color w:val="FF0000"/>
                      <w:sz w:val="21"/>
                      <w:szCs w:val="21"/>
                    </w:rPr>
                  </w:pPr>
                </w:p>
              </w:tc>
              <w:tc>
                <w:tcPr>
                  <w:tcW w:w="1994" w:type="dxa"/>
                  <w:tcBorders>
                    <w:tl2br w:val="nil"/>
                    <w:tr2bl w:val="nil"/>
                  </w:tcBorders>
                  <w:noWrap w:val="0"/>
                  <w:vAlign w:val="center"/>
                </w:tcPr>
                <w:p w14:paraId="54EC3AA3">
                  <w:pPr>
                    <w:pStyle w:val="30"/>
                    <w:bidi w:val="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G</w:t>
                  </w:r>
                  <w:r>
                    <w:rPr>
                      <w:rFonts w:hint="eastAsia" w:ascii="Times New Roman" w:hAnsi="Times New Roman" w:cs="Times New Roman"/>
                      <w:color w:val="auto"/>
                      <w:sz w:val="21"/>
                      <w:szCs w:val="21"/>
                      <w:lang w:val="en-US" w:eastAsia="zh-CN"/>
                    </w:rPr>
                    <w:t>5喷漆房</w:t>
                  </w:r>
                </w:p>
              </w:tc>
              <w:tc>
                <w:tcPr>
                  <w:tcW w:w="2816" w:type="dxa"/>
                  <w:tcBorders>
                    <w:tl2br w:val="nil"/>
                    <w:tr2bl w:val="nil"/>
                  </w:tcBorders>
                  <w:shd w:val="clear" w:color="auto" w:fill="auto"/>
                  <w:noWrap w:val="0"/>
                  <w:vAlign w:val="center"/>
                </w:tcPr>
                <w:p w14:paraId="17680127">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喷面漆</w:t>
                  </w:r>
                </w:p>
              </w:tc>
              <w:tc>
                <w:tcPr>
                  <w:tcW w:w="2415" w:type="dxa"/>
                  <w:tcBorders>
                    <w:tl2br w:val="nil"/>
                    <w:tr2bl w:val="nil"/>
                  </w:tcBorders>
                  <w:shd w:val="clear" w:color="auto" w:fill="auto"/>
                  <w:noWrap w:val="0"/>
                  <w:vAlign w:val="center"/>
                </w:tcPr>
                <w:p w14:paraId="3787B5D0">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颗粒物、VOCs（非甲烷总烃）、二甲苯、苯系物、臭气浓度</w:t>
                  </w:r>
                </w:p>
              </w:tc>
            </w:tr>
            <w:tr w14:paraId="56670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133CC046">
                  <w:pPr>
                    <w:pStyle w:val="30"/>
                    <w:bidi w:val="0"/>
                    <w:rPr>
                      <w:rFonts w:hint="default" w:ascii="Times New Roman" w:hAnsi="Times New Roman" w:cs="Times New Roman"/>
                      <w:color w:val="FF0000"/>
                      <w:sz w:val="21"/>
                      <w:szCs w:val="21"/>
                    </w:rPr>
                  </w:pPr>
                </w:p>
              </w:tc>
              <w:tc>
                <w:tcPr>
                  <w:tcW w:w="1994" w:type="dxa"/>
                  <w:tcBorders>
                    <w:tl2br w:val="nil"/>
                    <w:tr2bl w:val="nil"/>
                  </w:tcBorders>
                  <w:noWrap w:val="0"/>
                  <w:vAlign w:val="center"/>
                </w:tcPr>
                <w:p w14:paraId="3D0B7B35">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w:t>
                  </w:r>
                  <w:r>
                    <w:rPr>
                      <w:rFonts w:hint="eastAsia" w:ascii="Times New Roman" w:hAnsi="Times New Roman" w:cs="Times New Roman"/>
                      <w:color w:val="auto"/>
                      <w:sz w:val="21"/>
                      <w:szCs w:val="21"/>
                      <w:lang w:val="en-US" w:eastAsia="zh-CN"/>
                    </w:rPr>
                    <w:t>6烤漆房</w:t>
                  </w:r>
                </w:p>
              </w:tc>
              <w:tc>
                <w:tcPr>
                  <w:tcW w:w="2816" w:type="dxa"/>
                  <w:tcBorders>
                    <w:tl2br w:val="nil"/>
                    <w:tr2bl w:val="nil"/>
                  </w:tcBorders>
                  <w:shd w:val="clear" w:color="auto" w:fill="auto"/>
                  <w:noWrap w:val="0"/>
                  <w:vAlign w:val="center"/>
                </w:tcPr>
                <w:p w14:paraId="6FBC2CD4">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烤漆（面漆）</w:t>
                  </w:r>
                </w:p>
              </w:tc>
              <w:tc>
                <w:tcPr>
                  <w:tcW w:w="2415" w:type="dxa"/>
                  <w:tcBorders>
                    <w:tl2br w:val="nil"/>
                    <w:tr2bl w:val="nil"/>
                  </w:tcBorders>
                  <w:shd w:val="clear" w:color="auto" w:fill="auto"/>
                  <w:noWrap w:val="0"/>
                  <w:vAlign w:val="center"/>
                </w:tcPr>
                <w:p w14:paraId="75541F20">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VOCs（非甲烷总烃）、苯系物、二甲苯、臭气浓度</w:t>
                  </w:r>
                </w:p>
              </w:tc>
            </w:tr>
            <w:tr w14:paraId="010E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tl2br w:val="nil"/>
                    <w:tr2bl w:val="nil"/>
                  </w:tcBorders>
                  <w:noWrap w:val="0"/>
                  <w:vAlign w:val="center"/>
                </w:tcPr>
                <w:p w14:paraId="6D7870F6">
                  <w:pPr>
                    <w:pStyle w:val="30"/>
                    <w:bidi w:val="0"/>
                    <w:rPr>
                      <w:rFonts w:hint="default" w:ascii="Times New Roman" w:hAnsi="Times New Roman" w:cs="Times New Roman"/>
                      <w:color w:val="auto"/>
                    </w:rPr>
                  </w:pPr>
                  <w:r>
                    <w:rPr>
                      <w:rFonts w:hint="default" w:ascii="Times New Roman" w:hAnsi="Times New Roman" w:cs="Times New Roman"/>
                      <w:color w:val="auto"/>
                    </w:rPr>
                    <w:t>废水</w:t>
                  </w:r>
                </w:p>
              </w:tc>
              <w:tc>
                <w:tcPr>
                  <w:tcW w:w="1994" w:type="dxa"/>
                  <w:tcBorders>
                    <w:tl2br w:val="nil"/>
                    <w:tr2bl w:val="nil"/>
                  </w:tcBorders>
                  <w:noWrap w:val="0"/>
                  <w:vAlign w:val="center"/>
                </w:tcPr>
                <w:p w14:paraId="2E74E3CC">
                  <w:pPr>
                    <w:pStyle w:val="30"/>
                    <w:bidi w:val="0"/>
                    <w:ind w:firstLine="0" w:firstLineChar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生活污水</w:t>
                  </w:r>
                </w:p>
              </w:tc>
              <w:tc>
                <w:tcPr>
                  <w:tcW w:w="2816" w:type="dxa"/>
                  <w:tcBorders>
                    <w:tl2br w:val="nil"/>
                    <w:tr2bl w:val="nil"/>
                  </w:tcBorders>
                  <w:noWrap w:val="0"/>
                  <w:vAlign w:val="center"/>
                </w:tcPr>
                <w:p w14:paraId="19BBEA38">
                  <w:pPr>
                    <w:pStyle w:val="30"/>
                    <w:bidi w:val="0"/>
                    <w:ind w:firstLine="0" w:firstLineChars="0"/>
                    <w:rPr>
                      <w:rFonts w:hint="default" w:ascii="Times New Roman" w:hAnsi="Times New Roman" w:cs="Times New Roman"/>
                      <w:color w:val="auto"/>
                    </w:rPr>
                  </w:pPr>
                  <w:r>
                    <w:rPr>
                      <w:rFonts w:hint="default" w:ascii="Times New Roman" w:hAnsi="Times New Roman" w:cs="Times New Roman"/>
                      <w:color w:val="auto"/>
                    </w:rPr>
                    <w:t>员工办公、生活</w:t>
                  </w:r>
                </w:p>
              </w:tc>
              <w:tc>
                <w:tcPr>
                  <w:tcW w:w="2415" w:type="dxa"/>
                  <w:tcBorders>
                    <w:tl2br w:val="nil"/>
                    <w:tr2bl w:val="nil"/>
                  </w:tcBorders>
                  <w:noWrap w:val="0"/>
                  <w:vAlign w:val="center"/>
                </w:tcPr>
                <w:p w14:paraId="057A298B">
                  <w:pPr>
                    <w:pStyle w:val="30"/>
                    <w:bidi w:val="0"/>
                    <w:ind w:firstLine="0" w:firstLineChars="0"/>
                    <w:rPr>
                      <w:rFonts w:hint="default" w:ascii="Times New Roman" w:hAnsi="Times New Roman" w:cs="Times New Roman"/>
                      <w:color w:val="auto"/>
                    </w:rPr>
                  </w:pPr>
                  <w:r>
                    <w:rPr>
                      <w:rFonts w:hint="eastAsia" w:ascii="Times New Roman" w:hAnsi="Times New Roman" w:cs="Times New Roman"/>
                      <w:color w:val="auto"/>
                      <w:lang w:val="en-US" w:eastAsia="zh-CN"/>
                    </w:rPr>
                    <w:t>pH、</w:t>
                  </w:r>
                  <w:r>
                    <w:rPr>
                      <w:rFonts w:hint="default" w:ascii="Times New Roman" w:hAnsi="Times New Roman" w:cs="Times New Roman"/>
                      <w:color w:val="auto"/>
                    </w:rPr>
                    <w:t>COD</w:t>
                  </w:r>
                  <w:r>
                    <w:rPr>
                      <w:rFonts w:hint="default" w:ascii="Times New Roman" w:hAnsi="Times New Roman" w:cs="Times New Roman"/>
                      <w:color w:val="auto"/>
                      <w:vertAlign w:val="subscript"/>
                    </w:rPr>
                    <w:t>cr</w:t>
                  </w:r>
                  <w:r>
                    <w:rPr>
                      <w:rFonts w:hint="default" w:ascii="Times New Roman" w:hAnsi="Times New Roman" w:cs="Times New Roman"/>
                      <w:color w:val="auto"/>
                    </w:rPr>
                    <w:t>、BOD</w:t>
                  </w:r>
                  <w:r>
                    <w:rPr>
                      <w:rFonts w:hint="default" w:ascii="Times New Roman" w:hAnsi="Times New Roman" w:cs="Times New Roman"/>
                      <w:color w:val="auto"/>
                      <w:vertAlign w:val="subscript"/>
                    </w:rPr>
                    <w:t>5</w:t>
                  </w:r>
                  <w:r>
                    <w:rPr>
                      <w:rFonts w:hint="default" w:ascii="Times New Roman" w:hAnsi="Times New Roman" w:cs="Times New Roman"/>
                      <w:color w:val="auto"/>
                    </w:rPr>
                    <w:t>、SS、NH</w:t>
                  </w:r>
                  <w:r>
                    <w:rPr>
                      <w:rFonts w:hint="default" w:ascii="Times New Roman" w:hAnsi="Times New Roman" w:cs="Times New Roman"/>
                      <w:color w:val="auto"/>
                      <w:vertAlign w:val="subscript"/>
                    </w:rPr>
                    <w:t>3</w:t>
                  </w:r>
                  <w:r>
                    <w:rPr>
                      <w:rFonts w:hint="default" w:ascii="Times New Roman" w:hAnsi="Times New Roman" w:cs="Times New Roman"/>
                      <w:color w:val="auto"/>
                    </w:rPr>
                    <w:t>-H</w:t>
                  </w:r>
                </w:p>
              </w:tc>
            </w:tr>
            <w:tr w14:paraId="57D7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tl2br w:val="nil"/>
                    <w:tr2bl w:val="nil"/>
                  </w:tcBorders>
                  <w:noWrap w:val="0"/>
                  <w:vAlign w:val="center"/>
                </w:tcPr>
                <w:p w14:paraId="68F85829">
                  <w:pPr>
                    <w:pStyle w:val="30"/>
                    <w:bidi w:val="0"/>
                    <w:rPr>
                      <w:rFonts w:hint="default" w:ascii="Times New Roman" w:hAnsi="Times New Roman" w:cs="Times New Roman"/>
                      <w:color w:val="auto"/>
                    </w:rPr>
                  </w:pPr>
                  <w:r>
                    <w:rPr>
                      <w:rFonts w:hint="default" w:ascii="Times New Roman" w:hAnsi="Times New Roman" w:cs="Times New Roman"/>
                      <w:color w:val="auto"/>
                    </w:rPr>
                    <w:t>噪声</w:t>
                  </w:r>
                </w:p>
              </w:tc>
              <w:tc>
                <w:tcPr>
                  <w:tcW w:w="1994" w:type="dxa"/>
                  <w:tcBorders>
                    <w:tl2br w:val="nil"/>
                    <w:tr2bl w:val="nil"/>
                  </w:tcBorders>
                  <w:noWrap w:val="0"/>
                  <w:vAlign w:val="center"/>
                </w:tcPr>
                <w:p w14:paraId="61C4D9C6">
                  <w:pPr>
                    <w:pStyle w:val="30"/>
                    <w:bidi w:val="0"/>
                    <w:rPr>
                      <w:rFonts w:hint="default"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设备噪声</w:t>
                  </w:r>
                </w:p>
              </w:tc>
              <w:tc>
                <w:tcPr>
                  <w:tcW w:w="2816" w:type="dxa"/>
                  <w:tcBorders>
                    <w:tl2br w:val="nil"/>
                    <w:tr2bl w:val="nil"/>
                  </w:tcBorders>
                  <w:noWrap w:val="0"/>
                  <w:vAlign w:val="center"/>
                </w:tcPr>
                <w:p w14:paraId="2E3E2778">
                  <w:pPr>
                    <w:pStyle w:val="30"/>
                    <w:bidi w:val="0"/>
                    <w:rPr>
                      <w:rFonts w:hint="default"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生产、环保设备运行</w:t>
                  </w:r>
                </w:p>
              </w:tc>
              <w:tc>
                <w:tcPr>
                  <w:tcW w:w="2415" w:type="dxa"/>
                  <w:tcBorders>
                    <w:tl2br w:val="nil"/>
                    <w:tr2bl w:val="nil"/>
                  </w:tcBorders>
                  <w:noWrap w:val="0"/>
                  <w:vAlign w:val="center"/>
                </w:tcPr>
                <w:p w14:paraId="365FD1D2">
                  <w:pPr>
                    <w:pStyle w:val="30"/>
                    <w:spacing w:beforeLines="0" w:afterLines="0"/>
                    <w:ind w:firstLine="0" w:firstLineChars="0"/>
                    <w:rPr>
                      <w:rFonts w:hint="default" w:ascii="Times New Roman" w:hAnsi="Times New Roman" w:cs="Times New Roman"/>
                      <w:color w:val="auto"/>
                      <w:u w:val="single"/>
                    </w:rPr>
                  </w:pPr>
                  <w:r>
                    <w:rPr>
                      <w:rFonts w:hint="default" w:ascii="Times New Roman" w:hAnsi="Times New Roman" w:cs="Times New Roman"/>
                      <w:color w:val="000000"/>
                      <w:sz w:val="21"/>
                      <w:szCs w:val="24"/>
                      <w:highlight w:val="none"/>
                      <w:u w:val="single"/>
                    </w:rPr>
                    <w:t>等效连续 A 声级</w:t>
                  </w:r>
                </w:p>
              </w:tc>
            </w:tr>
            <w:tr w14:paraId="4CD47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tcBorders>
                    <w:tl2br w:val="nil"/>
                    <w:tr2bl w:val="nil"/>
                  </w:tcBorders>
                  <w:noWrap w:val="0"/>
                  <w:vAlign w:val="center"/>
                </w:tcPr>
                <w:p w14:paraId="0353BFBF">
                  <w:pPr>
                    <w:pStyle w:val="30"/>
                    <w:bidi w:val="0"/>
                    <w:rPr>
                      <w:rFonts w:hint="default" w:ascii="Times New Roman" w:hAnsi="Times New Roman" w:cs="Times New Roman"/>
                      <w:color w:val="auto"/>
                    </w:rPr>
                  </w:pPr>
                  <w:r>
                    <w:rPr>
                      <w:rFonts w:hint="default" w:ascii="Times New Roman" w:hAnsi="Times New Roman" w:cs="Times New Roman"/>
                      <w:color w:val="auto"/>
                    </w:rPr>
                    <w:t>固废</w:t>
                  </w:r>
                </w:p>
              </w:tc>
              <w:tc>
                <w:tcPr>
                  <w:tcW w:w="1994" w:type="dxa"/>
                  <w:tcBorders>
                    <w:tl2br w:val="nil"/>
                    <w:tr2bl w:val="nil"/>
                  </w:tcBorders>
                  <w:noWrap w:val="0"/>
                  <w:vAlign w:val="center"/>
                </w:tcPr>
                <w:p w14:paraId="6E9CC78A">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S1废油漆、稀释剂、固化剂桶</w:t>
                  </w:r>
                </w:p>
              </w:tc>
              <w:tc>
                <w:tcPr>
                  <w:tcW w:w="2816" w:type="dxa"/>
                  <w:tcBorders>
                    <w:tl2br w:val="nil"/>
                    <w:tr2bl w:val="nil"/>
                  </w:tcBorders>
                  <w:noWrap w:val="0"/>
                  <w:vAlign w:val="center"/>
                </w:tcPr>
                <w:p w14:paraId="4F0A17A3">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调漆</w:t>
                  </w:r>
                </w:p>
              </w:tc>
              <w:tc>
                <w:tcPr>
                  <w:tcW w:w="2415" w:type="dxa"/>
                  <w:tcBorders>
                    <w:tl2br w:val="nil"/>
                    <w:tr2bl w:val="nil"/>
                  </w:tcBorders>
                  <w:noWrap w:val="0"/>
                  <w:vAlign w:val="center"/>
                </w:tcPr>
                <w:p w14:paraId="6B143C09">
                  <w:pPr>
                    <w:pStyle w:val="30"/>
                    <w:bidi w:val="0"/>
                    <w:rPr>
                      <w:rFonts w:hint="eastAsia" w:ascii="Times New Roman" w:hAnsi="Times New Roman" w:eastAsia="宋体" w:cs="Times New Roman"/>
                      <w:color w:val="auto"/>
                      <w:lang w:val="en-US" w:eastAsia="zh-CN"/>
                    </w:rPr>
                  </w:pPr>
                  <w:r>
                    <w:rPr>
                      <w:rFonts w:hint="eastAsia" w:ascii="Times New Roman" w:hAnsi="Times New Roman" w:cs="Times New Roman"/>
                      <w:color w:val="auto"/>
                      <w:sz w:val="21"/>
                      <w:szCs w:val="21"/>
                      <w:lang w:val="en-US" w:eastAsia="zh-CN"/>
                    </w:rPr>
                    <w:t>废油漆、稀释剂、固化剂桶</w:t>
                  </w:r>
                </w:p>
              </w:tc>
            </w:tr>
            <w:tr w14:paraId="2FDF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1362F860">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2A15C1D8">
                  <w:pPr>
                    <w:pStyle w:val="30"/>
                    <w:bidi w:val="0"/>
                    <w:ind w:firstLine="0" w:firstLineChars="0"/>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S</w:t>
                  </w:r>
                  <w:r>
                    <w:rPr>
                      <w:rFonts w:hint="eastAsia" w:ascii="Times New Roman" w:hAnsi="Times New Roman" w:cs="Times New Roman"/>
                      <w:color w:val="auto"/>
                      <w:sz w:val="21"/>
                      <w:szCs w:val="21"/>
                      <w:lang w:val="en-US" w:eastAsia="zh-CN"/>
                    </w:rPr>
                    <w:t>2废漆渣</w:t>
                  </w:r>
                </w:p>
              </w:tc>
              <w:tc>
                <w:tcPr>
                  <w:tcW w:w="2816" w:type="dxa"/>
                  <w:tcBorders>
                    <w:tl2br w:val="nil"/>
                    <w:tr2bl w:val="nil"/>
                  </w:tcBorders>
                  <w:noWrap w:val="0"/>
                  <w:vAlign w:val="center"/>
                </w:tcPr>
                <w:p w14:paraId="7CD57ED0">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喷漆（底漆）</w:t>
                  </w:r>
                </w:p>
              </w:tc>
              <w:tc>
                <w:tcPr>
                  <w:tcW w:w="2415" w:type="dxa"/>
                  <w:tcBorders>
                    <w:tl2br w:val="nil"/>
                    <w:tr2bl w:val="nil"/>
                  </w:tcBorders>
                  <w:noWrap w:val="0"/>
                  <w:vAlign w:val="center"/>
                </w:tcPr>
                <w:p w14:paraId="7E971FA4">
                  <w:pPr>
                    <w:pStyle w:val="30"/>
                    <w:bidi w:val="0"/>
                    <w:ind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color w:val="auto"/>
                      <w:sz w:val="21"/>
                      <w:szCs w:val="21"/>
                      <w:lang w:val="en-US" w:eastAsia="zh-CN"/>
                    </w:rPr>
                    <w:t>废漆渣</w:t>
                  </w:r>
                </w:p>
              </w:tc>
            </w:tr>
            <w:tr w14:paraId="4AB1A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1F5F4AB2">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094BC6B6">
                  <w:pPr>
                    <w:pStyle w:val="30"/>
                    <w:bidi w:val="0"/>
                    <w:ind w:firstLine="0" w:firstLineChars="0"/>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S</w:t>
                  </w:r>
                  <w:r>
                    <w:rPr>
                      <w:rFonts w:hint="eastAsia" w:ascii="Times New Roman" w:hAnsi="Times New Roman" w:cs="Times New Roman"/>
                      <w:color w:val="auto"/>
                      <w:sz w:val="21"/>
                      <w:szCs w:val="21"/>
                      <w:lang w:val="en-US" w:eastAsia="zh-CN"/>
                    </w:rPr>
                    <w:t>3水帘废液</w:t>
                  </w:r>
                </w:p>
              </w:tc>
              <w:tc>
                <w:tcPr>
                  <w:tcW w:w="2816" w:type="dxa"/>
                  <w:tcBorders>
                    <w:tl2br w:val="nil"/>
                    <w:tr2bl w:val="nil"/>
                  </w:tcBorders>
                  <w:noWrap w:val="0"/>
                  <w:vAlign w:val="center"/>
                </w:tcPr>
                <w:p w14:paraId="7A4A752F">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水帘除漆雾（底漆）</w:t>
                  </w:r>
                </w:p>
              </w:tc>
              <w:tc>
                <w:tcPr>
                  <w:tcW w:w="2415" w:type="dxa"/>
                  <w:tcBorders>
                    <w:tl2br w:val="nil"/>
                    <w:tr2bl w:val="nil"/>
                  </w:tcBorders>
                  <w:noWrap w:val="0"/>
                  <w:vAlign w:val="center"/>
                </w:tcPr>
                <w:p w14:paraId="6215206F">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sz w:val="21"/>
                      <w:szCs w:val="21"/>
                      <w:lang w:val="en-US" w:eastAsia="zh-CN"/>
                    </w:rPr>
                    <w:t>水帘废液</w:t>
                  </w:r>
                </w:p>
              </w:tc>
            </w:tr>
            <w:tr w14:paraId="7A784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2DBFB09B">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478EDD12">
                  <w:pPr>
                    <w:pStyle w:val="30"/>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S4废边角料</w:t>
                  </w:r>
                </w:p>
              </w:tc>
              <w:tc>
                <w:tcPr>
                  <w:tcW w:w="2816" w:type="dxa"/>
                  <w:tcBorders>
                    <w:tl2br w:val="nil"/>
                    <w:tr2bl w:val="nil"/>
                  </w:tcBorders>
                  <w:noWrap w:val="0"/>
                  <w:vAlign w:val="center"/>
                </w:tcPr>
                <w:p w14:paraId="3E9FD18F">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底漆打磨</w:t>
                  </w:r>
                </w:p>
              </w:tc>
              <w:tc>
                <w:tcPr>
                  <w:tcW w:w="2415" w:type="dxa"/>
                  <w:tcBorders>
                    <w:tl2br w:val="nil"/>
                    <w:tr2bl w:val="nil"/>
                  </w:tcBorders>
                  <w:noWrap w:val="0"/>
                  <w:vAlign w:val="center"/>
                </w:tcPr>
                <w:p w14:paraId="1F6087FD">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废边角料</w:t>
                  </w:r>
                </w:p>
              </w:tc>
            </w:tr>
            <w:tr w14:paraId="1515F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16A59A32">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5636F9F1">
                  <w:pPr>
                    <w:pStyle w:val="3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S5</w:t>
                  </w:r>
                  <w:r>
                    <w:rPr>
                      <w:rFonts w:hint="eastAsia" w:ascii="Times New Roman" w:hAnsi="Times New Roman" w:cs="Times New Roman"/>
                      <w:color w:val="auto"/>
                      <w:sz w:val="21"/>
                      <w:szCs w:val="24"/>
                      <w:lang w:val="en-US" w:eastAsia="zh-CN"/>
                    </w:rPr>
                    <w:t>废漆渣</w:t>
                  </w:r>
                </w:p>
              </w:tc>
              <w:tc>
                <w:tcPr>
                  <w:tcW w:w="2816" w:type="dxa"/>
                  <w:tcBorders>
                    <w:tl2br w:val="nil"/>
                    <w:tr2bl w:val="nil"/>
                  </w:tcBorders>
                  <w:noWrap w:val="0"/>
                  <w:vAlign w:val="center"/>
                </w:tcPr>
                <w:p w14:paraId="544013B2">
                  <w:pPr>
                    <w:pStyle w:val="30"/>
                    <w:bidi w:val="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喷漆</w:t>
                  </w:r>
                  <w:r>
                    <w:rPr>
                      <w:rFonts w:hint="eastAsia" w:ascii="Times New Roman" w:hAnsi="Times New Roman" w:cs="Times New Roman"/>
                      <w:color w:val="auto"/>
                      <w:sz w:val="21"/>
                      <w:szCs w:val="21"/>
                      <w:lang w:val="en-US" w:eastAsia="zh-CN"/>
                    </w:rPr>
                    <w:t>（面漆）</w:t>
                  </w:r>
                </w:p>
              </w:tc>
              <w:tc>
                <w:tcPr>
                  <w:tcW w:w="2415" w:type="dxa"/>
                  <w:tcBorders>
                    <w:tl2br w:val="nil"/>
                    <w:tr2bl w:val="nil"/>
                  </w:tcBorders>
                  <w:noWrap w:val="0"/>
                  <w:vAlign w:val="center"/>
                </w:tcPr>
                <w:p w14:paraId="19C054D3">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废漆渣</w:t>
                  </w:r>
                </w:p>
              </w:tc>
            </w:tr>
            <w:tr w14:paraId="2CC35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7" w:type="dxa"/>
                  <w:vMerge w:val="continue"/>
                  <w:tcBorders>
                    <w:tl2br w:val="nil"/>
                    <w:tr2bl w:val="nil"/>
                  </w:tcBorders>
                  <w:noWrap w:val="0"/>
                  <w:vAlign w:val="center"/>
                </w:tcPr>
                <w:p w14:paraId="495E1F47">
                  <w:pPr>
                    <w:pStyle w:val="30"/>
                    <w:bidi w:val="0"/>
                    <w:rPr>
                      <w:rFonts w:hint="default" w:ascii="Times New Roman" w:hAnsi="Times New Roman" w:cs="Times New Roman"/>
                      <w:color w:val="auto"/>
                    </w:rPr>
                  </w:pPr>
                </w:p>
              </w:tc>
              <w:tc>
                <w:tcPr>
                  <w:tcW w:w="1994" w:type="dxa"/>
                  <w:tcBorders>
                    <w:tl2br w:val="nil"/>
                    <w:tr2bl w:val="nil"/>
                  </w:tcBorders>
                  <w:shd w:val="clear" w:color="auto" w:fill="auto"/>
                  <w:noWrap w:val="0"/>
                  <w:vAlign w:val="center"/>
                </w:tcPr>
                <w:p w14:paraId="3A4FBABC">
                  <w:pPr>
                    <w:pStyle w:val="3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S</w:t>
                  </w:r>
                  <w:r>
                    <w:rPr>
                      <w:rFonts w:hint="eastAsia" w:ascii="Times New Roman" w:hAnsi="Times New Roman" w:cs="Times New Roman"/>
                      <w:color w:val="auto"/>
                      <w:sz w:val="21"/>
                      <w:szCs w:val="24"/>
                      <w:lang w:val="en-US" w:eastAsia="zh-CN"/>
                    </w:rPr>
                    <w:t>6</w:t>
                  </w:r>
                  <w:r>
                    <w:rPr>
                      <w:rFonts w:hint="eastAsia" w:ascii="Times New Roman" w:hAnsi="Times New Roman" w:cs="Times New Roman"/>
                      <w:color w:val="auto"/>
                      <w:sz w:val="21"/>
                      <w:szCs w:val="21"/>
                      <w:lang w:val="en-US" w:eastAsia="zh-CN"/>
                    </w:rPr>
                    <w:t>水帘废液</w:t>
                  </w:r>
                </w:p>
              </w:tc>
              <w:tc>
                <w:tcPr>
                  <w:tcW w:w="2816" w:type="dxa"/>
                  <w:tcBorders>
                    <w:tl2br w:val="nil"/>
                    <w:tr2bl w:val="nil"/>
                  </w:tcBorders>
                  <w:shd w:val="clear" w:color="auto" w:fill="auto"/>
                  <w:noWrap w:val="0"/>
                  <w:vAlign w:val="center"/>
                </w:tcPr>
                <w:p w14:paraId="7CAC5388">
                  <w:pPr>
                    <w:pStyle w:val="30"/>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1"/>
                      <w:lang w:val="en-US" w:eastAsia="zh-CN"/>
                    </w:rPr>
                    <w:t>水帘除漆雾（面漆）</w:t>
                  </w:r>
                </w:p>
              </w:tc>
              <w:tc>
                <w:tcPr>
                  <w:tcW w:w="2415" w:type="dxa"/>
                  <w:tcBorders>
                    <w:tl2br w:val="nil"/>
                    <w:tr2bl w:val="nil"/>
                  </w:tcBorders>
                  <w:noWrap w:val="0"/>
                  <w:vAlign w:val="center"/>
                </w:tcPr>
                <w:p w14:paraId="3E7498F3">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1"/>
                      <w:lang w:val="en-US" w:eastAsia="zh-CN"/>
                    </w:rPr>
                    <w:t>水帘废液</w:t>
                  </w:r>
                </w:p>
              </w:tc>
            </w:tr>
            <w:tr w14:paraId="08F5D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30E4B84E">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29557C9F">
                  <w:pPr>
                    <w:pStyle w:val="30"/>
                    <w:ind w:firstLine="0" w:firstLineChars="0"/>
                    <w:rPr>
                      <w:rFonts w:hint="default" w:ascii="Times New Roman" w:hAnsi="Times New Roman" w:eastAsia="Times New Roman"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S7</w:t>
                  </w:r>
                  <w:r>
                    <w:rPr>
                      <w:rFonts w:hint="default" w:ascii="Times New Roman" w:hAnsi="Times New Roman" w:eastAsia="Times New Roman" w:cs="Times New Roman"/>
                      <w:color w:val="auto"/>
                      <w:sz w:val="21"/>
                      <w:szCs w:val="24"/>
                    </w:rPr>
                    <w:t>废活性炭</w:t>
                  </w:r>
                </w:p>
              </w:tc>
              <w:tc>
                <w:tcPr>
                  <w:tcW w:w="2816" w:type="dxa"/>
                  <w:tcBorders>
                    <w:tl2br w:val="nil"/>
                    <w:tr2bl w:val="nil"/>
                  </w:tcBorders>
                  <w:noWrap w:val="0"/>
                  <w:vAlign w:val="center"/>
                </w:tcPr>
                <w:p w14:paraId="5647B5FB">
                  <w:pPr>
                    <w:pStyle w:val="30"/>
                    <w:bidi w:val="0"/>
                    <w:rPr>
                      <w:rFonts w:hint="default" w:ascii="Times New Roman" w:hAnsi="Times New Roman" w:cs="Times New Roman"/>
                      <w:color w:val="auto"/>
                    </w:rPr>
                  </w:pPr>
                  <w:r>
                    <w:rPr>
                      <w:rFonts w:hint="default" w:ascii="Times New Roman" w:hAnsi="Times New Roman" w:cs="Times New Roman"/>
                      <w:color w:val="auto"/>
                    </w:rPr>
                    <w:t>活性炭吸附</w:t>
                  </w:r>
                  <w:r>
                    <w:rPr>
                      <w:rFonts w:hint="eastAsia" w:ascii="Times New Roman" w:hAnsi="Times New Roman" w:cs="Times New Roman"/>
                      <w:color w:val="auto"/>
                      <w:lang w:val="en-US" w:eastAsia="zh-CN"/>
                    </w:rPr>
                    <w:t>脱附</w:t>
                  </w:r>
                  <w:r>
                    <w:rPr>
                      <w:rFonts w:hint="default" w:ascii="Times New Roman" w:hAnsi="Times New Roman" w:cs="Times New Roman"/>
                      <w:color w:val="auto"/>
                    </w:rPr>
                    <w:t>装置运行</w:t>
                  </w:r>
                </w:p>
              </w:tc>
              <w:tc>
                <w:tcPr>
                  <w:tcW w:w="2415" w:type="dxa"/>
                  <w:tcBorders>
                    <w:tl2br w:val="nil"/>
                    <w:tr2bl w:val="nil"/>
                  </w:tcBorders>
                  <w:noWrap w:val="0"/>
                  <w:vAlign w:val="center"/>
                </w:tcPr>
                <w:p w14:paraId="20D70BD6">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废活性炭</w:t>
                  </w:r>
                </w:p>
              </w:tc>
            </w:tr>
            <w:tr w14:paraId="13D8E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0CCEEFAC">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72A79E18">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S8</w:t>
                  </w:r>
                  <w:r>
                    <w:rPr>
                      <w:rFonts w:hint="default" w:ascii="Times New Roman" w:hAnsi="Times New Roman" w:eastAsia="Times New Roman" w:cs="Times New Roman"/>
                      <w:color w:val="auto"/>
                      <w:sz w:val="21"/>
                      <w:szCs w:val="24"/>
                    </w:rPr>
                    <w:t>废机油</w:t>
                  </w:r>
                </w:p>
              </w:tc>
              <w:tc>
                <w:tcPr>
                  <w:tcW w:w="2816" w:type="dxa"/>
                  <w:vMerge w:val="restart"/>
                  <w:tcBorders>
                    <w:tl2br w:val="nil"/>
                    <w:tr2bl w:val="nil"/>
                  </w:tcBorders>
                  <w:noWrap w:val="0"/>
                  <w:vAlign w:val="center"/>
                </w:tcPr>
                <w:p w14:paraId="042D87C5">
                  <w:pPr>
                    <w:pStyle w:val="30"/>
                    <w:bidi w:val="0"/>
                    <w:rPr>
                      <w:rFonts w:hint="default" w:ascii="Times New Roman" w:hAnsi="Times New Roman" w:cs="Times New Roman"/>
                      <w:color w:val="auto"/>
                    </w:rPr>
                  </w:pPr>
                  <w:r>
                    <w:rPr>
                      <w:rFonts w:hint="default" w:ascii="Times New Roman" w:hAnsi="Times New Roman" w:cs="Times New Roman"/>
                      <w:color w:val="auto"/>
                    </w:rPr>
                    <w:t>机械设备的运行和维修过程</w:t>
                  </w:r>
                </w:p>
              </w:tc>
              <w:tc>
                <w:tcPr>
                  <w:tcW w:w="2415" w:type="dxa"/>
                  <w:tcBorders>
                    <w:tl2br w:val="nil"/>
                    <w:tr2bl w:val="nil"/>
                  </w:tcBorders>
                  <w:noWrap w:val="0"/>
                  <w:vAlign w:val="center"/>
                </w:tcPr>
                <w:p w14:paraId="28A7EA82">
                  <w:pPr>
                    <w:pStyle w:val="3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废机油</w:t>
                  </w:r>
                </w:p>
              </w:tc>
            </w:tr>
            <w:tr w14:paraId="0E3EC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tcBorders>
                    <w:tl2br w:val="nil"/>
                    <w:tr2bl w:val="nil"/>
                  </w:tcBorders>
                  <w:noWrap w:val="0"/>
                  <w:vAlign w:val="center"/>
                </w:tcPr>
                <w:p w14:paraId="7E9BF065">
                  <w:pPr>
                    <w:pStyle w:val="30"/>
                    <w:bidi w:val="0"/>
                    <w:rPr>
                      <w:rFonts w:hint="default" w:ascii="Times New Roman" w:hAnsi="Times New Roman" w:cs="Times New Roman"/>
                      <w:color w:val="auto"/>
                    </w:rPr>
                  </w:pPr>
                </w:p>
              </w:tc>
              <w:tc>
                <w:tcPr>
                  <w:tcW w:w="1994" w:type="dxa"/>
                  <w:tcBorders>
                    <w:tl2br w:val="nil"/>
                    <w:tr2bl w:val="nil"/>
                  </w:tcBorders>
                  <w:noWrap w:val="0"/>
                  <w:vAlign w:val="center"/>
                </w:tcPr>
                <w:p w14:paraId="2B6A0D01">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S9</w:t>
                  </w:r>
                  <w:r>
                    <w:rPr>
                      <w:rFonts w:hint="default" w:ascii="Times New Roman" w:hAnsi="Times New Roman" w:eastAsia="Times New Roman" w:cs="Times New Roman"/>
                      <w:color w:val="auto"/>
                      <w:sz w:val="21"/>
                      <w:szCs w:val="24"/>
                    </w:rPr>
                    <w:t>废机油桶</w:t>
                  </w:r>
                </w:p>
              </w:tc>
              <w:tc>
                <w:tcPr>
                  <w:tcW w:w="2816" w:type="dxa"/>
                  <w:vMerge w:val="continue"/>
                  <w:tcBorders>
                    <w:tl2br w:val="nil"/>
                    <w:tr2bl w:val="nil"/>
                  </w:tcBorders>
                  <w:noWrap w:val="0"/>
                  <w:vAlign w:val="center"/>
                </w:tcPr>
                <w:p w14:paraId="26F9DAD5">
                  <w:pPr>
                    <w:pStyle w:val="30"/>
                    <w:bidi w:val="0"/>
                    <w:rPr>
                      <w:rFonts w:hint="default" w:ascii="Times New Roman" w:hAnsi="Times New Roman" w:cs="Times New Roman"/>
                      <w:color w:val="auto"/>
                    </w:rPr>
                  </w:pPr>
                </w:p>
              </w:tc>
              <w:tc>
                <w:tcPr>
                  <w:tcW w:w="2415" w:type="dxa"/>
                  <w:tcBorders>
                    <w:tl2br w:val="nil"/>
                    <w:tr2bl w:val="nil"/>
                  </w:tcBorders>
                  <w:noWrap w:val="0"/>
                  <w:vAlign w:val="center"/>
                </w:tcPr>
                <w:p w14:paraId="74516A72">
                  <w:pPr>
                    <w:pStyle w:val="3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废机油桶</w:t>
                  </w:r>
                </w:p>
              </w:tc>
            </w:tr>
          </w:tbl>
          <w:p w14:paraId="7358A150">
            <w:pPr>
              <w:pStyle w:val="29"/>
              <w:bidi w:val="0"/>
              <w:rPr>
                <w:rFonts w:hint="default" w:ascii="Times New Roman" w:hAnsi="Times New Roman" w:cs="Times New Roman"/>
                <w:color w:val="FF0000"/>
              </w:rPr>
            </w:pPr>
          </w:p>
          <w:p w14:paraId="2E7AECCA">
            <w:pPr>
              <w:pStyle w:val="29"/>
              <w:bidi w:val="0"/>
              <w:rPr>
                <w:rFonts w:hint="default" w:ascii="Times New Roman" w:hAnsi="Times New Roman" w:cs="Times New Roman"/>
                <w:color w:val="FF0000"/>
              </w:rPr>
            </w:pPr>
          </w:p>
        </w:tc>
      </w:tr>
      <w:tr w14:paraId="581B82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32F2A7CD">
            <w:pPr>
              <w:pStyle w:val="14"/>
              <w:adjustRightInd w:val="0"/>
              <w:snapToGrid w:val="0"/>
              <w:spacing w:before="0" w:beforeAutospacing="0" w:after="0" w:afterAutospacing="0"/>
              <w:jc w:val="center"/>
              <w:rPr>
                <w:rFonts w:cs="宋体"/>
                <w:color w:val="auto"/>
                <w:sz w:val="24"/>
                <w:szCs w:val="24"/>
              </w:rPr>
            </w:pPr>
            <w:r>
              <w:rPr>
                <w:rFonts w:hint="eastAsia" w:cs="宋体"/>
                <w:bCs/>
                <w:color w:val="auto"/>
                <w:kern w:val="2"/>
                <w:sz w:val="24"/>
                <w:szCs w:val="24"/>
              </w:rPr>
              <w:t>与项目有关的原有环境污染问题</w:t>
            </w:r>
          </w:p>
        </w:tc>
        <w:tc>
          <w:tcPr>
            <w:tcW w:w="8161" w:type="dxa"/>
            <w:noWrap w:val="0"/>
            <w:vAlign w:val="top"/>
          </w:tcPr>
          <w:p w14:paraId="18A0C6A5">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本项目为新建项目，</w:t>
            </w:r>
            <w:r>
              <w:rPr>
                <w:rFonts w:hint="eastAsia" w:ascii="Times New Roman" w:hAnsi="Times New Roman" w:cs="Times New Roman"/>
                <w:color w:val="auto"/>
                <w:lang w:val="en-US" w:eastAsia="zh-CN"/>
              </w:rPr>
              <w:t>当前为空置厂房，根据现场勘查情况，不涉及与项目有关的原有环境污染问题。</w:t>
            </w:r>
          </w:p>
          <w:p w14:paraId="1FB38AD9">
            <w:pPr>
              <w:pStyle w:val="29"/>
              <w:bidi w:val="0"/>
              <w:rPr>
                <w:rFonts w:hint="default" w:ascii="Times New Roman" w:hAnsi="Times New Roman" w:cs="Times New Roman"/>
                <w:color w:val="auto"/>
              </w:rPr>
            </w:pPr>
          </w:p>
          <w:p w14:paraId="4E5DE78B">
            <w:pPr>
              <w:pStyle w:val="29"/>
              <w:bidi w:val="0"/>
              <w:rPr>
                <w:rFonts w:hint="default" w:ascii="Times New Roman" w:hAnsi="Times New Roman" w:cs="Times New Roman"/>
                <w:color w:val="auto"/>
              </w:rPr>
            </w:pPr>
          </w:p>
        </w:tc>
      </w:tr>
    </w:tbl>
    <w:p w14:paraId="085028D4">
      <w:pPr>
        <w:pStyle w:val="14"/>
        <w:jc w:val="center"/>
        <w:rPr>
          <w:rFonts w:ascii="黑体" w:hAnsi="黑体" w:eastAsia="黑体"/>
          <w:snapToGrid w:val="0"/>
          <w:color w:val="FF0000"/>
          <w:sz w:val="36"/>
          <w:szCs w:val="36"/>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556F6A1">
      <w:pPr>
        <w:pStyle w:val="14"/>
        <w:keepNext w:val="0"/>
        <w:keepLines w:val="0"/>
        <w:pageBreakBefore w:val="0"/>
        <w:widowControl/>
        <w:kinsoku/>
        <w:wordWrap/>
        <w:overflowPunct/>
        <w:topLinePunct w:val="0"/>
        <w:autoSpaceDE/>
        <w:autoSpaceDN/>
        <w:bidi w:val="0"/>
        <w:adjustRightInd w:val="0"/>
        <w:snapToGrid w:val="0"/>
        <w:spacing w:before="0" w:beforeAutospacing="0" w:after="0" w:afterAutospacing="0" w:line="15" w:lineRule="auto"/>
        <w:jc w:val="center"/>
        <w:textAlignment w:val="auto"/>
        <w:outlineLvl w:val="9"/>
        <w:rPr>
          <w:rFonts w:hint="eastAsia" w:ascii="黑体" w:hAnsi="黑体" w:eastAsia="黑体"/>
          <w:snapToGrid w:val="0"/>
          <w:color w:val="FF0000"/>
          <w:sz w:val="30"/>
          <w:szCs w:val="30"/>
        </w:rPr>
      </w:pPr>
    </w:p>
    <w:p w14:paraId="6C2BBDFF">
      <w:pPr>
        <w:pStyle w:val="14"/>
        <w:jc w:val="center"/>
        <w:outlineLvl w:val="0"/>
        <w:rPr>
          <w:rFonts w:ascii="黑体" w:hAnsi="黑体" w:eastAsia="黑体"/>
          <w:snapToGrid w:val="0"/>
          <w:color w:val="auto"/>
          <w:sz w:val="30"/>
          <w:szCs w:val="30"/>
        </w:rPr>
      </w:pPr>
      <w:bookmarkStart w:id="6" w:name="_Toc12281"/>
      <w:r>
        <w:rPr>
          <w:rFonts w:hint="eastAsia" w:ascii="黑体" w:hAnsi="黑体" w:eastAsia="黑体"/>
          <w:snapToGrid w:val="0"/>
          <w:color w:val="auto"/>
          <w:sz w:val="30"/>
          <w:szCs w:val="30"/>
        </w:rPr>
        <w:t>三、区域环境质量现状、环境保护目标及评价标准</w:t>
      </w:r>
      <w:bookmarkEnd w:id="6"/>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6ADAE7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14:paraId="59F7B12B">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区域</w:t>
            </w:r>
          </w:p>
          <w:p w14:paraId="57C5B32F">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环境</w:t>
            </w:r>
          </w:p>
          <w:p w14:paraId="426C8435">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质量</w:t>
            </w:r>
          </w:p>
          <w:p w14:paraId="2F62FBBF">
            <w:pPr>
              <w:adjustRightInd w:val="0"/>
              <w:snapToGrid w:val="0"/>
              <w:jc w:val="center"/>
              <w:rPr>
                <w:rFonts w:ascii="宋体" w:hAnsi="宋体" w:cs="宋体"/>
                <w:color w:val="FF0000"/>
                <w:kern w:val="0"/>
                <w:sz w:val="24"/>
                <w:szCs w:val="24"/>
              </w:rPr>
            </w:pPr>
            <w:r>
              <w:rPr>
                <w:rFonts w:hint="eastAsia" w:ascii="宋体" w:hAnsi="宋体" w:cs="宋体"/>
                <w:color w:val="auto"/>
                <w:kern w:val="0"/>
                <w:sz w:val="24"/>
                <w:szCs w:val="24"/>
              </w:rPr>
              <w:t>现状</w:t>
            </w:r>
          </w:p>
        </w:tc>
        <w:tc>
          <w:tcPr>
            <w:tcW w:w="8190" w:type="dxa"/>
            <w:noWrap w:val="0"/>
            <w:vAlign w:val="top"/>
          </w:tcPr>
          <w:p w14:paraId="251C7A63">
            <w:pPr>
              <w:pStyle w:val="29"/>
              <w:bidi w:val="0"/>
              <w:rPr>
                <w:rFonts w:hint="default" w:ascii="Times New Roman" w:hAnsi="Times New Roman" w:cs="Times New Roman"/>
                <w:color w:val="auto"/>
              </w:rPr>
            </w:pPr>
            <w:r>
              <w:rPr>
                <w:rFonts w:hint="default" w:ascii="Times New Roman" w:hAnsi="Times New Roman" w:cs="Times New Roman"/>
                <w:b/>
                <w:bCs/>
                <w:color w:val="auto"/>
              </w:rPr>
              <w:t>1、环境空气质量现状</w:t>
            </w:r>
          </w:p>
          <w:p w14:paraId="75DA29EE">
            <w:pPr>
              <w:pStyle w:val="29"/>
              <w:bidi w:val="0"/>
              <w:rPr>
                <w:rFonts w:hint="default" w:ascii="Times New Roman" w:hAnsi="Times New Roman" w:cs="Times New Roman"/>
                <w:color w:val="auto"/>
              </w:rPr>
            </w:pPr>
            <w:r>
              <w:rPr>
                <w:rFonts w:hint="default" w:ascii="Times New Roman" w:hAnsi="Times New Roman" w:cs="Times New Roman"/>
                <w:b/>
                <w:bCs/>
                <w:color w:val="auto"/>
              </w:rPr>
              <w:t>1.1 基本污染物</w:t>
            </w:r>
          </w:p>
          <w:p w14:paraId="1B066E64">
            <w:pPr>
              <w:pStyle w:val="29"/>
              <w:bidi w:val="0"/>
              <w:rPr>
                <w:rFonts w:hint="default" w:ascii="Times New Roman" w:hAnsi="Times New Roman" w:cs="Times New Roman"/>
                <w:color w:val="auto"/>
              </w:rPr>
            </w:pPr>
            <w:r>
              <w:rPr>
                <w:rFonts w:hint="default" w:ascii="Times New Roman" w:hAnsi="Times New Roman" w:cs="Times New Roman"/>
                <w:color w:val="auto"/>
              </w:rPr>
              <w:t>根据《环境影响评价技术导则-大气环境》（HJ 2.2-2018）及《建设项目环境影响报告表编制技术指南（污染影响类）（试行）》（环办环评〔2020〕33号）要求：“常规污染物引用与建设项目距离近的有效数据，包括近3年的规划环境影响评价的监测数据，国家、地方环境空气质量监测网数据或生态环境主管部门公开发布的质量数据等”。</w:t>
            </w:r>
          </w:p>
          <w:p w14:paraId="129068CC">
            <w:pPr>
              <w:pStyle w:val="29"/>
              <w:bidi w:val="0"/>
              <w:rPr>
                <w:rFonts w:hint="default" w:ascii="Times New Roman" w:hAnsi="Times New Roman" w:cs="Times New Roman"/>
                <w:color w:val="auto"/>
              </w:rPr>
            </w:pPr>
            <w:r>
              <w:rPr>
                <w:rFonts w:hint="default" w:ascii="Times New Roman" w:hAnsi="Times New Roman" w:cs="Times New Roman"/>
                <w:color w:val="auto"/>
              </w:rPr>
              <w:t>为了解本项目所在区域环境空气质量现状，本环评收集了衡阳市生态环境局发布的环境状况公报</w:t>
            </w:r>
            <w:r>
              <w:rPr>
                <w:rFonts w:hint="default" w:ascii="Times New Roman" w:hAnsi="Times New Roman" w:cs="Times New Roman"/>
                <w:color w:val="auto"/>
                <w:lang w:val="en-US" w:eastAsia="zh-CN"/>
              </w:rPr>
              <w:t>《衡阳市202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年12月及1-12月环境质量状况》（网址：http://sthjj.hengyang.gov.cn/hjzl/hjzkgb/20260123/i3853975.html）中雁峰区（本项目位于衡阳高新技术产业开发区白沙片区）的基本污染物环境质量现状数据。</w:t>
            </w:r>
          </w:p>
          <w:p w14:paraId="2AF13E44">
            <w:pPr>
              <w:pStyle w:val="29"/>
              <w:bidi w:val="0"/>
              <w:rPr>
                <w:rFonts w:hint="eastAsia" w:ascii="Times New Roman" w:hAnsi="Times New Roman" w:cs="Times New Roman"/>
                <w:color w:val="000000"/>
                <w:highlight w:val="none"/>
                <w:lang w:val="en-US" w:eastAsia="zh-CN"/>
              </w:rPr>
            </w:pPr>
            <w:r>
              <w:rPr>
                <w:rFonts w:hint="eastAsia" w:ascii="Times New Roman" w:hAnsi="Times New Roman" w:cs="Times New Roman"/>
                <w:color w:val="000000"/>
                <w:highlight w:val="none"/>
                <w:lang w:val="en-US" w:eastAsia="zh-CN"/>
              </w:rPr>
              <w:t>2025年雁峰区环境空气质量统计情况见图3-1、表3-1。</w:t>
            </w:r>
          </w:p>
          <w:p w14:paraId="04C87BDB">
            <w:pPr>
              <w:pStyle w:val="29"/>
              <w:bidi w:val="0"/>
              <w:ind w:left="0" w:leftChars="0" w:firstLine="0" w:firstLineChars="0"/>
              <w:rPr>
                <w:rFonts w:hint="default" w:ascii="Times New Roman" w:hAnsi="Times New Roman" w:cs="Times New Roman"/>
                <w:color w:val="000000"/>
                <w:highlight w:val="none"/>
                <w:lang w:val="en-US" w:eastAsia="zh-CN"/>
              </w:rPr>
            </w:pPr>
            <w:r>
              <w:rPr>
                <w:sz w:val="24"/>
              </w:rPr>
              <mc:AlternateContent>
                <mc:Choice Requires="wps">
                  <w:drawing>
                    <wp:anchor distT="0" distB="0" distL="114300" distR="114300" simplePos="0" relativeHeight="251717632" behindDoc="0" locked="0" layoutInCell="1" allowOverlap="1">
                      <wp:simplePos x="0" y="0"/>
                      <wp:positionH relativeFrom="column">
                        <wp:posOffset>1905</wp:posOffset>
                      </wp:positionH>
                      <wp:positionV relativeFrom="paragraph">
                        <wp:posOffset>604520</wp:posOffset>
                      </wp:positionV>
                      <wp:extent cx="5048885" cy="169545"/>
                      <wp:effectExtent l="12700" t="12700" r="24765" b="27305"/>
                      <wp:wrapNone/>
                      <wp:docPr id="61" name="矩形 61"/>
                      <wp:cNvGraphicFramePr/>
                      <a:graphic xmlns:a="http://schemas.openxmlformats.org/drawingml/2006/main">
                        <a:graphicData uri="http://schemas.microsoft.com/office/word/2010/wordprocessingShape">
                          <wps:wsp>
                            <wps:cNvSpPr/>
                            <wps:spPr>
                              <a:xfrm>
                                <a:off x="1504315" y="6175375"/>
                                <a:ext cx="5048885" cy="16954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15pt;margin-top:47.6pt;height:13.35pt;width:397.55pt;z-index:251717632;v-text-anchor:middle;mso-width-relative:page;mso-height-relative:page;" filled="f" stroked="t" coordsize="21600,21600" o:gfxdata="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vzdhS1gAAAAcBAAAPAAAAAAAAAAEAIAAAACIAAABkcnMvZG93bnJldi54bWxQ&#10;SwECFAAUAAAACACHTuJAm1tAkmsCAADCBAAADgAAAAAAAAABACAAAAAlAQAAZHJzL2Uyb0RvYy54&#10;bWxQSwUGAAAAAAYABgBZAQAAAgYAAAAA&#10;">
                      <v:fill on="f" focussize="0,0"/>
                      <v:stroke weight="2pt" color="#FF0000 [2404]" joinstyle="round"/>
                      <v:imagedata o:title=""/>
                      <o:lock v:ext="edit" aspectratio="f"/>
                    </v:rect>
                  </w:pict>
                </mc:Fallback>
              </mc:AlternateContent>
            </w:r>
            <w:r>
              <w:drawing>
                <wp:inline distT="0" distB="0" distL="114300" distR="114300">
                  <wp:extent cx="5059680" cy="1970405"/>
                  <wp:effectExtent l="0" t="0" r="7620" b="1079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20"/>
                          <a:stretch>
                            <a:fillRect/>
                          </a:stretch>
                        </pic:blipFill>
                        <pic:spPr>
                          <a:xfrm>
                            <a:off x="0" y="0"/>
                            <a:ext cx="5059680" cy="1970405"/>
                          </a:xfrm>
                          <a:prstGeom prst="rect">
                            <a:avLst/>
                          </a:prstGeom>
                          <a:noFill/>
                          <a:ln>
                            <a:noFill/>
                          </a:ln>
                        </pic:spPr>
                      </pic:pic>
                    </a:graphicData>
                  </a:graphic>
                </wp:inline>
              </w:drawing>
            </w:r>
          </w:p>
          <w:p w14:paraId="44B2D6C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图3-1  202</w:t>
            </w:r>
            <w:r>
              <w:rPr>
                <w:rFonts w:hint="eastAsia"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val="en-US" w:eastAsia="zh-CN"/>
              </w:rPr>
              <w:t>年雁峰区环境空气质量统计情况</w:t>
            </w:r>
          </w:p>
          <w:p w14:paraId="5613BBB5">
            <w:pPr>
              <w:pStyle w:val="31"/>
              <w:bidi w:val="0"/>
              <w:rPr>
                <w:rFonts w:hint="default" w:ascii="Times New Roman" w:hAnsi="Times New Roman" w:cs="Times New Roman"/>
                <w:color w:val="FF0000"/>
              </w:rPr>
            </w:pPr>
          </w:p>
          <w:p w14:paraId="3F91D3B0">
            <w:pPr>
              <w:pStyle w:val="31"/>
              <w:bidi w:val="0"/>
              <w:rPr>
                <w:rFonts w:hint="default" w:ascii="Times New Roman" w:hAnsi="Times New Roman" w:cs="Times New Roman"/>
                <w:color w:val="FF0000"/>
              </w:rPr>
            </w:pPr>
          </w:p>
          <w:p w14:paraId="49F361C0">
            <w:pPr>
              <w:pStyle w:val="31"/>
              <w:bidi w:val="0"/>
              <w:rPr>
                <w:rFonts w:hint="default" w:ascii="Times New Roman" w:hAnsi="Times New Roman" w:cs="Times New Roman"/>
                <w:color w:val="FF0000"/>
              </w:rPr>
            </w:pPr>
          </w:p>
          <w:p w14:paraId="19A744CE">
            <w:pPr>
              <w:pStyle w:val="31"/>
              <w:bidi w:val="0"/>
              <w:rPr>
                <w:rFonts w:hint="default" w:ascii="Times New Roman" w:hAnsi="Times New Roman" w:cs="Times New Roman"/>
                <w:color w:val="auto"/>
              </w:rPr>
            </w:pPr>
          </w:p>
          <w:p w14:paraId="46BD748F">
            <w:pPr>
              <w:pStyle w:val="31"/>
              <w:bidi w:val="0"/>
              <w:rPr>
                <w:rFonts w:hint="default" w:ascii="Times New Roman" w:hAnsi="Times New Roman" w:cs="Times New Roman"/>
                <w:color w:val="auto"/>
              </w:rPr>
            </w:pPr>
          </w:p>
          <w:p w14:paraId="77CA1A2C">
            <w:pPr>
              <w:pStyle w:val="31"/>
              <w:bidi w:val="0"/>
              <w:rPr>
                <w:rFonts w:hint="default" w:ascii="Times New Roman" w:hAnsi="Times New Roman" w:cs="Times New Roman"/>
                <w:color w:val="auto"/>
              </w:rPr>
            </w:pPr>
          </w:p>
          <w:p w14:paraId="7C042826">
            <w:pPr>
              <w:pStyle w:val="31"/>
              <w:bidi w:val="0"/>
              <w:rPr>
                <w:rFonts w:hint="default" w:ascii="Times New Roman" w:hAnsi="Times New Roman" w:cs="Times New Roman"/>
                <w:color w:val="auto"/>
              </w:rPr>
            </w:pPr>
          </w:p>
          <w:p w14:paraId="2DEC7E05">
            <w:pPr>
              <w:pStyle w:val="31"/>
              <w:bidi w:val="0"/>
              <w:rPr>
                <w:rFonts w:hint="default" w:ascii="Times New Roman" w:hAnsi="Times New Roman" w:cs="Times New Roman"/>
                <w:color w:val="auto"/>
              </w:rPr>
            </w:pPr>
            <w:r>
              <w:rPr>
                <w:rFonts w:hint="default" w:ascii="Times New Roman" w:hAnsi="Times New Roman" w:cs="Times New Roman"/>
                <w:color w:val="auto"/>
              </w:rPr>
              <w:t>表3-1  202</w:t>
            </w:r>
            <w:r>
              <w:rPr>
                <w:rFonts w:hint="eastAsia" w:ascii="Times New Roman" w:hAnsi="Times New Roman" w:cs="Times New Roman"/>
                <w:color w:val="auto"/>
                <w:lang w:val="en-US" w:eastAsia="zh-CN"/>
              </w:rPr>
              <w:t>5</w:t>
            </w:r>
            <w:r>
              <w:rPr>
                <w:rFonts w:hint="default" w:ascii="Times New Roman" w:hAnsi="Times New Roman" w:cs="Times New Roman"/>
                <w:color w:val="auto"/>
              </w:rPr>
              <w:t xml:space="preserve"> 年度</w:t>
            </w:r>
            <w:r>
              <w:rPr>
                <w:rFonts w:hint="eastAsia" w:ascii="Times New Roman" w:hAnsi="Times New Roman" w:cs="Times New Roman"/>
                <w:color w:val="auto"/>
                <w:lang w:val="en-US" w:eastAsia="zh-CN"/>
              </w:rPr>
              <w:t>雁峰区</w:t>
            </w:r>
            <w:r>
              <w:rPr>
                <w:rFonts w:hint="default" w:ascii="Times New Roman" w:hAnsi="Times New Roman" w:cs="Times New Roman"/>
                <w:color w:val="auto"/>
              </w:rPr>
              <w:t>环境空气质量状况统计情况</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758"/>
              <w:gridCol w:w="795"/>
              <w:gridCol w:w="940"/>
              <w:gridCol w:w="798"/>
              <w:gridCol w:w="1350"/>
              <w:gridCol w:w="651"/>
            </w:tblGrid>
            <w:tr w14:paraId="27474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12" w:space="0"/>
                    <w:left w:val="nil"/>
                    <w:bottom w:val="single" w:color="auto" w:sz="4" w:space="0"/>
                    <w:right w:val="single" w:color="auto" w:sz="4" w:space="0"/>
                    <w:tl2br w:val="nil"/>
                    <w:tr2bl w:val="nil"/>
                  </w:tcBorders>
                  <w:noWrap w:val="0"/>
                  <w:vAlign w:val="center"/>
                </w:tcPr>
                <w:p w14:paraId="4763BDF4">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评价因子</w:t>
                  </w:r>
                </w:p>
              </w:tc>
              <w:tc>
                <w:tcPr>
                  <w:tcW w:w="275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7482AA0">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项目</w:t>
                  </w:r>
                </w:p>
              </w:tc>
              <w:tc>
                <w:tcPr>
                  <w:tcW w:w="79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88C4008">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单位</w:t>
                  </w:r>
                </w:p>
              </w:tc>
              <w:tc>
                <w:tcPr>
                  <w:tcW w:w="94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E9CF7E2">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现状浓度</w:t>
                  </w:r>
                </w:p>
              </w:tc>
              <w:tc>
                <w:tcPr>
                  <w:tcW w:w="79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EDCD5C7">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标准值</w:t>
                  </w:r>
                </w:p>
              </w:tc>
              <w:tc>
                <w:tcPr>
                  <w:tcW w:w="135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64F394F">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占标率（%）</w:t>
                  </w:r>
                </w:p>
              </w:tc>
              <w:tc>
                <w:tcPr>
                  <w:tcW w:w="651" w:type="dxa"/>
                  <w:tcBorders>
                    <w:top w:val="single" w:color="auto" w:sz="12" w:space="0"/>
                    <w:left w:val="single" w:color="auto" w:sz="4" w:space="0"/>
                    <w:bottom w:val="single" w:color="auto" w:sz="4" w:space="0"/>
                    <w:right w:val="nil"/>
                    <w:tl2br w:val="nil"/>
                    <w:tr2bl w:val="nil"/>
                  </w:tcBorders>
                  <w:noWrap w:val="0"/>
                  <w:vAlign w:val="center"/>
                </w:tcPr>
                <w:p w14:paraId="33A503B2">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达标情况</w:t>
                  </w:r>
                </w:p>
              </w:tc>
            </w:tr>
            <w:tr w14:paraId="487EAF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3C9EF818">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PM</w:t>
                  </w:r>
                  <w:r>
                    <w:rPr>
                      <w:rFonts w:hint="default" w:ascii="Times New Roman" w:hAnsi="Times New Roman" w:cs="Times New Roman"/>
                      <w:color w:val="000000"/>
                      <w:sz w:val="18"/>
                      <w:szCs w:val="18"/>
                      <w:highlight w:val="none"/>
                      <w:vertAlign w:val="subscript"/>
                    </w:rPr>
                    <w:t>10</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A17E0C">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年平均值</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97F9156">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μg/m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B62DBC">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51</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EEEC49">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60</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CFB2F3">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85</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37D10615">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w:t>
                  </w:r>
                </w:p>
              </w:tc>
            </w:tr>
            <w:tr w14:paraId="5FDBC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2D270E79">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PM</w:t>
                  </w:r>
                  <w:r>
                    <w:rPr>
                      <w:rFonts w:hint="default" w:ascii="Times New Roman" w:hAnsi="Times New Roman" w:cs="Times New Roman"/>
                      <w:color w:val="000000"/>
                      <w:sz w:val="18"/>
                      <w:szCs w:val="18"/>
                      <w:highlight w:val="none"/>
                      <w:vertAlign w:val="subscript"/>
                    </w:rPr>
                    <w:t>2.5</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25FD60D">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年平均值</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885DA7">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μg/m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718EB4">
                  <w:pPr>
                    <w:pStyle w:val="30"/>
                    <w:bidi w:val="0"/>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eastAsia="宋体" w:cs="Times New Roman"/>
                      <w:color w:val="000000"/>
                      <w:sz w:val="18"/>
                      <w:szCs w:val="18"/>
                      <w:highlight w:val="none"/>
                      <w:lang w:val="en-US" w:eastAsia="zh-CN"/>
                    </w:rPr>
                    <w:t>3</w:t>
                  </w:r>
                  <w:r>
                    <w:rPr>
                      <w:rFonts w:hint="eastAsia" w:ascii="Times New Roman" w:hAnsi="Times New Roman" w:cs="Times New Roman"/>
                      <w:color w:val="000000"/>
                      <w:sz w:val="18"/>
                      <w:szCs w:val="18"/>
                      <w:highlight w:val="none"/>
                      <w:lang w:val="en-US" w:eastAsia="zh-CN"/>
                    </w:rPr>
                    <w:t>5.1</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DABDB8">
                  <w:pPr>
                    <w:pStyle w:val="30"/>
                    <w:bidi w:val="0"/>
                    <w:rPr>
                      <w:rFonts w:hint="eastAsia" w:ascii="Times New Roman" w:hAnsi="Times New Roman" w:eastAsia="宋体" w:cs="Times New Roman"/>
                      <w:color w:val="000000"/>
                      <w:sz w:val="18"/>
                      <w:szCs w:val="18"/>
                      <w:highlight w:val="none"/>
                      <w:lang w:eastAsia="zh-CN"/>
                    </w:rPr>
                  </w:pPr>
                  <w:r>
                    <w:rPr>
                      <w:rFonts w:hint="default" w:ascii="Times New Roman" w:hAnsi="Times New Roman" w:cs="Times New Roman"/>
                      <w:color w:val="000000"/>
                      <w:sz w:val="18"/>
                      <w:szCs w:val="18"/>
                      <w:highlight w:val="none"/>
                    </w:rPr>
                    <w:t>3</w:t>
                  </w:r>
                  <w:r>
                    <w:rPr>
                      <w:rFonts w:hint="eastAsia" w:ascii="Times New Roman" w:hAnsi="Times New Roman" w:cs="Times New Roman"/>
                      <w:color w:val="000000"/>
                      <w:sz w:val="18"/>
                      <w:szCs w:val="18"/>
                      <w:highlight w:val="none"/>
                      <w:lang w:val="en-US" w:eastAsia="zh-CN"/>
                    </w:rPr>
                    <w:t>0</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F015CE9">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117</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635BEB1C">
                  <w:pPr>
                    <w:pStyle w:val="30"/>
                    <w:bidi w:val="0"/>
                    <w:rPr>
                      <w:rFonts w:hint="eastAsia" w:ascii="Times New Roman" w:hAnsi="Times New Roman" w:eastAsia="宋体" w:cs="Times New Roman"/>
                      <w:color w:val="000000"/>
                      <w:sz w:val="18"/>
                      <w:szCs w:val="18"/>
                      <w:highlight w:val="none"/>
                      <w:lang w:eastAsia="zh-CN"/>
                    </w:rPr>
                  </w:pPr>
                  <w:r>
                    <w:rPr>
                      <w:rFonts w:hint="eastAsia" w:ascii="Times New Roman" w:hAnsi="Times New Roman" w:cs="Times New Roman"/>
                      <w:color w:val="000000"/>
                      <w:sz w:val="18"/>
                      <w:szCs w:val="18"/>
                      <w:highlight w:val="none"/>
                      <w:lang w:val="en-US" w:eastAsia="zh-CN"/>
                    </w:rPr>
                    <w:t>超标</w:t>
                  </w:r>
                </w:p>
              </w:tc>
            </w:tr>
            <w:tr w14:paraId="54258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06ABD6BA">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SO</w:t>
                  </w:r>
                  <w:r>
                    <w:rPr>
                      <w:rFonts w:hint="default" w:ascii="Times New Roman" w:hAnsi="Times New Roman" w:cs="Times New Roman"/>
                      <w:color w:val="000000"/>
                      <w:sz w:val="18"/>
                      <w:szCs w:val="18"/>
                      <w:highlight w:val="none"/>
                      <w:vertAlign w:val="subscript"/>
                    </w:rPr>
                    <w:t>2</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DA2007">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年平均值</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63C8FB">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μg/m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F5281C7">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8</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F90B6E">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60</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1F265DD">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 xml:space="preserve">13.33 </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111DFEBD">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w:t>
                  </w:r>
                </w:p>
              </w:tc>
            </w:tr>
            <w:tr w14:paraId="4CAAF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2467F0F6">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NO</w:t>
                  </w:r>
                  <w:r>
                    <w:rPr>
                      <w:rFonts w:hint="default" w:ascii="Times New Roman" w:hAnsi="Times New Roman" w:cs="Times New Roman"/>
                      <w:color w:val="000000"/>
                      <w:sz w:val="18"/>
                      <w:szCs w:val="18"/>
                      <w:highlight w:val="none"/>
                      <w:vertAlign w:val="subscript"/>
                    </w:rPr>
                    <w:t>2</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B98C43">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年平均值</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DCCDB5">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μg/m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63AE1A">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16</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7C2D2C">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40</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6BF3C69">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40</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33170EF1">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w:t>
                  </w:r>
                </w:p>
              </w:tc>
            </w:tr>
            <w:tr w14:paraId="71990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627CCCC8">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CO</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7873A4">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日均值百分之95位数</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14AEE2">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mg/m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B77FC42">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1.2</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5ECE1B">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4</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095F25">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71D4FF42">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w:t>
                  </w:r>
                </w:p>
              </w:tc>
            </w:tr>
            <w:tr w14:paraId="55BB2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Borders>
                    <w:top w:val="single" w:color="auto" w:sz="4" w:space="0"/>
                    <w:left w:val="nil"/>
                    <w:bottom w:val="single" w:color="auto" w:sz="4" w:space="0"/>
                    <w:right w:val="single" w:color="auto" w:sz="4" w:space="0"/>
                    <w:tl2br w:val="nil"/>
                    <w:tr2bl w:val="nil"/>
                  </w:tcBorders>
                  <w:noWrap w:val="0"/>
                  <w:vAlign w:val="center"/>
                </w:tcPr>
                <w:p w14:paraId="2E690B4F">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O</w:t>
                  </w:r>
                  <w:r>
                    <w:rPr>
                      <w:rFonts w:hint="default" w:ascii="Times New Roman" w:hAnsi="Times New Roman" w:cs="Times New Roman"/>
                      <w:color w:val="000000"/>
                      <w:sz w:val="18"/>
                      <w:szCs w:val="18"/>
                      <w:highlight w:val="none"/>
                      <w:vertAlign w:val="subscript"/>
                    </w:rPr>
                    <w:t>3</w:t>
                  </w:r>
                </w:p>
              </w:tc>
              <w:tc>
                <w:tcPr>
                  <w:tcW w:w="27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FF78F6">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日最大8小时平均百分之90位数</w:t>
                  </w:r>
                </w:p>
              </w:tc>
              <w:tc>
                <w:tcPr>
                  <w:tcW w:w="7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04CF75">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μg/m</w:t>
                  </w:r>
                  <w:r>
                    <w:rPr>
                      <w:rFonts w:hint="default" w:ascii="Times New Roman" w:hAnsi="Times New Roman" w:cs="Times New Roman"/>
                      <w:color w:val="000000"/>
                      <w:sz w:val="18"/>
                      <w:szCs w:val="18"/>
                      <w:highlight w:val="none"/>
                      <w:vertAlign w:val="superscript"/>
                    </w:rPr>
                    <w:t>3</w:t>
                  </w:r>
                </w:p>
              </w:tc>
              <w:tc>
                <w:tcPr>
                  <w:tcW w:w="9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D95DF5">
                  <w:pPr>
                    <w:pStyle w:val="30"/>
                    <w:bidi w:val="0"/>
                    <w:rPr>
                      <w:rFonts w:hint="default" w:ascii="Times New Roman" w:hAnsi="Times New Roman" w:eastAsia="宋体" w:cs="Times New Roman"/>
                      <w:color w:val="000000"/>
                      <w:sz w:val="18"/>
                      <w:szCs w:val="18"/>
                      <w:highlight w:val="none"/>
                      <w:lang w:val="en-US" w:eastAsia="zh-CN"/>
                    </w:rPr>
                  </w:pPr>
                  <w:r>
                    <w:rPr>
                      <w:rFonts w:hint="eastAsia" w:ascii="Times New Roman" w:hAnsi="Times New Roman" w:cs="Times New Roman"/>
                      <w:color w:val="000000"/>
                      <w:sz w:val="18"/>
                      <w:szCs w:val="18"/>
                      <w:highlight w:val="none"/>
                      <w:lang w:val="en-US" w:eastAsia="zh-CN"/>
                    </w:rPr>
                    <w:t>130</w:t>
                  </w:r>
                </w:p>
              </w:tc>
              <w:tc>
                <w:tcPr>
                  <w:tcW w:w="79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D9D1A06">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160</w:t>
                  </w:r>
                </w:p>
              </w:tc>
              <w:tc>
                <w:tcPr>
                  <w:tcW w:w="13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C1A074C">
                  <w:pPr>
                    <w:keepNext w:val="0"/>
                    <w:keepLines w:val="0"/>
                    <w:widowControl/>
                    <w:suppressLineNumbers w:val="0"/>
                    <w:jc w:val="center"/>
                    <w:textAlignment w:val="center"/>
                    <w:rPr>
                      <w:rFonts w:hint="default" w:ascii="Times New Roman" w:hAnsi="Times New Roman" w:cs="Times New Roman"/>
                      <w:color w:val="000000"/>
                      <w:sz w:val="18"/>
                      <w:szCs w:val="18"/>
                      <w:highlight w:val="none"/>
                    </w:rPr>
                  </w:pPr>
                  <w:r>
                    <w:rPr>
                      <w:rFonts w:hint="default" w:ascii="Times New Roman" w:hAnsi="Times New Roman" w:eastAsia="宋体" w:cs="Times New Roman"/>
                      <w:i w:val="0"/>
                      <w:iCs w:val="0"/>
                      <w:color w:val="000000"/>
                      <w:kern w:val="0"/>
                      <w:sz w:val="18"/>
                      <w:szCs w:val="18"/>
                      <w:u w:val="none"/>
                      <w:lang w:val="en-US" w:eastAsia="zh-CN" w:bidi="ar"/>
                    </w:rPr>
                    <w:t>81.25</w:t>
                  </w:r>
                </w:p>
              </w:tc>
              <w:tc>
                <w:tcPr>
                  <w:tcW w:w="651" w:type="dxa"/>
                  <w:tcBorders>
                    <w:top w:val="single" w:color="auto" w:sz="4" w:space="0"/>
                    <w:left w:val="single" w:color="auto" w:sz="4" w:space="0"/>
                    <w:bottom w:val="single" w:color="auto" w:sz="4" w:space="0"/>
                    <w:right w:val="nil"/>
                    <w:tl2br w:val="nil"/>
                    <w:tr2bl w:val="nil"/>
                  </w:tcBorders>
                  <w:noWrap w:val="0"/>
                  <w:vAlign w:val="center"/>
                </w:tcPr>
                <w:p w14:paraId="3BB69BB4">
                  <w:pPr>
                    <w:pStyle w:val="30"/>
                    <w:bidi w:val="0"/>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达标</w:t>
                  </w:r>
                </w:p>
              </w:tc>
            </w:tr>
            <w:tr w14:paraId="6245C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71" w:type="dxa"/>
                  <w:gridSpan w:val="7"/>
                  <w:tcBorders>
                    <w:top w:val="single" w:color="auto" w:sz="4" w:space="0"/>
                    <w:left w:val="nil"/>
                    <w:bottom w:val="single" w:color="auto" w:sz="12" w:space="0"/>
                    <w:right w:val="nil"/>
                    <w:tl2br w:val="nil"/>
                    <w:tr2bl w:val="nil"/>
                  </w:tcBorders>
                  <w:noWrap w:val="0"/>
                  <w:vAlign w:val="top"/>
                </w:tcPr>
                <w:p w14:paraId="1149D1C7">
                  <w:pPr>
                    <w:pStyle w:val="30"/>
                    <w:bidi w:val="0"/>
                    <w:jc w:val="both"/>
                    <w:rPr>
                      <w:rFonts w:hint="default" w:ascii="Times New Roman" w:hAnsi="Times New Roman" w:cs="Times New Roman"/>
                      <w:color w:val="000000"/>
                      <w:sz w:val="18"/>
                      <w:szCs w:val="18"/>
                      <w:highlight w:val="none"/>
                    </w:rPr>
                  </w:pPr>
                  <w:r>
                    <w:rPr>
                      <w:rFonts w:hint="default" w:ascii="Times New Roman" w:hAnsi="Times New Roman" w:cs="Times New Roman"/>
                      <w:color w:val="000000"/>
                      <w:sz w:val="18"/>
                      <w:szCs w:val="18"/>
                      <w:highlight w:val="none"/>
                    </w:rPr>
                    <w:t>备注：标准值来源于《环境空气质量标准》（GB3095-20</w:t>
                  </w:r>
                  <w:r>
                    <w:rPr>
                      <w:rFonts w:hint="eastAsia" w:ascii="Times New Roman" w:hAnsi="Times New Roman" w:cs="Times New Roman"/>
                      <w:color w:val="000000"/>
                      <w:sz w:val="18"/>
                      <w:szCs w:val="18"/>
                      <w:highlight w:val="none"/>
                      <w:lang w:val="en-US" w:eastAsia="zh-CN"/>
                    </w:rPr>
                    <w:t>26</w:t>
                  </w:r>
                  <w:r>
                    <w:rPr>
                      <w:rFonts w:hint="default" w:ascii="Times New Roman" w:hAnsi="Times New Roman" w:cs="Times New Roman"/>
                      <w:color w:val="000000"/>
                      <w:sz w:val="18"/>
                      <w:szCs w:val="18"/>
                      <w:highlight w:val="none"/>
                    </w:rPr>
                    <w:t>）二级标准过渡阶段浓度要求限值</w:t>
                  </w:r>
                </w:p>
              </w:tc>
            </w:tr>
          </w:tbl>
          <w:p w14:paraId="6D0D277E">
            <w:pPr>
              <w:pStyle w:val="29"/>
              <w:bidi w:val="0"/>
              <w:rPr>
                <w:rFonts w:hint="default" w:ascii="Times New Roman" w:hAnsi="Times New Roman" w:eastAsia="宋体" w:cs="Times New Roman"/>
                <w:color w:val="000000"/>
                <w:highlight w:val="none"/>
                <w:lang w:val="en-US" w:eastAsia="zh-CN"/>
              </w:rPr>
            </w:pPr>
            <w:r>
              <w:rPr>
                <w:rFonts w:hint="eastAsia" w:ascii="Times New Roman" w:hAnsi="Times New Roman" w:cs="Times New Roman"/>
                <w:color w:val="000000"/>
                <w:highlight w:val="none"/>
                <w:lang w:val="en-US" w:eastAsia="zh-CN"/>
              </w:rPr>
              <w:t>根据上述内容可知，雁峰区2025年SO</w:t>
            </w:r>
            <w:r>
              <w:rPr>
                <w:rFonts w:hint="eastAsia" w:ascii="Times New Roman" w:hAnsi="Times New Roman" w:cs="Times New Roman"/>
                <w:color w:val="000000"/>
                <w:highlight w:val="none"/>
                <w:vertAlign w:val="subscript"/>
                <w:lang w:val="en-US" w:eastAsia="zh-CN"/>
              </w:rPr>
              <w:t>2</w:t>
            </w:r>
            <w:r>
              <w:rPr>
                <w:rFonts w:hint="eastAsia" w:ascii="Times New Roman" w:hAnsi="Times New Roman" w:cs="Times New Roman"/>
                <w:color w:val="000000"/>
                <w:highlight w:val="none"/>
                <w:lang w:val="en-US" w:eastAsia="zh-CN"/>
              </w:rPr>
              <w:t>、NO</w:t>
            </w:r>
            <w:r>
              <w:rPr>
                <w:rFonts w:hint="eastAsia" w:ascii="Times New Roman" w:hAnsi="Times New Roman" w:cs="Times New Roman"/>
                <w:color w:val="000000"/>
                <w:highlight w:val="none"/>
                <w:vertAlign w:val="subscript"/>
                <w:lang w:val="en-US" w:eastAsia="zh-CN"/>
              </w:rPr>
              <w:t>2</w:t>
            </w:r>
            <w:r>
              <w:rPr>
                <w:rFonts w:hint="eastAsia" w:ascii="Times New Roman" w:hAnsi="Times New Roman" w:cs="Times New Roman"/>
                <w:color w:val="000000"/>
                <w:highlight w:val="none"/>
                <w:lang w:val="en-US" w:eastAsia="zh-CN"/>
              </w:rPr>
              <w:t>、PM</w:t>
            </w:r>
            <w:r>
              <w:rPr>
                <w:rFonts w:hint="eastAsia" w:ascii="Times New Roman" w:hAnsi="Times New Roman" w:cs="Times New Roman"/>
                <w:color w:val="000000"/>
                <w:highlight w:val="none"/>
                <w:vertAlign w:val="subscript"/>
                <w:lang w:val="en-US" w:eastAsia="zh-CN"/>
              </w:rPr>
              <w:t>10</w:t>
            </w:r>
            <w:r>
              <w:rPr>
                <w:rFonts w:hint="eastAsia" w:ascii="Times New Roman" w:hAnsi="Times New Roman" w:cs="Times New Roman"/>
                <w:color w:val="000000"/>
                <w:highlight w:val="none"/>
                <w:lang w:val="en-US" w:eastAsia="zh-CN"/>
              </w:rPr>
              <w:t>、O</w:t>
            </w:r>
            <w:r>
              <w:rPr>
                <w:rFonts w:hint="eastAsia" w:ascii="Times New Roman" w:hAnsi="Times New Roman" w:cs="Times New Roman"/>
                <w:color w:val="000000"/>
                <w:highlight w:val="none"/>
                <w:vertAlign w:val="subscript"/>
                <w:lang w:val="en-US" w:eastAsia="zh-CN"/>
              </w:rPr>
              <w:t>3</w:t>
            </w:r>
            <w:r>
              <w:rPr>
                <w:rFonts w:hint="eastAsia" w:ascii="Times New Roman" w:hAnsi="Times New Roman" w:cs="Times New Roman"/>
                <w:color w:val="000000"/>
                <w:highlight w:val="none"/>
                <w:lang w:val="en-US" w:eastAsia="zh-CN"/>
              </w:rPr>
              <w:t>和CO均达到《环境空气质量标准》（GB3095-2026）二级标准</w:t>
            </w:r>
            <w:r>
              <w:rPr>
                <w:rFonts w:hint="eastAsia" w:ascii="Times New Roman" w:hAnsi="Times New Roman" w:cs="Times New Roman"/>
                <w:color w:val="auto"/>
                <w:lang w:val="en-US" w:eastAsia="zh-CN"/>
              </w:rPr>
              <w:t>过渡阶段浓度</w:t>
            </w:r>
            <w:r>
              <w:rPr>
                <w:rFonts w:hint="eastAsia" w:ascii="Times New Roman" w:hAnsi="Times New Roman" w:cs="Times New Roman"/>
                <w:color w:val="000000"/>
                <w:highlight w:val="none"/>
                <w:lang w:val="en-US" w:eastAsia="zh-CN"/>
              </w:rPr>
              <w:t>要求限值，PM</w:t>
            </w:r>
            <w:r>
              <w:rPr>
                <w:rFonts w:hint="eastAsia" w:ascii="Times New Roman" w:hAnsi="Times New Roman" w:cs="Times New Roman"/>
                <w:color w:val="000000"/>
                <w:highlight w:val="none"/>
                <w:vertAlign w:val="subscript"/>
                <w:lang w:val="en-US" w:eastAsia="zh-CN"/>
              </w:rPr>
              <w:t>2.5</w:t>
            </w:r>
            <w:r>
              <w:rPr>
                <w:rFonts w:hint="eastAsia" w:ascii="Times New Roman" w:hAnsi="Times New Roman" w:cs="Times New Roman"/>
                <w:color w:val="000000"/>
                <w:highlight w:val="none"/>
                <w:lang w:val="en-US" w:eastAsia="zh-CN"/>
              </w:rPr>
              <w:t>未达到《环境空气质量标准》（GB3095-2026）二级标准</w:t>
            </w:r>
            <w:r>
              <w:rPr>
                <w:rFonts w:hint="eastAsia" w:ascii="Times New Roman" w:hAnsi="Times New Roman" w:cs="Times New Roman"/>
                <w:color w:val="auto"/>
                <w:lang w:val="en-US" w:eastAsia="zh-CN"/>
              </w:rPr>
              <w:t>过渡阶段浓度</w:t>
            </w:r>
            <w:r>
              <w:rPr>
                <w:rFonts w:hint="eastAsia" w:ascii="Times New Roman" w:hAnsi="Times New Roman" w:cs="Times New Roman"/>
                <w:color w:val="000000"/>
                <w:highlight w:val="none"/>
                <w:lang w:val="en-US" w:eastAsia="zh-CN"/>
              </w:rPr>
              <w:t>要求限值。故雁峰区为不达标区。</w:t>
            </w:r>
          </w:p>
          <w:p w14:paraId="7C4F9C3A">
            <w:pPr>
              <w:pStyle w:val="2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根据衡阳市</w:t>
            </w:r>
            <w:r>
              <w:rPr>
                <w:rFonts w:hint="eastAsia" w:ascii="Times New Roman" w:hAnsi="Times New Roman" w:cs="Times New Roman"/>
                <w:color w:val="000000"/>
                <w:highlight w:val="none"/>
                <w:lang w:val="en-US" w:eastAsia="zh-CN"/>
              </w:rPr>
              <w:t>相关</w:t>
            </w:r>
            <w:r>
              <w:rPr>
                <w:rFonts w:hint="default" w:ascii="Times New Roman" w:hAnsi="Times New Roman" w:cs="Times New Roman"/>
                <w:color w:val="000000"/>
                <w:highlight w:val="none"/>
              </w:rPr>
              <w:t>空气质量改善规划，结合衡阳市大气环境特征和空气质量改善需求，从优化产业、能源、交通结构，强化多污染源减排，深化系统治污，从深化扬尘污染综合治理等方面，实施大气污染物控制战略。</w:t>
            </w:r>
          </w:p>
          <w:p w14:paraId="7E8D1E73">
            <w:pPr>
              <w:pStyle w:val="2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采取的主要措施如下：</w:t>
            </w:r>
          </w:p>
          <w:p w14:paraId="77026318">
            <w:pPr>
              <w:pStyle w:val="2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①积极推动转型升级</w:t>
            </w:r>
          </w:p>
          <w:p w14:paraId="1DFA1C86">
            <w:pPr>
              <w:pStyle w:val="29"/>
              <w:bidi w:val="0"/>
              <w:rPr>
                <w:rFonts w:hint="default" w:ascii="Times New Roman" w:hAnsi="Times New Roman" w:cs="Times New Roman"/>
                <w:color w:val="000000"/>
                <w:highlight w:val="none"/>
              </w:rPr>
            </w:pPr>
            <w:r>
              <w:rPr>
                <w:rFonts w:hint="eastAsia" w:ascii="Times New Roman" w:hAnsi="Times New Roman" w:cs="Times New Roman"/>
                <w:color w:val="000000"/>
                <w:highlight w:val="none"/>
                <w:lang w:val="en-US" w:eastAsia="zh-CN"/>
              </w:rPr>
              <w:t>a.</w:t>
            </w:r>
            <w:r>
              <w:rPr>
                <w:rFonts w:hint="default" w:ascii="Times New Roman" w:hAnsi="Times New Roman" w:cs="Times New Roman"/>
                <w:color w:val="000000"/>
                <w:highlight w:val="none"/>
              </w:rPr>
              <w:t>促进产业结构调整</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b</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推进“散乱污”企业整治</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c</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优化能源结构调整</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d</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加快清洁能源替代利用</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e</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推动交通结构调整</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f</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加快绿色交通体系建设</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g</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推进油品提质升级。</w:t>
            </w:r>
          </w:p>
          <w:p w14:paraId="278C9FA3">
            <w:pPr>
              <w:pStyle w:val="2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②加大污染治理力度</w:t>
            </w:r>
          </w:p>
          <w:p w14:paraId="003A3BD8">
            <w:pPr>
              <w:pStyle w:val="29"/>
              <w:bidi w:val="0"/>
              <w:rPr>
                <w:rFonts w:hint="default" w:ascii="Times New Roman" w:hAnsi="Times New Roman" w:cs="Times New Roman"/>
                <w:color w:val="000000"/>
                <w:highlight w:val="none"/>
              </w:rPr>
            </w:pPr>
            <w:r>
              <w:rPr>
                <w:rFonts w:hint="eastAsia" w:ascii="Times New Roman" w:hAnsi="Times New Roman" w:cs="Times New Roman"/>
                <w:color w:val="000000"/>
                <w:highlight w:val="none"/>
                <w:lang w:val="en-US" w:eastAsia="zh-CN"/>
              </w:rPr>
              <w:t>a.</w:t>
            </w:r>
            <w:r>
              <w:rPr>
                <w:rFonts w:hint="default" w:ascii="Times New Roman" w:hAnsi="Times New Roman" w:cs="Times New Roman"/>
                <w:color w:val="000000"/>
                <w:highlight w:val="none"/>
              </w:rPr>
              <w:t>推动工业污染源稳定达标排放</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b</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加强工业企业无组织排放管控</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c</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加强工业园区大气污染防治</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d</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推动重点地区和重点行业执行大气污染物特别排放限值</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e</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推进火电钢铁行业超低排放改造</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f</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全面推进工业VOCs综合治理</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g</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打好柴油货车污染防治攻坚战</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h</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加强非道路移动机械和船舶污染管控</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i</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加强扬尘污染治理</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j</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严禁秸秆露天焚烧</w:t>
            </w:r>
            <w:r>
              <w:rPr>
                <w:rFonts w:hint="eastAsia" w:ascii="Times New Roman" w:hAnsi="Times New Roman" w:cs="Times New Roman"/>
                <w:color w:val="000000"/>
                <w:highlight w:val="none"/>
                <w:lang w:eastAsia="zh-CN"/>
              </w:rPr>
              <w:t>；</w:t>
            </w:r>
            <w:r>
              <w:rPr>
                <w:rFonts w:hint="default" w:ascii="Times New Roman" w:hAnsi="Times New Roman" w:cs="Times New Roman"/>
                <w:color w:val="000000"/>
                <w:highlight w:val="none"/>
              </w:rPr>
              <w:t>k</w:t>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加强生活面源整治。</w:t>
            </w:r>
          </w:p>
          <w:p w14:paraId="56C35FAA">
            <w:pPr>
              <w:pStyle w:val="29"/>
              <w:bidi w:val="0"/>
              <w:rPr>
                <w:rFonts w:hint="default" w:ascii="Times New Roman" w:hAnsi="Times New Roman" w:cs="Times New Roman"/>
                <w:color w:val="FF0000"/>
              </w:rPr>
            </w:pPr>
            <w:r>
              <w:rPr>
                <w:rFonts w:hint="default" w:ascii="Times New Roman" w:hAnsi="Times New Roman" w:cs="Times New Roman"/>
                <w:color w:val="000000"/>
                <w:highlight w:val="none"/>
              </w:rPr>
              <w:t>采取上述措施后，区域大气环境质量将得到进一步的改善。</w:t>
            </w:r>
          </w:p>
          <w:p w14:paraId="3487DB38">
            <w:pPr>
              <w:pStyle w:val="29"/>
              <w:bidi w:val="0"/>
              <w:rPr>
                <w:rFonts w:hint="default" w:ascii="Times New Roman" w:hAnsi="Times New Roman" w:cs="Times New Roman"/>
                <w:color w:val="auto"/>
              </w:rPr>
            </w:pPr>
            <w:r>
              <w:rPr>
                <w:rFonts w:hint="default" w:ascii="Times New Roman" w:hAnsi="Times New Roman" w:cs="Times New Roman"/>
                <w:b/>
                <w:bCs/>
                <w:color w:val="auto"/>
              </w:rPr>
              <w:t>1.2 特征污染物</w:t>
            </w:r>
          </w:p>
          <w:p w14:paraId="08805EDE">
            <w:pPr>
              <w:pStyle w:val="29"/>
              <w:bidi w:val="0"/>
              <w:rPr>
                <w:rFonts w:hint="default" w:ascii="Times New Roman" w:hAnsi="Times New Roman" w:cs="Times New Roman"/>
                <w:color w:val="auto"/>
              </w:rPr>
            </w:pPr>
            <w:r>
              <w:rPr>
                <w:rFonts w:hint="default" w:ascii="Times New Roman" w:hAnsi="Times New Roman" w:cs="Times New Roman"/>
                <w:color w:val="auto"/>
                <w:highlight w:val="none"/>
              </w:rPr>
              <w:t>本项目特征污染物为TSP、VOCs（以非甲烷总烃计）</w:t>
            </w:r>
            <w:r>
              <w:rPr>
                <w:rFonts w:hint="eastAsia" w:ascii="Times New Roman" w:hAnsi="Times New Roman" w:cs="Times New Roman"/>
                <w:color w:val="auto"/>
                <w:highlight w:val="none"/>
                <w:lang w:val="en-US" w:eastAsia="zh-CN"/>
              </w:rPr>
              <w:t>及二甲苯</w:t>
            </w:r>
            <w:r>
              <w:rPr>
                <w:rFonts w:hint="default" w:ascii="Times New Roman" w:hAnsi="Times New Roman" w:cs="Times New Roman"/>
                <w:color w:val="auto"/>
                <w:highlight w:val="none"/>
              </w:rPr>
              <w:t>。</w:t>
            </w:r>
          </w:p>
          <w:p w14:paraId="44070A66">
            <w:pPr>
              <w:pStyle w:val="29"/>
              <w:bidi w:val="0"/>
              <w:rPr>
                <w:rFonts w:hint="default" w:ascii="Times New Roman" w:hAnsi="Times New Roman" w:cs="Times New Roman"/>
                <w:color w:val="auto"/>
              </w:rPr>
            </w:pPr>
            <w:r>
              <w:rPr>
                <w:rFonts w:hint="default" w:ascii="Times New Roman" w:hAnsi="Times New Roman" w:cs="Times New Roman"/>
                <w:color w:val="auto"/>
              </w:rPr>
              <w:t>根据《建设项目环境影响报告表编制技术指南（污染影响类）（试行）》内容“排放国家、地方环境空气质量标准中有标准限值要求的特征污染物时，引用建设项目周边 5 千米范围内近 3 年的现有监测数据”。</w:t>
            </w:r>
          </w:p>
          <w:p w14:paraId="6BF8F4F9">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环评引用《衡阳高新技术产业开发区调区扩区规划环境影响报告书》中大智能科技股份有限公司于2024年3月19日至3月25日对高新区进行的环境空气质量现状监测数据，检测报告项目名称为《衡阳高新技术产业开发区调区扩区规划环境影响评价》。</w:t>
            </w:r>
          </w:p>
          <w:p w14:paraId="0B2CA1F8">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曹家町大气环境采样点位于本项目东南侧4.0km，距离本项目选址距离在5.0km范围内，为近三年监测数据，符合《建设项目环境影响报告表编制技术指南（污染影响类）（试行）》规定的数据引用要求，因此本次环评引用关于大气特征因子的监测数据及结论可行。（地理坐标：</w:t>
            </w:r>
            <w:r>
              <w:rPr>
                <w:rFonts w:hint="default" w:ascii="Times New Roman" w:hAnsi="Times New Roman" w:cs="Times New Roman"/>
                <w:color w:val="auto"/>
                <w:lang w:val="en-US" w:eastAsia="zh-CN"/>
              </w:rPr>
              <w:t>112.6</w:t>
            </w:r>
            <w:r>
              <w:rPr>
                <w:rFonts w:hint="eastAsia" w:ascii="Times New Roman" w:hAnsi="Times New Roman" w:cs="Times New Roman"/>
                <w:color w:val="auto"/>
                <w:lang w:val="en-US" w:eastAsia="zh-CN"/>
              </w:rPr>
              <w:t>32874797°E</w:t>
            </w:r>
            <w:r>
              <w:rPr>
                <w:rFonts w:hint="default" w:ascii="Times New Roman" w:hAnsi="Times New Roman" w:cs="Times New Roman"/>
                <w:color w:val="auto"/>
                <w:lang w:val="en-US" w:eastAsia="zh-CN"/>
              </w:rPr>
              <w:t>,26.</w:t>
            </w:r>
            <w:r>
              <w:rPr>
                <w:rFonts w:hint="eastAsia" w:ascii="Times New Roman" w:hAnsi="Times New Roman" w:cs="Times New Roman"/>
                <w:color w:val="auto"/>
                <w:lang w:val="en-US" w:eastAsia="zh-CN"/>
              </w:rPr>
              <w:t>817702233°</w:t>
            </w:r>
            <w:r>
              <w:rPr>
                <w:rFonts w:hint="default" w:ascii="Times New Roman" w:hAnsi="Times New Roman" w:cs="Times New Roman"/>
                <w:color w:val="auto"/>
                <w:lang w:val="en-US" w:eastAsia="zh-CN"/>
              </w:rPr>
              <w:t>N</w:t>
            </w:r>
            <w:r>
              <w:rPr>
                <w:rFonts w:hint="eastAsia" w:ascii="Times New Roman" w:hAnsi="Times New Roman" w:cs="Times New Roman"/>
                <w:color w:val="auto"/>
                <w:lang w:val="en-US" w:eastAsia="zh-CN"/>
              </w:rPr>
              <w:t>，位于本项目东南4000m）监测数据。</w:t>
            </w:r>
          </w:p>
          <w:p w14:paraId="77B03FD9">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详情见表3-2。</w:t>
            </w:r>
          </w:p>
          <w:p w14:paraId="7F2F7D59">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表3-2  大气环境质量现状监测引用结果统计</w:t>
            </w:r>
          </w:p>
          <w:tbl>
            <w:tblPr>
              <w:tblStyle w:val="1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1207"/>
              <w:gridCol w:w="1441"/>
              <w:gridCol w:w="1660"/>
              <w:gridCol w:w="872"/>
              <w:gridCol w:w="1274"/>
            </w:tblGrid>
            <w:tr w14:paraId="36CA5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0" w:type="pct"/>
                  <w:tcBorders>
                    <w:tl2br w:val="nil"/>
                    <w:tr2bl w:val="nil"/>
                  </w:tcBorders>
                  <w:noWrap w:val="0"/>
                  <w:vAlign w:val="center"/>
                </w:tcPr>
                <w:p w14:paraId="1DE96116">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监测点位</w:t>
                  </w:r>
                </w:p>
              </w:tc>
              <w:tc>
                <w:tcPr>
                  <w:tcW w:w="757" w:type="pct"/>
                  <w:tcBorders>
                    <w:tl2br w:val="nil"/>
                    <w:tr2bl w:val="nil"/>
                  </w:tcBorders>
                  <w:noWrap w:val="0"/>
                  <w:vAlign w:val="center"/>
                </w:tcPr>
                <w:p w14:paraId="47E9A143">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监测因子</w:t>
                  </w:r>
                </w:p>
              </w:tc>
              <w:tc>
                <w:tcPr>
                  <w:tcW w:w="904" w:type="pct"/>
                  <w:tcBorders>
                    <w:tl2br w:val="nil"/>
                    <w:tr2bl w:val="nil"/>
                  </w:tcBorders>
                  <w:noWrap w:val="0"/>
                  <w:vAlign w:val="center"/>
                </w:tcPr>
                <w:p w14:paraId="372FF2B8">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监测时段</w:t>
                  </w:r>
                </w:p>
              </w:tc>
              <w:tc>
                <w:tcPr>
                  <w:tcW w:w="1041" w:type="pct"/>
                  <w:tcBorders>
                    <w:tl2br w:val="nil"/>
                    <w:tr2bl w:val="nil"/>
                  </w:tcBorders>
                  <w:noWrap w:val="0"/>
                  <w:vAlign w:val="center"/>
                </w:tcPr>
                <w:p w14:paraId="2348F993">
                  <w:pPr>
                    <w:pStyle w:val="30"/>
                    <w:bidi w:val="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监测结果</w:t>
                  </w:r>
                </w:p>
                <w:p w14:paraId="72B53D5B">
                  <w:pPr>
                    <w:pStyle w:val="30"/>
                    <w:bidi w:val="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（日均值）</w:t>
                  </w:r>
                </w:p>
                <w:p w14:paraId="27E466FE">
                  <w:pPr>
                    <w:pStyle w:val="30"/>
                    <w:bidi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mg/m</w:t>
                  </w:r>
                  <w:r>
                    <w:rPr>
                      <w:rFonts w:hint="eastAsia" w:ascii="Times New Roman" w:hAnsi="Times New Roman" w:cs="Times New Roman"/>
                      <w:color w:val="auto"/>
                      <w:vertAlign w:val="superscript"/>
                      <w:lang w:val="en-US" w:eastAsia="zh-CN"/>
                    </w:rPr>
                    <w:t>3</w:t>
                  </w:r>
                </w:p>
              </w:tc>
              <w:tc>
                <w:tcPr>
                  <w:tcW w:w="547" w:type="pct"/>
                  <w:tcBorders>
                    <w:tl2br w:val="nil"/>
                    <w:tr2bl w:val="nil"/>
                  </w:tcBorders>
                  <w:noWrap w:val="0"/>
                  <w:vAlign w:val="center"/>
                </w:tcPr>
                <w:p w14:paraId="46E58BF7">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超标率（%）</w:t>
                  </w:r>
                </w:p>
              </w:tc>
              <w:tc>
                <w:tcPr>
                  <w:tcW w:w="799" w:type="pct"/>
                  <w:tcBorders>
                    <w:tl2br w:val="nil"/>
                    <w:tr2bl w:val="nil"/>
                  </w:tcBorders>
                  <w:noWrap w:val="0"/>
                  <w:vAlign w:val="center"/>
                </w:tcPr>
                <w:p w14:paraId="4E9DF225">
                  <w:pPr>
                    <w:pStyle w:val="30"/>
                    <w:bidi w:val="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标准限值</w:t>
                  </w:r>
                </w:p>
                <w:p w14:paraId="362ECF20">
                  <w:pPr>
                    <w:pStyle w:val="30"/>
                    <w:bidi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mg/m</w:t>
                  </w:r>
                  <w:r>
                    <w:rPr>
                      <w:rFonts w:hint="eastAsia" w:ascii="Times New Roman" w:hAnsi="Times New Roman" w:cs="Times New Roman"/>
                      <w:color w:val="auto"/>
                      <w:vertAlign w:val="superscript"/>
                      <w:lang w:val="en-US" w:eastAsia="zh-CN"/>
                    </w:rPr>
                    <w:t>3</w:t>
                  </w:r>
                </w:p>
              </w:tc>
            </w:tr>
            <w:tr w14:paraId="34100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0" w:type="pct"/>
                  <w:vMerge w:val="restart"/>
                  <w:tcBorders>
                    <w:tl2br w:val="nil"/>
                    <w:tr2bl w:val="nil"/>
                  </w:tcBorders>
                  <w:noWrap w:val="0"/>
                  <w:vAlign w:val="center"/>
                </w:tcPr>
                <w:p w14:paraId="6E5B7E03">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G1曹家町（本项目东南4000m）</w:t>
                  </w:r>
                </w:p>
              </w:tc>
              <w:tc>
                <w:tcPr>
                  <w:tcW w:w="757" w:type="pct"/>
                  <w:tcBorders>
                    <w:tl2br w:val="nil"/>
                    <w:tr2bl w:val="nil"/>
                  </w:tcBorders>
                  <w:noWrap w:val="0"/>
                  <w:vAlign w:val="center"/>
                </w:tcPr>
                <w:p w14:paraId="7D5ED4F7">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TSP</w:t>
                  </w:r>
                </w:p>
              </w:tc>
              <w:tc>
                <w:tcPr>
                  <w:tcW w:w="904" w:type="pct"/>
                  <w:vMerge w:val="restart"/>
                  <w:tcBorders>
                    <w:tl2br w:val="nil"/>
                    <w:tr2bl w:val="nil"/>
                  </w:tcBorders>
                  <w:noWrap w:val="0"/>
                  <w:vAlign w:val="center"/>
                </w:tcPr>
                <w:p w14:paraId="0E62C2C5">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2024年3月19日至3月25</w:t>
                  </w:r>
                </w:p>
              </w:tc>
              <w:tc>
                <w:tcPr>
                  <w:tcW w:w="1041" w:type="pct"/>
                  <w:tcBorders>
                    <w:tl2br w:val="nil"/>
                    <w:tr2bl w:val="nil"/>
                  </w:tcBorders>
                  <w:noWrap w:val="0"/>
                  <w:vAlign w:val="center"/>
                </w:tcPr>
                <w:p w14:paraId="21529069">
                  <w:pPr>
                    <w:pStyle w:val="30"/>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0.1</w:t>
                  </w:r>
                  <w:r>
                    <w:rPr>
                      <w:rFonts w:hint="eastAsia" w:ascii="Times New Roman" w:hAnsi="Times New Roman" w:cs="Times New Roman"/>
                      <w:color w:val="auto"/>
                      <w:lang w:val="en-US" w:eastAsia="zh-CN"/>
                    </w:rPr>
                    <w:t>09</w:t>
                  </w:r>
                  <w:r>
                    <w:rPr>
                      <w:rFonts w:hint="default" w:ascii="Times New Roman" w:hAnsi="Times New Roman" w:eastAsia="宋体" w:cs="Times New Roman"/>
                      <w:color w:val="auto"/>
                      <w:lang w:val="en-US" w:eastAsia="zh-CN"/>
                    </w:rPr>
                    <w:t>~0.</w:t>
                  </w:r>
                  <w:r>
                    <w:rPr>
                      <w:rFonts w:hint="eastAsia" w:ascii="Times New Roman" w:hAnsi="Times New Roman" w:cs="Times New Roman"/>
                      <w:color w:val="auto"/>
                      <w:lang w:val="en-US" w:eastAsia="zh-CN"/>
                    </w:rPr>
                    <w:t>238</w:t>
                  </w:r>
                </w:p>
              </w:tc>
              <w:tc>
                <w:tcPr>
                  <w:tcW w:w="547" w:type="pct"/>
                  <w:tcBorders>
                    <w:tl2br w:val="nil"/>
                    <w:tr2bl w:val="nil"/>
                  </w:tcBorders>
                  <w:noWrap w:val="0"/>
                  <w:vAlign w:val="center"/>
                </w:tcPr>
                <w:p w14:paraId="1FE7E732">
                  <w:pPr>
                    <w:pStyle w:val="30"/>
                    <w:bidi w:val="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c>
                <w:tcPr>
                  <w:tcW w:w="799" w:type="pct"/>
                  <w:tcBorders>
                    <w:tl2br w:val="nil"/>
                    <w:tr2bl w:val="nil"/>
                  </w:tcBorders>
                  <w:noWrap w:val="0"/>
                  <w:vAlign w:val="center"/>
                </w:tcPr>
                <w:p w14:paraId="66F876A2">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0.3</w:t>
                  </w:r>
                </w:p>
              </w:tc>
            </w:tr>
            <w:tr w14:paraId="26A8C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0" w:type="pct"/>
                  <w:vMerge w:val="continue"/>
                  <w:tcBorders>
                    <w:tl2br w:val="nil"/>
                    <w:tr2bl w:val="nil"/>
                  </w:tcBorders>
                  <w:noWrap w:val="0"/>
                  <w:vAlign w:val="center"/>
                </w:tcPr>
                <w:p w14:paraId="118D1624">
                  <w:pPr>
                    <w:pStyle w:val="30"/>
                    <w:bidi w:val="0"/>
                    <w:jc w:val="center"/>
                    <w:rPr>
                      <w:rFonts w:hint="default" w:ascii="Times New Roman" w:hAnsi="Times New Roman" w:cs="Times New Roman"/>
                      <w:color w:val="auto"/>
                    </w:rPr>
                  </w:pPr>
                </w:p>
              </w:tc>
              <w:tc>
                <w:tcPr>
                  <w:tcW w:w="757" w:type="pct"/>
                  <w:tcBorders>
                    <w:tl2br w:val="nil"/>
                    <w:tr2bl w:val="nil"/>
                  </w:tcBorders>
                  <w:noWrap w:val="0"/>
                  <w:vAlign w:val="center"/>
                </w:tcPr>
                <w:p w14:paraId="581D3378">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TVOC</w:t>
                  </w:r>
                </w:p>
              </w:tc>
              <w:tc>
                <w:tcPr>
                  <w:tcW w:w="904" w:type="pct"/>
                  <w:vMerge w:val="continue"/>
                  <w:tcBorders>
                    <w:tl2br w:val="nil"/>
                    <w:tr2bl w:val="nil"/>
                  </w:tcBorders>
                  <w:noWrap w:val="0"/>
                  <w:vAlign w:val="center"/>
                </w:tcPr>
                <w:p w14:paraId="116304A2">
                  <w:pPr>
                    <w:pStyle w:val="30"/>
                    <w:bidi w:val="0"/>
                    <w:jc w:val="center"/>
                    <w:rPr>
                      <w:rFonts w:hint="default" w:ascii="Times New Roman" w:hAnsi="Times New Roman" w:eastAsia="宋体" w:cs="Times New Roman"/>
                      <w:color w:val="auto"/>
                      <w:lang w:val="en-US" w:eastAsia="zh-CN"/>
                    </w:rPr>
                  </w:pPr>
                </w:p>
              </w:tc>
              <w:tc>
                <w:tcPr>
                  <w:tcW w:w="1041" w:type="pct"/>
                  <w:tcBorders>
                    <w:tl2br w:val="nil"/>
                    <w:tr2bl w:val="nil"/>
                  </w:tcBorders>
                  <w:noWrap w:val="0"/>
                  <w:vAlign w:val="center"/>
                </w:tcPr>
                <w:p w14:paraId="1457E681">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0.0004L</w:t>
                  </w:r>
                </w:p>
              </w:tc>
              <w:tc>
                <w:tcPr>
                  <w:tcW w:w="547" w:type="pct"/>
                  <w:tcBorders>
                    <w:tl2br w:val="nil"/>
                    <w:tr2bl w:val="nil"/>
                  </w:tcBorders>
                  <w:noWrap w:val="0"/>
                  <w:vAlign w:val="center"/>
                </w:tcPr>
                <w:p w14:paraId="3431DC97">
                  <w:pPr>
                    <w:pStyle w:val="30"/>
                    <w:bidi w:val="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c>
                <w:tcPr>
                  <w:tcW w:w="799" w:type="pct"/>
                  <w:tcBorders>
                    <w:tl2br w:val="nil"/>
                    <w:tr2bl w:val="nil"/>
                  </w:tcBorders>
                  <w:noWrap w:val="0"/>
                  <w:vAlign w:val="center"/>
                </w:tcPr>
                <w:p w14:paraId="44EE9614">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0.6</w:t>
                  </w:r>
                </w:p>
              </w:tc>
            </w:tr>
            <w:tr w14:paraId="52F6B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0" w:type="pct"/>
                  <w:vMerge w:val="continue"/>
                  <w:tcBorders>
                    <w:tl2br w:val="nil"/>
                    <w:tr2bl w:val="nil"/>
                  </w:tcBorders>
                  <w:noWrap w:val="0"/>
                  <w:vAlign w:val="center"/>
                </w:tcPr>
                <w:p w14:paraId="231895F1">
                  <w:pPr>
                    <w:pStyle w:val="30"/>
                    <w:bidi w:val="0"/>
                    <w:jc w:val="center"/>
                    <w:rPr>
                      <w:rFonts w:hint="default" w:ascii="Times New Roman" w:hAnsi="Times New Roman" w:cs="Times New Roman"/>
                      <w:color w:val="auto"/>
                    </w:rPr>
                  </w:pPr>
                </w:p>
              </w:tc>
              <w:tc>
                <w:tcPr>
                  <w:tcW w:w="757" w:type="pct"/>
                  <w:tcBorders>
                    <w:tl2br w:val="nil"/>
                    <w:tr2bl w:val="nil"/>
                  </w:tcBorders>
                  <w:noWrap w:val="0"/>
                  <w:vAlign w:val="center"/>
                </w:tcPr>
                <w:p w14:paraId="1784E919">
                  <w:pPr>
                    <w:pStyle w:val="30"/>
                    <w:bidi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二甲苯</w:t>
                  </w:r>
                </w:p>
              </w:tc>
              <w:tc>
                <w:tcPr>
                  <w:tcW w:w="904" w:type="pct"/>
                  <w:vMerge w:val="continue"/>
                  <w:tcBorders>
                    <w:tl2br w:val="nil"/>
                    <w:tr2bl w:val="nil"/>
                  </w:tcBorders>
                  <w:noWrap w:val="0"/>
                  <w:vAlign w:val="center"/>
                </w:tcPr>
                <w:p w14:paraId="27BCE837">
                  <w:pPr>
                    <w:pStyle w:val="30"/>
                    <w:bidi w:val="0"/>
                    <w:rPr>
                      <w:rFonts w:hint="default" w:ascii="Times New Roman" w:hAnsi="Times New Roman" w:cs="Times New Roman"/>
                      <w:color w:val="auto"/>
                    </w:rPr>
                  </w:pPr>
                </w:p>
              </w:tc>
              <w:tc>
                <w:tcPr>
                  <w:tcW w:w="1661" w:type="dxa"/>
                  <w:tcBorders>
                    <w:tl2br w:val="nil"/>
                    <w:tr2bl w:val="nil"/>
                  </w:tcBorders>
                  <w:noWrap w:val="0"/>
                  <w:vAlign w:val="center"/>
                </w:tcPr>
                <w:p w14:paraId="7675D02D">
                  <w:pPr>
                    <w:pStyle w:val="30"/>
                    <w:bidi w:val="0"/>
                    <w:ind w:firstLine="0" w:firstLineChars="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0.0006L</w:t>
                  </w:r>
                </w:p>
              </w:tc>
              <w:tc>
                <w:tcPr>
                  <w:tcW w:w="547" w:type="pct"/>
                  <w:tcBorders>
                    <w:tl2br w:val="nil"/>
                    <w:tr2bl w:val="nil"/>
                  </w:tcBorders>
                  <w:noWrap w:val="0"/>
                  <w:vAlign w:val="center"/>
                </w:tcPr>
                <w:p w14:paraId="2C733F04">
                  <w:pPr>
                    <w:pStyle w:val="30"/>
                    <w:bidi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799" w:type="pct"/>
                  <w:tcBorders>
                    <w:tl2br w:val="nil"/>
                    <w:tr2bl w:val="nil"/>
                  </w:tcBorders>
                  <w:noWrap w:val="0"/>
                  <w:vAlign w:val="center"/>
                </w:tcPr>
                <w:p w14:paraId="178563D2">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0.2</w:t>
                  </w:r>
                </w:p>
              </w:tc>
            </w:tr>
          </w:tbl>
          <w:p w14:paraId="34980E32">
            <w:pPr>
              <w:pStyle w:val="29"/>
              <w:bidi w:val="0"/>
              <w:ind w:left="239" w:leftChars="114" w:firstLine="240" w:firstLineChars="10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根据上述内容可知，项目所在区域二甲苯、TVOC均未检出满足《环境影响评价技术导则-大气环境》(HJ2.2-2018)附录D限值，TSP满足《环境空气质量标准》(GB3095-2026)中的二级标准过渡阶段浓度限值要求。</w:t>
            </w:r>
          </w:p>
          <w:p w14:paraId="03E1748F">
            <w:pPr>
              <w:pStyle w:val="29"/>
              <w:bidi w:val="0"/>
              <w:rPr>
                <w:rFonts w:hint="default" w:ascii="Times New Roman" w:hAnsi="Times New Roman" w:cs="Times New Roman"/>
                <w:color w:val="auto"/>
              </w:rPr>
            </w:pPr>
            <w:r>
              <w:rPr>
                <w:rFonts w:hint="default" w:ascii="Times New Roman" w:hAnsi="Times New Roman" w:cs="Times New Roman"/>
                <w:b/>
                <w:bCs/>
                <w:color w:val="auto"/>
              </w:rPr>
              <w:t>2、地表水环境质量现状</w:t>
            </w:r>
          </w:p>
          <w:p w14:paraId="24D0702E">
            <w:pPr>
              <w:pStyle w:val="29"/>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无生产废水排放</w:t>
            </w:r>
            <w:r>
              <w:rPr>
                <w:rFonts w:hint="default" w:ascii="Times New Roman" w:hAnsi="Times New Roman" w:cs="Times New Roman"/>
                <w:color w:val="auto"/>
                <w:highlight w:val="none"/>
              </w:rPr>
              <w:t>；生活污水经化粪池处理达到《污水综合排放标准》（GB8978-1996）表4 中三级标准（其中氨氮、总磷参照执行《污水排入城镇下水道水质标准》GB/T 31962-2015表1中B级排放限值要求）后经市政污水管网进入</w:t>
            </w:r>
            <w:r>
              <w:rPr>
                <w:rFonts w:hint="eastAsia" w:ascii="Times New Roman" w:hAnsi="Times New Roman" w:cs="Times New Roman"/>
                <w:color w:val="auto"/>
                <w:highlight w:val="none"/>
                <w:lang w:eastAsia="zh-CN"/>
              </w:rPr>
              <w:t>铜桥港污水处理厂</w:t>
            </w:r>
            <w:r>
              <w:rPr>
                <w:rFonts w:hint="default" w:ascii="Times New Roman" w:hAnsi="Times New Roman" w:cs="Times New Roman"/>
                <w:color w:val="auto"/>
                <w:highlight w:val="none"/>
              </w:rPr>
              <w:t>，再经污水处理厂处理达到《城镇污水处理厂污染物排放标准》（GB 18918-2002）一级A标准后排入</w:t>
            </w:r>
            <w:r>
              <w:rPr>
                <w:rFonts w:hint="eastAsia" w:ascii="Times New Roman" w:hAnsi="Times New Roman" w:cs="Times New Roman"/>
                <w:color w:val="auto"/>
                <w:highlight w:val="none"/>
                <w:lang w:eastAsia="zh-CN"/>
              </w:rPr>
              <w:t>湘江</w:t>
            </w:r>
            <w:r>
              <w:rPr>
                <w:rFonts w:hint="default" w:ascii="Times New Roman" w:hAnsi="Times New Roman" w:cs="Times New Roman"/>
                <w:color w:val="auto"/>
                <w:highlight w:val="none"/>
              </w:rPr>
              <w:t>。</w:t>
            </w:r>
          </w:p>
          <w:p w14:paraId="2CC94D31">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根据衡阳市生态环境局发布的《衡阳市2024年12月及1-12月环境质量状况》（网址：http://sthjj.hengyang.gov.cn/hjzl/hjzkgb/20250124/i3567416.html）</w:t>
            </w:r>
            <w:r>
              <w:rPr>
                <w:rFonts w:hint="eastAsia" w:ascii="Times New Roman" w:hAnsi="Times New Roman" w:cs="Times New Roman"/>
                <w:color w:val="auto"/>
                <w:highlight w:val="none"/>
                <w:lang w:val="en-US" w:eastAsia="zh-CN"/>
              </w:rPr>
              <w:t>内容</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2024年1~12月，衡阳市纳入考核、评价、排名的44个断面中，Ⅱ类40个，III类4个。其中13个交界断面中Ⅱ类水质10个，III类3个；13个国考断面中Ⅱ类12个，III类1个。</w:t>
            </w:r>
          </w:p>
          <w:p w14:paraId="594E0F4C">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本项目主要受纳水体为湘江，距离铜桥港污水处理厂排污口最近的监测断面为江东水厂监测断面。详情见图3-2。</w:t>
            </w:r>
          </w:p>
          <w:p w14:paraId="7BA68B91">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表3-3  地表水环境质量现状</w:t>
            </w:r>
          </w:p>
          <w:p w14:paraId="3C701198">
            <w:pPr>
              <w:pStyle w:val="29"/>
              <w:bidi w:val="0"/>
              <w:ind w:left="0" w:leftChars="0" w:firstLine="0" w:firstLineChars="0"/>
              <w:jc w:val="center"/>
              <w:rPr>
                <w:color w:val="FF0000"/>
              </w:rPr>
            </w:pPr>
            <w:r>
              <w:rPr>
                <w:color w:val="000000"/>
                <w:highlight w:val="none"/>
              </w:rPr>
              <w:drawing>
                <wp:inline distT="0" distB="0" distL="114300" distR="114300">
                  <wp:extent cx="5060315" cy="3153410"/>
                  <wp:effectExtent l="0" t="0" r="6985" b="889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1"/>
                          <a:stretch>
                            <a:fillRect/>
                          </a:stretch>
                        </pic:blipFill>
                        <pic:spPr>
                          <a:xfrm>
                            <a:off x="0" y="0"/>
                            <a:ext cx="5060315" cy="3153410"/>
                          </a:xfrm>
                          <a:prstGeom prst="rect">
                            <a:avLst/>
                          </a:prstGeom>
                          <a:noFill/>
                          <a:ln>
                            <a:noFill/>
                          </a:ln>
                        </pic:spPr>
                      </pic:pic>
                    </a:graphicData>
                  </a:graphic>
                </wp:inline>
              </w:drawing>
            </w:r>
          </w:p>
          <w:p w14:paraId="7C76035F">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图3-2  江东水厂监测断面地表水水质情况</w:t>
            </w:r>
          </w:p>
          <w:p w14:paraId="3D6BBD27">
            <w:pPr>
              <w:pStyle w:val="29"/>
              <w:bidi w:val="0"/>
              <w:rPr>
                <w:rFonts w:hint="default" w:ascii="Times New Roman" w:hAnsi="Times New Roman" w:cs="Times New Roman"/>
                <w:color w:val="FF0000"/>
              </w:rPr>
            </w:pPr>
            <w:r>
              <w:rPr>
                <w:rFonts w:hint="eastAsia" w:ascii="Times New Roman" w:hAnsi="Times New Roman" w:cs="Times New Roman"/>
                <w:color w:val="000000"/>
                <w:highlight w:val="none"/>
                <w:lang w:val="en-US" w:eastAsia="zh-CN"/>
              </w:rPr>
              <w:t>根据上述内容可知，本项目受纳水体地表水水质情况满足《地表水环境质量标准》(GB3838-2002)中</w:t>
            </w:r>
            <w:r>
              <w:rPr>
                <w:rFonts w:hint="default" w:ascii="Times New Roman" w:hAnsi="Times New Roman" w:cs="Times New Roman"/>
                <w:color w:val="000000"/>
                <w:highlight w:val="none"/>
                <w:lang w:val="en-US" w:eastAsia="zh-CN"/>
              </w:rPr>
              <w:t>Ⅱ</w:t>
            </w:r>
            <w:r>
              <w:rPr>
                <w:rFonts w:hint="eastAsia" w:ascii="Times New Roman" w:hAnsi="Times New Roman" w:cs="Times New Roman"/>
                <w:color w:val="000000"/>
                <w:highlight w:val="none"/>
                <w:lang w:val="en-US" w:eastAsia="zh-CN"/>
              </w:rPr>
              <w:t>类水质标准。</w:t>
            </w:r>
          </w:p>
          <w:p w14:paraId="56A04FE4">
            <w:pPr>
              <w:pStyle w:val="29"/>
              <w:bidi w:val="0"/>
              <w:rPr>
                <w:rFonts w:hint="default" w:ascii="Times New Roman" w:hAnsi="Times New Roman" w:cs="Times New Roman"/>
                <w:color w:val="auto"/>
              </w:rPr>
            </w:pPr>
            <w:r>
              <w:rPr>
                <w:rFonts w:hint="default" w:ascii="Times New Roman" w:hAnsi="Times New Roman" w:cs="Times New Roman"/>
                <w:b/>
                <w:bCs/>
                <w:color w:val="auto"/>
              </w:rPr>
              <w:t>3、声环境质量现状</w:t>
            </w:r>
          </w:p>
          <w:p w14:paraId="23574FE1">
            <w:pPr>
              <w:pStyle w:val="2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auto"/>
                <w:highlight w:val="none"/>
              </w:rPr>
              <w:t>本项目位于</w:t>
            </w:r>
            <w:r>
              <w:rPr>
                <w:rFonts w:hint="eastAsia" w:ascii="Times New Roman" w:hAnsi="Times New Roman" w:cs="Times New Roman"/>
                <w:color w:val="auto"/>
                <w:highlight w:val="none"/>
                <w:lang w:eastAsia="zh-CN"/>
              </w:rPr>
              <w:t>湖南省衡阳高新技术产业开发区湖南新岳电力设备有限公司内（富强路11号）</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根据现场勘查结果，</w:t>
            </w:r>
            <w:r>
              <w:rPr>
                <w:rFonts w:hint="eastAsia" w:ascii="Times New Roman" w:hAnsi="Times New Roman" w:cs="Times New Roman"/>
                <w:color w:val="000000"/>
                <w:highlight w:val="none"/>
                <w:lang w:val="en-US" w:eastAsia="zh-CN"/>
              </w:rPr>
              <w:t>项目厂界外50m范围内不存在声环境保护目标（详见附图2）。</w:t>
            </w:r>
          </w:p>
          <w:p w14:paraId="18D3D5B8">
            <w:pPr>
              <w:pStyle w:val="29"/>
              <w:bidi w:val="0"/>
              <w:rPr>
                <w:rFonts w:hint="eastAsia" w:ascii="Times New Roman" w:hAnsi="Times New Roman" w:eastAsia="宋体" w:cs="Times New Roman"/>
                <w:color w:val="auto"/>
                <w:lang w:eastAsia="zh-CN"/>
              </w:rPr>
            </w:pPr>
            <w:r>
              <w:rPr>
                <w:rFonts w:hint="default" w:ascii="Times New Roman" w:hAnsi="Times New Roman" w:cs="Times New Roman"/>
                <w:color w:val="000000"/>
                <w:highlight w:val="none"/>
              </w:rPr>
              <w:t>结合《建设项目环境影响报告表编制技术指南（污染影响类）（试行）》内容“厂界外周边 50 米范围内存在声环境保护目标的建设项目，应监测保护目标声环境质</w:t>
            </w:r>
            <w:r>
              <w:rPr>
                <w:rFonts w:hint="default" w:ascii="Times New Roman" w:hAnsi="Times New Roman" w:cs="Times New Roman"/>
                <w:color w:val="auto"/>
                <w:highlight w:val="none"/>
              </w:rPr>
              <w:t>量现状并评价达标情况。”故本项目无需开展声环境质量现状监测。</w:t>
            </w:r>
          </w:p>
          <w:p w14:paraId="184F97DC">
            <w:pPr>
              <w:pStyle w:val="29"/>
              <w:bidi w:val="0"/>
              <w:rPr>
                <w:rFonts w:hint="default" w:ascii="Times New Roman" w:hAnsi="Times New Roman" w:cs="Times New Roman"/>
                <w:color w:val="auto"/>
              </w:rPr>
            </w:pPr>
            <w:r>
              <w:rPr>
                <w:rFonts w:hint="default" w:ascii="Times New Roman" w:hAnsi="Times New Roman" w:cs="Times New Roman"/>
                <w:b/>
                <w:bCs/>
                <w:color w:val="auto"/>
              </w:rPr>
              <w:t>4、生态环境质量现状</w:t>
            </w:r>
          </w:p>
          <w:p w14:paraId="64F6778E">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本项目位于</w:t>
            </w:r>
            <w:r>
              <w:rPr>
                <w:rFonts w:hint="eastAsia" w:ascii="Times New Roman" w:hAnsi="Times New Roman" w:cs="Times New Roman"/>
                <w:color w:val="auto"/>
                <w:lang w:eastAsia="zh-CN"/>
              </w:rPr>
              <w:t>衡阳高新技术产业开发区白沙片</w:t>
            </w:r>
            <w:r>
              <w:rPr>
                <w:rFonts w:hint="eastAsia" w:ascii="Times New Roman" w:hAnsi="Times New Roman" w:cs="Times New Roman"/>
                <w:color w:val="auto"/>
                <w:lang w:val="en-US" w:eastAsia="zh-CN"/>
              </w:rPr>
              <w:t>。根据《建设项目环境影响报告表编制技术指南（污染影响类）（试行）》内容“产业园区外建设项目新增用地且用地范围内含有生态环境保护目标时，应进行生态现状调查”，故本项目无需进行生态现状调查。</w:t>
            </w:r>
          </w:p>
          <w:p w14:paraId="62423025">
            <w:pPr>
              <w:pStyle w:val="29"/>
              <w:bidi w:val="0"/>
              <w:rPr>
                <w:rFonts w:hint="default" w:ascii="Times New Roman" w:hAnsi="Times New Roman" w:cs="Times New Roman"/>
                <w:color w:val="auto"/>
              </w:rPr>
            </w:pPr>
            <w:r>
              <w:rPr>
                <w:rFonts w:hint="default" w:ascii="Times New Roman" w:hAnsi="Times New Roman" w:cs="Times New Roman"/>
                <w:b/>
                <w:bCs/>
                <w:color w:val="auto"/>
              </w:rPr>
              <w:t>5、地下水、土壤环境质量现状</w:t>
            </w:r>
          </w:p>
          <w:p w14:paraId="5A0BF0BB">
            <w:pPr>
              <w:pStyle w:val="29"/>
              <w:bidi w:val="0"/>
              <w:rPr>
                <w:rFonts w:hint="eastAsia" w:ascii="Times New Roman" w:hAnsi="Times New Roman" w:cs="Times New Roman"/>
                <w:color w:val="auto"/>
                <w:lang w:eastAsia="zh-CN"/>
              </w:rPr>
            </w:pPr>
            <w:r>
              <w:rPr>
                <w:rFonts w:hint="default" w:ascii="Times New Roman" w:hAnsi="Times New Roman" w:cs="Times New Roman"/>
                <w:color w:val="auto"/>
              </w:rPr>
              <w:t>根据《建设项目环境影响报告表编制技术指南（污染影响类）（试行）》内容</w:t>
            </w:r>
            <w:r>
              <w:rPr>
                <w:rFonts w:hint="eastAsia" w:ascii="Times New Roman" w:hAnsi="Times New Roman" w:cs="Times New Roman"/>
                <w:color w:val="auto"/>
                <w:lang w:eastAsia="zh-CN"/>
              </w:rPr>
              <w:t>“原则上不开展环境质量现状调查。建设项目存在土壤、地下水环境污染途径的，应结合污染源、保护目标分布情况开展现状调查以留作背景值。”</w:t>
            </w:r>
          </w:p>
          <w:p w14:paraId="29DE29A1">
            <w:pPr>
              <w:pStyle w:val="29"/>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本项目租赁已建成空置厂房，本环评要求建设单位建设及运行进一步完善厂区及周边地面硬化工作，并采取分区防渗措施。故项目运营期间，基本不存在地下水、土壤环境污染途径，可不开展地下水、土壤环境质量现状调查。</w:t>
            </w:r>
          </w:p>
          <w:p w14:paraId="2D43BE2A">
            <w:pPr>
              <w:pStyle w:val="29"/>
              <w:bidi w:val="0"/>
              <w:rPr>
                <w:rFonts w:hint="default" w:ascii="Times New Roman" w:hAnsi="Times New Roman" w:cs="Times New Roman"/>
                <w:color w:val="FF0000"/>
              </w:rPr>
            </w:pPr>
          </w:p>
        </w:tc>
      </w:tr>
      <w:tr w14:paraId="6592C6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14:paraId="2412672F">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环境</w:t>
            </w:r>
          </w:p>
          <w:p w14:paraId="2ABC4E08">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保护</w:t>
            </w:r>
          </w:p>
          <w:p w14:paraId="05ADC44A">
            <w:pPr>
              <w:adjustRightInd w:val="0"/>
              <w:snapToGrid w:val="0"/>
              <w:jc w:val="center"/>
              <w:rPr>
                <w:rFonts w:hint="eastAsia" w:ascii="宋体" w:hAnsi="宋体" w:cs="宋体"/>
                <w:color w:val="FF0000"/>
                <w:kern w:val="0"/>
                <w:sz w:val="24"/>
                <w:szCs w:val="24"/>
              </w:rPr>
            </w:pPr>
            <w:r>
              <w:rPr>
                <w:rFonts w:hint="eastAsia" w:ascii="宋体" w:hAnsi="宋体" w:cs="宋体"/>
                <w:color w:val="auto"/>
                <w:kern w:val="0"/>
                <w:sz w:val="24"/>
                <w:szCs w:val="24"/>
              </w:rPr>
              <w:t>目标</w:t>
            </w:r>
          </w:p>
        </w:tc>
        <w:tc>
          <w:tcPr>
            <w:tcW w:w="8190" w:type="dxa"/>
            <w:noWrap w:val="0"/>
            <w:vAlign w:val="top"/>
          </w:tcPr>
          <w:p w14:paraId="60B9C8A8">
            <w:pPr>
              <w:pStyle w:val="29"/>
              <w:bidi w:val="0"/>
              <w:rPr>
                <w:rFonts w:hint="default" w:ascii="Times New Roman" w:hAnsi="Times New Roman" w:cs="Times New Roman"/>
                <w:color w:val="auto"/>
              </w:rPr>
            </w:pPr>
            <w:r>
              <w:rPr>
                <w:rFonts w:hint="default" w:ascii="Times New Roman" w:hAnsi="Times New Roman" w:cs="Times New Roman"/>
                <w:b/>
                <w:bCs/>
                <w:color w:val="auto"/>
              </w:rPr>
              <w:t>1、大气环境保护目标</w:t>
            </w:r>
          </w:p>
          <w:p w14:paraId="77122E01">
            <w:pPr>
              <w:pStyle w:val="29"/>
              <w:bidi w:val="0"/>
              <w:rPr>
                <w:rFonts w:hint="default" w:ascii="Times New Roman" w:hAnsi="Times New Roman" w:cs="Times New Roman"/>
                <w:color w:val="auto"/>
              </w:rPr>
            </w:pPr>
            <w:r>
              <w:rPr>
                <w:rFonts w:hint="default" w:ascii="Times New Roman" w:hAnsi="Times New Roman" w:cs="Times New Roman"/>
                <w:color w:val="auto"/>
              </w:rPr>
              <w:t>本项目厂界外500 m 范围内大气环境保护目标情况见表3-</w:t>
            </w:r>
            <w:r>
              <w:rPr>
                <w:rFonts w:hint="eastAsia" w:ascii="Times New Roman" w:hAnsi="Times New Roman" w:cs="Times New Roman"/>
                <w:color w:val="auto"/>
                <w:lang w:val="en-US" w:eastAsia="zh-CN"/>
              </w:rPr>
              <w:t>5</w:t>
            </w:r>
            <w:r>
              <w:rPr>
                <w:rFonts w:hint="default" w:ascii="Times New Roman" w:hAnsi="Times New Roman" w:cs="Times New Roman"/>
                <w:color w:val="auto"/>
              </w:rPr>
              <w:t>。</w:t>
            </w:r>
          </w:p>
          <w:p w14:paraId="0C738113">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表3-</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 xml:space="preserve">  大气环境保护目标情况</w:t>
            </w:r>
          </w:p>
          <w:tbl>
            <w:tblPr>
              <w:tblStyle w:val="1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349"/>
              <w:gridCol w:w="1103"/>
              <w:gridCol w:w="1646"/>
              <w:gridCol w:w="1425"/>
              <w:gridCol w:w="625"/>
              <w:gridCol w:w="562"/>
              <w:gridCol w:w="1025"/>
              <w:gridCol w:w="532"/>
              <w:gridCol w:w="701"/>
            </w:tblGrid>
            <w:tr w14:paraId="3863C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vMerge w:val="restart"/>
                  <w:tcBorders>
                    <w:top w:val="single" w:color="auto" w:sz="12" w:space="0"/>
                    <w:left w:val="nil"/>
                    <w:bottom w:val="single" w:color="auto" w:sz="4" w:space="0"/>
                    <w:right w:val="single" w:color="auto" w:sz="4" w:space="0"/>
                    <w:tl2br w:val="nil"/>
                    <w:tr2bl w:val="nil"/>
                  </w:tcBorders>
                  <w:noWrap w:val="0"/>
                  <w:vAlign w:val="center"/>
                </w:tcPr>
                <w:p w14:paraId="1D1104FA">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692" w:type="pct"/>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BB67A2B">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1927" w:type="pct"/>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50AC5834">
                  <w:pPr>
                    <w:pStyle w:val="30"/>
                    <w:bidi w:val="0"/>
                    <w:jc w:val="center"/>
                    <w:rPr>
                      <w:rFonts w:hint="eastAsia"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坐标</w:t>
                  </w:r>
                </w:p>
              </w:tc>
              <w:tc>
                <w:tcPr>
                  <w:tcW w:w="392" w:type="pct"/>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2BA9936B">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保护对象</w:t>
                  </w:r>
                </w:p>
              </w:tc>
              <w:tc>
                <w:tcPr>
                  <w:tcW w:w="352" w:type="pct"/>
                  <w:vMerge w:val="restart"/>
                  <w:tcBorders>
                    <w:top w:val="single" w:color="auto" w:sz="12" w:space="0"/>
                    <w:left w:val="single" w:color="auto" w:sz="4" w:space="0"/>
                    <w:right w:val="single" w:color="auto" w:sz="4" w:space="0"/>
                    <w:tl2br w:val="nil"/>
                    <w:tr2bl w:val="nil"/>
                  </w:tcBorders>
                  <w:noWrap w:val="0"/>
                  <w:vAlign w:val="center"/>
                </w:tcPr>
                <w:p w14:paraId="7A56CB64">
                  <w:pPr>
                    <w:pStyle w:val="30"/>
                    <w:bidi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功能</w:t>
                  </w:r>
                </w:p>
              </w:tc>
              <w:tc>
                <w:tcPr>
                  <w:tcW w:w="643" w:type="pct"/>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96EB04B">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保护内容</w:t>
                  </w:r>
                </w:p>
              </w:tc>
              <w:tc>
                <w:tcPr>
                  <w:tcW w:w="333" w:type="pct"/>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1089F8C1">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相对厂址方位</w:t>
                  </w:r>
                </w:p>
              </w:tc>
              <w:tc>
                <w:tcPr>
                  <w:tcW w:w="439" w:type="pct"/>
                  <w:vMerge w:val="restart"/>
                  <w:tcBorders>
                    <w:top w:val="single" w:color="auto" w:sz="12" w:space="0"/>
                    <w:left w:val="single" w:color="auto" w:sz="4" w:space="0"/>
                    <w:bottom w:val="single" w:color="auto" w:sz="4" w:space="0"/>
                    <w:right w:val="nil"/>
                    <w:tl2br w:val="nil"/>
                    <w:tr2bl w:val="nil"/>
                  </w:tcBorders>
                  <w:noWrap w:val="0"/>
                  <w:vAlign w:val="center"/>
                </w:tcPr>
                <w:p w14:paraId="4E9F78CA">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相对厂址距离（m）</w:t>
                  </w:r>
                </w:p>
              </w:tc>
            </w:tr>
            <w:tr w14:paraId="5122A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vMerge w:val="continue"/>
                  <w:tcBorders>
                    <w:top w:val="single" w:color="auto" w:sz="4" w:space="0"/>
                    <w:left w:val="nil"/>
                    <w:bottom w:val="single" w:color="auto" w:sz="4" w:space="0"/>
                    <w:right w:val="single" w:color="auto" w:sz="4" w:space="0"/>
                    <w:tl2br w:val="nil"/>
                    <w:tr2bl w:val="nil"/>
                  </w:tcBorders>
                  <w:noWrap w:val="0"/>
                  <w:vAlign w:val="center"/>
                </w:tcPr>
                <w:p w14:paraId="272A3E69">
                  <w:pPr>
                    <w:pStyle w:val="30"/>
                    <w:bidi w:val="0"/>
                    <w:jc w:val="center"/>
                    <w:rPr>
                      <w:rFonts w:hint="default" w:ascii="Times New Roman" w:hAnsi="Times New Roman" w:cs="Times New Roman"/>
                      <w:color w:val="auto"/>
                      <w:sz w:val="18"/>
                      <w:szCs w:val="18"/>
                    </w:rPr>
                  </w:pPr>
                </w:p>
              </w:tc>
              <w:tc>
                <w:tcPr>
                  <w:tcW w:w="69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CF094D6">
                  <w:pPr>
                    <w:pStyle w:val="30"/>
                    <w:bidi w:val="0"/>
                    <w:jc w:val="center"/>
                    <w:rPr>
                      <w:rFonts w:hint="default" w:ascii="Times New Roman" w:hAnsi="Times New Roman" w:cs="Times New Roman"/>
                      <w:color w:val="auto"/>
                      <w:sz w:val="18"/>
                      <w:szCs w:val="18"/>
                    </w:rPr>
                  </w:pPr>
                </w:p>
              </w:tc>
              <w:tc>
                <w:tcPr>
                  <w:tcW w:w="103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DB16EA">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东经</w:t>
                  </w:r>
                </w:p>
              </w:tc>
              <w:tc>
                <w:tcPr>
                  <w:tcW w:w="8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19C711F">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北纬</w:t>
                  </w:r>
                </w:p>
              </w:tc>
              <w:tc>
                <w:tcPr>
                  <w:tcW w:w="39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F5D41CE">
                  <w:pPr>
                    <w:pStyle w:val="30"/>
                    <w:bidi w:val="0"/>
                    <w:jc w:val="center"/>
                    <w:rPr>
                      <w:rFonts w:hint="default" w:ascii="Times New Roman" w:hAnsi="Times New Roman" w:cs="Times New Roman"/>
                      <w:color w:val="auto"/>
                      <w:sz w:val="18"/>
                      <w:szCs w:val="18"/>
                    </w:rPr>
                  </w:pPr>
                </w:p>
              </w:tc>
              <w:tc>
                <w:tcPr>
                  <w:tcW w:w="352" w:type="pct"/>
                  <w:vMerge w:val="continue"/>
                  <w:tcBorders>
                    <w:left w:val="single" w:color="auto" w:sz="4" w:space="0"/>
                    <w:bottom w:val="single" w:color="auto" w:sz="4" w:space="0"/>
                    <w:right w:val="single" w:color="auto" w:sz="4" w:space="0"/>
                    <w:tl2br w:val="nil"/>
                    <w:tr2bl w:val="nil"/>
                  </w:tcBorders>
                  <w:noWrap w:val="0"/>
                  <w:vAlign w:val="center"/>
                </w:tcPr>
                <w:p w14:paraId="61545200">
                  <w:pPr>
                    <w:pStyle w:val="30"/>
                    <w:bidi w:val="0"/>
                    <w:jc w:val="center"/>
                    <w:rPr>
                      <w:rFonts w:hint="default" w:ascii="Times New Roman" w:hAnsi="Times New Roman" w:cs="Times New Roman"/>
                      <w:color w:val="auto"/>
                      <w:sz w:val="18"/>
                      <w:szCs w:val="18"/>
                    </w:rPr>
                  </w:pPr>
                </w:p>
              </w:tc>
              <w:tc>
                <w:tcPr>
                  <w:tcW w:w="64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9C49862">
                  <w:pPr>
                    <w:pStyle w:val="30"/>
                    <w:bidi w:val="0"/>
                    <w:jc w:val="center"/>
                    <w:rPr>
                      <w:rFonts w:hint="default" w:ascii="Times New Roman" w:hAnsi="Times New Roman" w:cs="Times New Roman"/>
                      <w:color w:val="auto"/>
                      <w:sz w:val="18"/>
                      <w:szCs w:val="18"/>
                    </w:rPr>
                  </w:pPr>
                </w:p>
              </w:tc>
              <w:tc>
                <w:tcPr>
                  <w:tcW w:w="33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F828107">
                  <w:pPr>
                    <w:pStyle w:val="30"/>
                    <w:bidi w:val="0"/>
                    <w:jc w:val="center"/>
                    <w:rPr>
                      <w:rFonts w:hint="default" w:ascii="Times New Roman" w:hAnsi="Times New Roman" w:cs="Times New Roman"/>
                      <w:color w:val="auto"/>
                      <w:sz w:val="18"/>
                      <w:szCs w:val="18"/>
                    </w:rPr>
                  </w:pPr>
                </w:p>
              </w:tc>
              <w:tc>
                <w:tcPr>
                  <w:tcW w:w="439" w:type="pct"/>
                  <w:vMerge w:val="continue"/>
                  <w:tcBorders>
                    <w:top w:val="single" w:color="auto" w:sz="4" w:space="0"/>
                    <w:left w:val="single" w:color="auto" w:sz="4" w:space="0"/>
                    <w:bottom w:val="single" w:color="auto" w:sz="4" w:space="0"/>
                    <w:right w:val="nil"/>
                    <w:tl2br w:val="nil"/>
                    <w:tr2bl w:val="nil"/>
                  </w:tcBorders>
                  <w:noWrap w:val="0"/>
                  <w:vAlign w:val="center"/>
                </w:tcPr>
                <w:p w14:paraId="247F771B">
                  <w:pPr>
                    <w:pStyle w:val="30"/>
                    <w:bidi w:val="0"/>
                    <w:jc w:val="center"/>
                    <w:rPr>
                      <w:rFonts w:hint="default" w:ascii="Times New Roman" w:hAnsi="Times New Roman" w:cs="Times New Roman"/>
                      <w:color w:val="auto"/>
                      <w:sz w:val="18"/>
                      <w:szCs w:val="18"/>
                    </w:rPr>
                  </w:pPr>
                </w:p>
              </w:tc>
            </w:tr>
            <w:tr w14:paraId="333A1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tcBorders>
                    <w:top w:val="single" w:color="auto" w:sz="4" w:space="0"/>
                    <w:left w:val="nil"/>
                    <w:bottom w:val="single" w:color="auto" w:sz="4" w:space="0"/>
                    <w:right w:val="single" w:color="auto" w:sz="4" w:space="0"/>
                    <w:tl2br w:val="nil"/>
                    <w:tr2bl w:val="nil"/>
                  </w:tcBorders>
                  <w:noWrap w:val="0"/>
                  <w:vAlign w:val="center"/>
                </w:tcPr>
                <w:p w14:paraId="343197C1">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6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C536973">
                  <w:pPr>
                    <w:pStyle w:val="30"/>
                    <w:bidi w:val="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茶园安置小区一片区</w:t>
                  </w:r>
                </w:p>
              </w:tc>
              <w:tc>
                <w:tcPr>
                  <w:tcW w:w="103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F72A80F">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112°35′25.883″</w:t>
                  </w:r>
                </w:p>
              </w:tc>
              <w:tc>
                <w:tcPr>
                  <w:tcW w:w="8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E01353F">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26°49′52.579″</w:t>
                  </w:r>
                </w:p>
              </w:tc>
              <w:tc>
                <w:tcPr>
                  <w:tcW w:w="3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26FDA66">
                  <w:pPr>
                    <w:pStyle w:val="30"/>
                    <w:bidi w:val="0"/>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人群</w:t>
                  </w:r>
                </w:p>
              </w:tc>
              <w:tc>
                <w:tcPr>
                  <w:tcW w:w="35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EC55733">
                  <w:pPr>
                    <w:pStyle w:val="30"/>
                    <w:bidi w:val="0"/>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居住</w:t>
                  </w:r>
                </w:p>
              </w:tc>
              <w:tc>
                <w:tcPr>
                  <w:tcW w:w="6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CA0D9F2">
                  <w:pPr>
                    <w:pStyle w:val="30"/>
                    <w:bidi w:val="0"/>
                    <w:ind w:firstLine="0" w:firstLineChars="0"/>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200户，</w:t>
                  </w:r>
                  <w:r>
                    <w:rPr>
                      <w:rFonts w:hint="default" w:ascii="Times New Roman" w:hAnsi="Times New Roman" w:cs="Times New Roman"/>
                      <w:color w:val="auto"/>
                      <w:sz w:val="18"/>
                      <w:szCs w:val="18"/>
                    </w:rPr>
                    <w:t>约</w:t>
                  </w:r>
                  <w:r>
                    <w:rPr>
                      <w:rFonts w:hint="eastAsia"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w:t>
                  </w:r>
                  <w:r>
                    <w:rPr>
                      <w:rFonts w:hint="eastAsia" w:ascii="Times New Roman" w:hAnsi="Times New Roman" w:cs="Times New Roman"/>
                      <w:color w:val="auto"/>
                      <w:sz w:val="18"/>
                      <w:szCs w:val="18"/>
                      <w:lang w:val="en-US" w:eastAsia="zh-CN"/>
                    </w:rPr>
                    <w:t>00</w:t>
                  </w:r>
                  <w:r>
                    <w:rPr>
                      <w:rFonts w:hint="default" w:ascii="Times New Roman" w:hAnsi="Times New Roman" w:cs="Times New Roman"/>
                      <w:color w:val="auto"/>
                      <w:sz w:val="18"/>
                      <w:szCs w:val="18"/>
                    </w:rPr>
                    <w:t>人</w:t>
                  </w:r>
                </w:p>
              </w:tc>
              <w:tc>
                <w:tcPr>
                  <w:tcW w:w="3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EB63A7">
                  <w:pPr>
                    <w:pStyle w:val="30"/>
                    <w:bidi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N</w:t>
                  </w:r>
                </w:p>
              </w:tc>
              <w:tc>
                <w:tcPr>
                  <w:tcW w:w="439" w:type="pct"/>
                  <w:tcBorders>
                    <w:top w:val="single" w:color="auto" w:sz="4" w:space="0"/>
                    <w:left w:val="single" w:color="auto" w:sz="4" w:space="0"/>
                    <w:bottom w:val="single" w:color="auto" w:sz="4" w:space="0"/>
                    <w:right w:val="nil"/>
                    <w:tl2br w:val="nil"/>
                    <w:tr2bl w:val="nil"/>
                  </w:tcBorders>
                  <w:noWrap w:val="0"/>
                  <w:vAlign w:val="center"/>
                </w:tcPr>
                <w:p w14:paraId="485269B2">
                  <w:pPr>
                    <w:pStyle w:val="30"/>
                    <w:bidi w:val="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450</w:t>
                  </w:r>
                  <w:r>
                    <w:rPr>
                      <w:rFonts w:hint="default" w:ascii="Times New Roman" w:hAnsi="Times New Roman" w:cs="Times New Roman"/>
                      <w:color w:val="auto"/>
                      <w:sz w:val="18"/>
                      <w:szCs w:val="18"/>
                    </w:rPr>
                    <w:t>~</w:t>
                  </w:r>
                  <w:r>
                    <w:rPr>
                      <w:rFonts w:hint="eastAsia" w:ascii="Times New Roman" w:hAnsi="Times New Roman" w:cs="Times New Roman"/>
                      <w:color w:val="auto"/>
                      <w:sz w:val="18"/>
                      <w:szCs w:val="18"/>
                      <w:lang w:val="en-US" w:eastAsia="zh-CN"/>
                    </w:rPr>
                    <w:t>50</w:t>
                  </w:r>
                  <w:r>
                    <w:rPr>
                      <w:rFonts w:hint="default" w:ascii="Times New Roman" w:hAnsi="Times New Roman" w:cs="Times New Roman"/>
                      <w:color w:val="auto"/>
                      <w:sz w:val="18"/>
                      <w:szCs w:val="18"/>
                    </w:rPr>
                    <w:t>0</w:t>
                  </w:r>
                </w:p>
              </w:tc>
            </w:tr>
            <w:tr w14:paraId="7924C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tcBorders>
                    <w:top w:val="single" w:color="auto" w:sz="4" w:space="0"/>
                    <w:left w:val="nil"/>
                    <w:bottom w:val="single" w:color="auto" w:sz="4" w:space="0"/>
                    <w:right w:val="single" w:color="auto" w:sz="4" w:space="0"/>
                    <w:tl2br w:val="nil"/>
                    <w:tr2bl w:val="nil"/>
                  </w:tcBorders>
                  <w:noWrap w:val="0"/>
                  <w:vAlign w:val="center"/>
                </w:tcPr>
                <w:p w14:paraId="3690B5DC">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6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1CEEF0">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金茶家园</w:t>
                  </w:r>
                </w:p>
              </w:tc>
              <w:tc>
                <w:tcPr>
                  <w:tcW w:w="103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2DA951">
                  <w:pPr>
                    <w:pStyle w:val="30"/>
                    <w:bidi w:val="0"/>
                    <w:ind w:firstLine="0" w:firstLineChars="0"/>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112</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35</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39.402</w:t>
                  </w:r>
                  <w:r>
                    <w:rPr>
                      <w:rFonts w:hint="default" w:ascii="Times New Roman" w:hAnsi="Times New Roman" w:cs="Times New Roman"/>
                      <w:color w:val="auto"/>
                      <w:sz w:val="18"/>
                      <w:szCs w:val="18"/>
                      <w:lang w:val="en-US" w:eastAsia="zh-CN"/>
                    </w:rPr>
                    <w:t>″</w:t>
                  </w:r>
                </w:p>
              </w:tc>
              <w:tc>
                <w:tcPr>
                  <w:tcW w:w="8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04455CC">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26</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49</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54.704</w:t>
                  </w:r>
                  <w:r>
                    <w:rPr>
                      <w:rFonts w:hint="default" w:ascii="Times New Roman" w:hAnsi="Times New Roman" w:cs="Times New Roman"/>
                      <w:color w:val="auto"/>
                      <w:sz w:val="18"/>
                      <w:szCs w:val="18"/>
                      <w:lang w:val="en-US" w:eastAsia="zh-CN"/>
                    </w:rPr>
                    <w:t>″</w:t>
                  </w:r>
                </w:p>
              </w:tc>
              <w:tc>
                <w:tcPr>
                  <w:tcW w:w="3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A6C7A0">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人群</w:t>
                  </w:r>
                </w:p>
              </w:tc>
              <w:tc>
                <w:tcPr>
                  <w:tcW w:w="35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AE5F630">
                  <w:pPr>
                    <w:pStyle w:val="30"/>
                    <w:bidi w:val="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居住</w:t>
                  </w:r>
                </w:p>
              </w:tc>
              <w:tc>
                <w:tcPr>
                  <w:tcW w:w="6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CC6C8E8">
                  <w:pPr>
                    <w:pStyle w:val="30"/>
                    <w:bidi w:val="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140户，</w:t>
                  </w:r>
                  <w:r>
                    <w:rPr>
                      <w:rFonts w:hint="default" w:ascii="Times New Roman" w:hAnsi="Times New Roman" w:cs="Times New Roman"/>
                      <w:color w:val="auto"/>
                      <w:sz w:val="18"/>
                      <w:szCs w:val="18"/>
                    </w:rPr>
                    <w:t>约</w:t>
                  </w:r>
                  <w:r>
                    <w:rPr>
                      <w:rFonts w:hint="eastAsia" w:ascii="Times New Roman" w:hAnsi="Times New Roman" w:cs="Times New Roman"/>
                      <w:color w:val="auto"/>
                      <w:sz w:val="18"/>
                      <w:szCs w:val="18"/>
                      <w:lang w:val="en-US" w:eastAsia="zh-CN"/>
                    </w:rPr>
                    <w:t>700</w:t>
                  </w:r>
                  <w:r>
                    <w:rPr>
                      <w:rFonts w:hint="default" w:ascii="Times New Roman" w:hAnsi="Times New Roman" w:cs="Times New Roman"/>
                      <w:color w:val="auto"/>
                      <w:sz w:val="18"/>
                      <w:szCs w:val="18"/>
                    </w:rPr>
                    <w:t>人</w:t>
                  </w:r>
                </w:p>
              </w:tc>
              <w:tc>
                <w:tcPr>
                  <w:tcW w:w="5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9FC5A38">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N</w:t>
                  </w:r>
                </w:p>
              </w:tc>
              <w:tc>
                <w:tcPr>
                  <w:tcW w:w="439" w:type="pct"/>
                  <w:tcBorders>
                    <w:top w:val="single" w:color="auto" w:sz="4" w:space="0"/>
                    <w:left w:val="single" w:color="auto" w:sz="4" w:space="0"/>
                    <w:bottom w:val="single" w:color="auto" w:sz="4" w:space="0"/>
                    <w:right w:val="nil"/>
                    <w:tl2br w:val="nil"/>
                    <w:tr2bl w:val="nil"/>
                  </w:tcBorders>
                  <w:noWrap w:val="0"/>
                  <w:vAlign w:val="center"/>
                </w:tcPr>
                <w:p w14:paraId="17FA6FC2">
                  <w:pPr>
                    <w:pStyle w:val="30"/>
                    <w:bidi w:val="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4</w:t>
                  </w:r>
                  <w:r>
                    <w:rPr>
                      <w:rFonts w:hint="eastAsia" w:ascii="Times New Roman" w:hAnsi="Times New Roman" w:cs="Times New Roman"/>
                      <w:color w:val="auto"/>
                      <w:sz w:val="18"/>
                      <w:szCs w:val="18"/>
                      <w:lang w:val="en-US" w:eastAsia="zh-CN"/>
                    </w:rPr>
                    <w:t>8</w:t>
                  </w:r>
                  <w:r>
                    <w:rPr>
                      <w:rFonts w:hint="default" w:ascii="Times New Roman" w:hAnsi="Times New Roman" w:cs="Times New Roman"/>
                      <w:color w:val="auto"/>
                      <w:sz w:val="18"/>
                      <w:szCs w:val="18"/>
                    </w:rPr>
                    <w:t>0~500</w:t>
                  </w:r>
                </w:p>
              </w:tc>
            </w:tr>
            <w:tr w14:paraId="5AC44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tcBorders>
                    <w:top w:val="single" w:color="auto" w:sz="4" w:space="0"/>
                    <w:left w:val="nil"/>
                    <w:bottom w:val="single" w:color="auto" w:sz="4" w:space="0"/>
                    <w:right w:val="single" w:color="auto" w:sz="4" w:space="0"/>
                    <w:tl2br w:val="nil"/>
                    <w:tr2bl w:val="nil"/>
                  </w:tcBorders>
                  <w:noWrap w:val="0"/>
                  <w:vAlign w:val="center"/>
                </w:tcPr>
                <w:p w14:paraId="05F57805">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6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40936BF">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李家湾</w:t>
                  </w:r>
                </w:p>
              </w:tc>
              <w:tc>
                <w:tcPr>
                  <w:tcW w:w="103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E8C320A">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112°35′34.844″</w:t>
                  </w:r>
                </w:p>
              </w:tc>
              <w:tc>
                <w:tcPr>
                  <w:tcW w:w="8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A513340">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26°49′50.957″</w:t>
                  </w:r>
                </w:p>
              </w:tc>
              <w:tc>
                <w:tcPr>
                  <w:tcW w:w="3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C7B3C1D">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人群</w:t>
                  </w:r>
                </w:p>
              </w:tc>
              <w:tc>
                <w:tcPr>
                  <w:tcW w:w="35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B94E5F2">
                  <w:pPr>
                    <w:pStyle w:val="30"/>
                    <w:bidi w:val="0"/>
                    <w:ind w:firstLine="0" w:firstLineChars="0"/>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居住</w:t>
                  </w:r>
                </w:p>
              </w:tc>
              <w:tc>
                <w:tcPr>
                  <w:tcW w:w="102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0AFD4D7">
                  <w:pPr>
                    <w:pStyle w:val="30"/>
                    <w:bidi w:val="0"/>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23户，</w:t>
                  </w:r>
                  <w:r>
                    <w:rPr>
                      <w:rFonts w:hint="default" w:ascii="Times New Roman" w:hAnsi="Times New Roman" w:cs="Times New Roman"/>
                      <w:color w:val="auto"/>
                      <w:sz w:val="18"/>
                      <w:szCs w:val="18"/>
                    </w:rPr>
                    <w:t>约</w:t>
                  </w:r>
                  <w:r>
                    <w:rPr>
                      <w:rFonts w:hint="eastAsia" w:ascii="Times New Roman" w:hAnsi="Times New Roman" w:cs="Times New Roman"/>
                      <w:color w:val="auto"/>
                      <w:sz w:val="18"/>
                      <w:szCs w:val="18"/>
                      <w:lang w:val="en-US" w:eastAsia="zh-CN"/>
                    </w:rPr>
                    <w:t>115</w:t>
                  </w:r>
                  <w:r>
                    <w:rPr>
                      <w:rFonts w:hint="default" w:ascii="Times New Roman" w:hAnsi="Times New Roman" w:cs="Times New Roman"/>
                      <w:color w:val="auto"/>
                      <w:sz w:val="18"/>
                      <w:szCs w:val="18"/>
                    </w:rPr>
                    <w:t>人</w:t>
                  </w:r>
                </w:p>
              </w:tc>
              <w:tc>
                <w:tcPr>
                  <w:tcW w:w="3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6471D8">
                  <w:pPr>
                    <w:pStyle w:val="30"/>
                    <w:bidi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N</w:t>
                  </w:r>
                </w:p>
              </w:tc>
              <w:tc>
                <w:tcPr>
                  <w:tcW w:w="439" w:type="pct"/>
                  <w:tcBorders>
                    <w:top w:val="single" w:color="auto" w:sz="4" w:space="0"/>
                    <w:left w:val="single" w:color="auto" w:sz="4" w:space="0"/>
                    <w:bottom w:val="single" w:color="auto" w:sz="4" w:space="0"/>
                    <w:right w:val="nil"/>
                    <w:tl2br w:val="nil"/>
                    <w:tr2bl w:val="nil"/>
                  </w:tcBorders>
                  <w:noWrap w:val="0"/>
                  <w:vAlign w:val="center"/>
                </w:tcPr>
                <w:p w14:paraId="681FDB82">
                  <w:pPr>
                    <w:pStyle w:val="30"/>
                    <w:bidi w:val="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360</w:t>
                  </w:r>
                  <w:r>
                    <w:rPr>
                      <w:rFonts w:hint="default" w:ascii="Times New Roman" w:hAnsi="Times New Roman" w:cs="Times New Roman"/>
                      <w:color w:val="auto"/>
                      <w:sz w:val="18"/>
                      <w:szCs w:val="18"/>
                    </w:rPr>
                    <w:t>~</w:t>
                  </w:r>
                  <w:r>
                    <w:rPr>
                      <w:rFonts w:hint="eastAsia" w:ascii="Times New Roman" w:hAnsi="Times New Roman" w:cs="Times New Roman"/>
                      <w:color w:val="auto"/>
                      <w:sz w:val="18"/>
                      <w:szCs w:val="18"/>
                      <w:lang w:val="en-US" w:eastAsia="zh-CN"/>
                    </w:rPr>
                    <w:t>500</w:t>
                  </w:r>
                </w:p>
              </w:tc>
            </w:tr>
            <w:tr w14:paraId="61DE2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219" w:type="pct"/>
                  <w:tcBorders>
                    <w:top w:val="single" w:color="auto" w:sz="4" w:space="0"/>
                    <w:left w:val="nil"/>
                    <w:bottom w:val="single" w:color="auto" w:sz="4" w:space="0"/>
                    <w:right w:val="single" w:color="auto" w:sz="4" w:space="0"/>
                    <w:tl2br w:val="nil"/>
                    <w:tr2bl w:val="nil"/>
                  </w:tcBorders>
                  <w:noWrap w:val="0"/>
                  <w:vAlign w:val="center"/>
                </w:tcPr>
                <w:p w14:paraId="0E84E464">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6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E1643D8">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丁染铺</w:t>
                  </w:r>
                </w:p>
              </w:tc>
              <w:tc>
                <w:tcPr>
                  <w:tcW w:w="103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1A172D">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112°35′26.269″</w:t>
                  </w:r>
                </w:p>
              </w:tc>
              <w:tc>
                <w:tcPr>
                  <w:tcW w:w="8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5B153A5">
                  <w:pPr>
                    <w:pStyle w:val="30"/>
                    <w:bidi w:val="0"/>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26°49′24.5″</w:t>
                  </w:r>
                </w:p>
              </w:tc>
              <w:tc>
                <w:tcPr>
                  <w:tcW w:w="39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A9CB99">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人群</w:t>
                  </w:r>
                </w:p>
              </w:tc>
              <w:tc>
                <w:tcPr>
                  <w:tcW w:w="35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0E988B">
                  <w:pPr>
                    <w:pStyle w:val="30"/>
                    <w:bidi w:val="0"/>
                    <w:ind w:firstLine="0" w:firstLineChars="0"/>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居住</w:t>
                  </w:r>
                </w:p>
              </w:tc>
              <w:tc>
                <w:tcPr>
                  <w:tcW w:w="10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6A3E230">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23户，</w:t>
                  </w:r>
                  <w:r>
                    <w:rPr>
                      <w:rFonts w:hint="default" w:ascii="Times New Roman" w:hAnsi="Times New Roman" w:cs="Times New Roman"/>
                      <w:color w:val="auto"/>
                      <w:sz w:val="18"/>
                      <w:szCs w:val="18"/>
                    </w:rPr>
                    <w:t>约</w:t>
                  </w:r>
                  <w:r>
                    <w:rPr>
                      <w:rFonts w:hint="eastAsia" w:ascii="Times New Roman" w:hAnsi="Times New Roman" w:cs="Times New Roman"/>
                      <w:color w:val="auto"/>
                      <w:sz w:val="18"/>
                      <w:szCs w:val="18"/>
                      <w:lang w:val="en-US" w:eastAsia="zh-CN"/>
                    </w:rPr>
                    <w:t>115</w:t>
                  </w:r>
                  <w:r>
                    <w:rPr>
                      <w:rFonts w:hint="default" w:ascii="Times New Roman" w:hAnsi="Times New Roman" w:cs="Times New Roman"/>
                      <w:color w:val="auto"/>
                      <w:sz w:val="18"/>
                      <w:szCs w:val="18"/>
                    </w:rPr>
                    <w:t>人</w:t>
                  </w:r>
                </w:p>
              </w:tc>
              <w:tc>
                <w:tcPr>
                  <w:tcW w:w="3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A38CEC3">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SW</w:t>
                  </w:r>
                </w:p>
              </w:tc>
              <w:tc>
                <w:tcPr>
                  <w:tcW w:w="439" w:type="pct"/>
                  <w:tcBorders>
                    <w:top w:val="single" w:color="auto" w:sz="4" w:space="0"/>
                    <w:left w:val="single" w:color="auto" w:sz="4" w:space="0"/>
                    <w:bottom w:val="single" w:color="auto" w:sz="4" w:space="0"/>
                    <w:right w:val="nil"/>
                    <w:tl2br w:val="nil"/>
                    <w:tr2bl w:val="nil"/>
                  </w:tcBorders>
                  <w:noWrap w:val="0"/>
                  <w:vAlign w:val="center"/>
                </w:tcPr>
                <w:p w14:paraId="0D27664F">
                  <w:pPr>
                    <w:pStyle w:val="30"/>
                    <w:bidi w:val="0"/>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37</w:t>
                  </w:r>
                  <w:r>
                    <w:rPr>
                      <w:rFonts w:hint="default" w:ascii="Times New Roman" w:hAnsi="Times New Roman" w:cs="Times New Roman"/>
                      <w:color w:val="auto"/>
                      <w:sz w:val="18"/>
                      <w:szCs w:val="18"/>
                      <w:lang w:val="en-US" w:eastAsia="zh-CN"/>
                    </w:rPr>
                    <w:t>0~</w:t>
                  </w:r>
                  <w:r>
                    <w:rPr>
                      <w:rFonts w:hint="eastAsia"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lang w:val="en-US" w:eastAsia="zh-CN"/>
                    </w:rPr>
                    <w:t>00</w:t>
                  </w:r>
                </w:p>
              </w:tc>
            </w:tr>
            <w:tr w14:paraId="5E1E2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5000" w:type="pct"/>
                  <w:gridSpan w:val="9"/>
                  <w:tcBorders>
                    <w:top w:val="single" w:color="auto" w:sz="4" w:space="0"/>
                    <w:left w:val="nil"/>
                    <w:bottom w:val="single" w:color="auto" w:sz="12" w:space="0"/>
                    <w:right w:val="nil"/>
                    <w:tl2br w:val="nil"/>
                    <w:tr2bl w:val="nil"/>
                  </w:tcBorders>
                  <w:noWrap w:val="0"/>
                  <w:vAlign w:val="center"/>
                </w:tcPr>
                <w:p w14:paraId="79C6BF01">
                  <w:pPr>
                    <w:pStyle w:val="30"/>
                    <w:bidi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本项目大气环境功能区为二类区（指《环境空气质量标准》（GB3095-20</w:t>
                  </w:r>
                  <w:r>
                    <w:rPr>
                      <w:rFonts w:hint="eastAsia" w:ascii="Times New Roman" w:hAnsi="Times New Roman" w:cs="Times New Roman"/>
                      <w:color w:val="auto"/>
                      <w:sz w:val="18"/>
                      <w:szCs w:val="18"/>
                      <w:lang w:val="en-US" w:eastAsia="zh-CN"/>
                    </w:rPr>
                    <w:t>26</w:t>
                  </w:r>
                  <w:r>
                    <w:rPr>
                      <w:rFonts w:hint="default" w:ascii="Times New Roman" w:hAnsi="Times New Roman" w:cs="Times New Roman"/>
                      <w:color w:val="auto"/>
                      <w:sz w:val="18"/>
                      <w:szCs w:val="18"/>
                    </w:rPr>
                    <w:t>）中的二类区）。</w:t>
                  </w:r>
                </w:p>
              </w:tc>
            </w:tr>
          </w:tbl>
          <w:p w14:paraId="2A2A8735">
            <w:pPr>
              <w:pStyle w:val="29"/>
              <w:bidi w:val="0"/>
              <w:rPr>
                <w:rFonts w:hint="default" w:ascii="Times New Roman" w:hAnsi="Times New Roman" w:eastAsia="宋体" w:cs="Times New Roman"/>
                <w:b/>
                <w:bCs/>
                <w:color w:val="auto"/>
                <w:sz w:val="18"/>
                <w:szCs w:val="18"/>
                <w:lang w:val="en-US" w:eastAsia="zh-CN"/>
              </w:rPr>
            </w:pPr>
          </w:p>
          <w:p w14:paraId="13CF4618">
            <w:pPr>
              <w:pStyle w:val="29"/>
              <w:bidi w:val="0"/>
              <w:rPr>
                <w:rFonts w:hint="default" w:ascii="Times New Roman" w:hAnsi="Times New Roman" w:cs="Times New Roman"/>
                <w:color w:val="auto"/>
              </w:rPr>
            </w:pPr>
            <w:r>
              <w:rPr>
                <w:rFonts w:hint="default" w:ascii="Times New Roman" w:hAnsi="Times New Roman" w:cs="Times New Roman"/>
                <w:b/>
                <w:bCs/>
                <w:color w:val="auto"/>
              </w:rPr>
              <w:t>2、声境保护目标</w:t>
            </w:r>
          </w:p>
          <w:p w14:paraId="22CC87C2">
            <w:pPr>
              <w:pStyle w:val="29"/>
              <w:bidi w:val="0"/>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根据现场勘查结果，项目厂界外50m范围内不存在声环境保护目标（详见附图2）。</w:t>
            </w:r>
          </w:p>
          <w:p w14:paraId="2EFB927A">
            <w:pPr>
              <w:pStyle w:val="29"/>
              <w:bidi w:val="0"/>
              <w:rPr>
                <w:rFonts w:hint="default" w:ascii="Times New Roman" w:hAnsi="Times New Roman" w:cs="Times New Roman"/>
                <w:color w:val="auto"/>
              </w:rPr>
            </w:pPr>
            <w:r>
              <w:rPr>
                <w:rFonts w:hint="default" w:ascii="Times New Roman" w:hAnsi="Times New Roman" w:cs="Times New Roman"/>
                <w:b/>
                <w:bCs/>
                <w:color w:val="auto"/>
              </w:rPr>
              <w:t>3、地下水环境保护目标</w:t>
            </w:r>
          </w:p>
          <w:p w14:paraId="5BBBE548">
            <w:pPr>
              <w:pStyle w:val="29"/>
              <w:bidi w:val="0"/>
              <w:rPr>
                <w:rFonts w:hint="default" w:ascii="Times New Roman" w:hAnsi="Times New Roman" w:cs="Times New Roman"/>
                <w:color w:val="auto"/>
              </w:rPr>
            </w:pPr>
            <w:r>
              <w:rPr>
                <w:rFonts w:hint="default" w:ascii="Times New Roman" w:hAnsi="Times New Roman" w:cs="Times New Roman"/>
                <w:color w:val="auto"/>
              </w:rPr>
              <w:t>本项目厂界外500</w:t>
            </w:r>
            <w:r>
              <w:rPr>
                <w:rFonts w:hint="eastAsia" w:ascii="Times New Roman" w:hAnsi="Times New Roman" w:cs="Times New Roman"/>
                <w:color w:val="auto"/>
                <w:lang w:val="en-US" w:eastAsia="zh-CN"/>
              </w:rPr>
              <w:t>m</w:t>
            </w:r>
            <w:r>
              <w:rPr>
                <w:rFonts w:hint="default" w:ascii="Times New Roman" w:hAnsi="Times New Roman" w:cs="Times New Roman"/>
                <w:color w:val="auto"/>
              </w:rPr>
              <w:t>范围内无地下水集中式饮用水水源和热水、矿泉水、温泉等特殊地下水资源。</w:t>
            </w:r>
          </w:p>
          <w:p w14:paraId="4CDC7B58">
            <w:pPr>
              <w:pStyle w:val="29"/>
              <w:bidi w:val="0"/>
              <w:rPr>
                <w:rFonts w:hint="default" w:ascii="Times New Roman" w:hAnsi="Times New Roman" w:cs="Times New Roman"/>
                <w:color w:val="auto"/>
              </w:rPr>
            </w:pPr>
            <w:r>
              <w:rPr>
                <w:rFonts w:hint="default" w:ascii="Times New Roman" w:hAnsi="Times New Roman" w:cs="Times New Roman"/>
                <w:b/>
                <w:bCs/>
                <w:color w:val="auto"/>
              </w:rPr>
              <w:t>4、生态环境保护目标</w:t>
            </w:r>
          </w:p>
          <w:p w14:paraId="7F065DA3">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rPr>
              <w:t>本项目位于</w:t>
            </w:r>
            <w:r>
              <w:rPr>
                <w:rFonts w:hint="eastAsia" w:ascii="Times New Roman" w:hAnsi="Times New Roman" w:cs="Times New Roman"/>
                <w:color w:val="auto"/>
                <w:highlight w:val="none"/>
                <w:lang w:eastAsia="zh-CN"/>
              </w:rPr>
              <w:t>衡阳市衡阳高新技术产业开发区</w:t>
            </w:r>
            <w:r>
              <w:rPr>
                <w:rFonts w:hint="default" w:ascii="Times New Roman" w:hAnsi="Times New Roman" w:cs="Times New Roman"/>
                <w:color w:val="auto"/>
                <w:highlight w:val="none"/>
              </w:rPr>
              <w:t>内</w:t>
            </w:r>
            <w:r>
              <w:rPr>
                <w:rFonts w:hint="default" w:ascii="Times New Roman" w:hAnsi="Times New Roman" w:cs="Times New Roman"/>
                <w:color w:val="auto"/>
              </w:rPr>
              <w:t>，</w:t>
            </w:r>
            <w:r>
              <w:rPr>
                <w:rFonts w:hint="eastAsia" w:ascii="Times New Roman" w:hAnsi="Times New Roman" w:cs="Times New Roman"/>
                <w:color w:val="auto"/>
                <w:lang w:val="en-US" w:eastAsia="zh-CN"/>
              </w:rPr>
              <w:t>用地范围内未发现国家保护的珍稀动、植物物种。</w:t>
            </w:r>
          </w:p>
          <w:p w14:paraId="51F8DE2B">
            <w:pPr>
              <w:pStyle w:val="29"/>
              <w:bidi w:val="0"/>
              <w:rPr>
                <w:rFonts w:hint="default" w:ascii="Times New Roman" w:hAnsi="Times New Roman" w:cs="Times New Roman"/>
                <w:color w:val="FF0000"/>
              </w:rPr>
            </w:pPr>
          </w:p>
        </w:tc>
      </w:tr>
      <w:tr w14:paraId="35086A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69117F1A">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污染</w:t>
            </w:r>
          </w:p>
          <w:p w14:paraId="3C35BC47">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物排</w:t>
            </w:r>
          </w:p>
          <w:p w14:paraId="71B11386">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放控</w:t>
            </w:r>
          </w:p>
          <w:p w14:paraId="7DC0AF88">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制标</w:t>
            </w:r>
          </w:p>
          <w:p w14:paraId="20E53C64">
            <w:pPr>
              <w:adjustRightInd w:val="0"/>
              <w:snapToGrid w:val="0"/>
              <w:jc w:val="center"/>
              <w:rPr>
                <w:rFonts w:ascii="宋体" w:hAnsi="宋体" w:cs="宋体"/>
                <w:color w:val="FF0000"/>
                <w:kern w:val="0"/>
                <w:sz w:val="24"/>
                <w:szCs w:val="24"/>
              </w:rPr>
            </w:pPr>
            <w:r>
              <w:rPr>
                <w:rFonts w:hint="eastAsia" w:ascii="宋体" w:hAnsi="宋体" w:cs="宋体"/>
                <w:color w:val="auto"/>
                <w:kern w:val="0"/>
                <w:sz w:val="24"/>
                <w:szCs w:val="24"/>
              </w:rPr>
              <w:t>准</w:t>
            </w:r>
          </w:p>
        </w:tc>
        <w:tc>
          <w:tcPr>
            <w:tcW w:w="8190" w:type="dxa"/>
            <w:noWrap w:val="0"/>
            <w:vAlign w:val="top"/>
          </w:tcPr>
          <w:p w14:paraId="54998762">
            <w:pPr>
              <w:pStyle w:val="29"/>
              <w:bidi w:val="0"/>
              <w:rPr>
                <w:rFonts w:hint="default" w:ascii="Times New Roman" w:hAnsi="Times New Roman" w:cs="Times New Roman"/>
                <w:color w:val="auto"/>
                <w:highlight w:val="yellow"/>
              </w:rPr>
            </w:pPr>
            <w:r>
              <w:rPr>
                <w:rFonts w:hint="default" w:ascii="Times New Roman" w:hAnsi="Times New Roman" w:cs="Times New Roman"/>
                <w:b/>
                <w:bCs/>
                <w:color w:val="auto"/>
                <w:highlight w:val="none"/>
              </w:rPr>
              <w:t>1、废气</w:t>
            </w:r>
          </w:p>
          <w:p w14:paraId="37C0D9B3">
            <w:pPr>
              <w:pStyle w:val="29"/>
              <w:bidi w:val="0"/>
              <w:rPr>
                <w:rFonts w:hint="eastAsia" w:ascii="Times New Roman" w:hAnsi="Times New Roman" w:eastAsia="宋体" w:cs="Times New Roman"/>
                <w:color w:val="auto"/>
                <w:highlight w:val="none"/>
                <w:u w:val="single"/>
                <w:lang w:val="en-US" w:eastAsia="zh-CN"/>
              </w:rPr>
            </w:pPr>
            <w:r>
              <w:rPr>
                <w:rFonts w:hint="eastAsia" w:ascii="Times New Roman" w:hAnsi="Times New Roman" w:cs="Times New Roman"/>
                <w:color w:val="auto"/>
                <w:highlight w:val="none"/>
                <w:u w:val="single"/>
                <w:lang w:val="en-US" w:eastAsia="zh-CN"/>
              </w:rPr>
              <w:t>打磨废气颗粒物</w:t>
            </w:r>
            <w:r>
              <w:rPr>
                <w:rFonts w:hint="default" w:ascii="Times New Roman" w:hAnsi="Times New Roman" w:cs="Times New Roman"/>
                <w:color w:val="auto"/>
                <w:highlight w:val="none"/>
                <w:u w:val="single"/>
                <w:lang w:val="en-US" w:eastAsia="zh-CN"/>
              </w:rPr>
              <w:t>执行《大气污染物</w:t>
            </w:r>
            <w:r>
              <w:rPr>
                <w:rFonts w:hint="eastAsia" w:ascii="Times New Roman" w:hAnsi="Times New Roman" w:cs="Times New Roman"/>
                <w:color w:val="auto"/>
                <w:highlight w:val="none"/>
                <w:u w:val="single"/>
                <w:lang w:val="en-US" w:eastAsia="zh-CN"/>
              </w:rPr>
              <w:t>综合</w:t>
            </w:r>
            <w:r>
              <w:rPr>
                <w:rFonts w:hint="default" w:ascii="Times New Roman" w:hAnsi="Times New Roman" w:cs="Times New Roman"/>
                <w:color w:val="auto"/>
                <w:highlight w:val="none"/>
                <w:u w:val="single"/>
                <w:lang w:val="en-US" w:eastAsia="zh-CN"/>
              </w:rPr>
              <w:t>排放标准》(GB</w:t>
            </w:r>
            <w:r>
              <w:rPr>
                <w:rFonts w:hint="eastAsia" w:ascii="Times New Roman" w:hAnsi="Times New Roman" w:cs="Times New Roman"/>
                <w:color w:val="auto"/>
                <w:highlight w:val="none"/>
                <w:u w:val="single"/>
                <w:lang w:val="en-US" w:eastAsia="zh-CN"/>
              </w:rPr>
              <w:t>16297</w:t>
            </w:r>
            <w:r>
              <w:rPr>
                <w:rFonts w:hint="default" w:ascii="Times New Roman" w:hAnsi="Times New Roman" w:cs="Times New Roman"/>
                <w:color w:val="auto"/>
                <w:highlight w:val="none"/>
                <w:u w:val="single"/>
                <w:lang w:val="en-US" w:eastAsia="zh-CN"/>
              </w:rPr>
              <w:t>-</w:t>
            </w:r>
            <w:r>
              <w:rPr>
                <w:rFonts w:hint="eastAsia" w:ascii="Times New Roman" w:hAnsi="Times New Roman" w:cs="Times New Roman"/>
                <w:color w:val="auto"/>
                <w:highlight w:val="none"/>
                <w:u w:val="single"/>
                <w:lang w:val="en-US" w:eastAsia="zh-CN"/>
              </w:rPr>
              <w:t>1996</w:t>
            </w:r>
            <w:r>
              <w:rPr>
                <w:rFonts w:hint="default" w:ascii="Times New Roman" w:hAnsi="Times New Roman" w:cs="Times New Roman"/>
                <w:color w:val="auto"/>
                <w:highlight w:val="none"/>
                <w:u w:val="single"/>
                <w:lang w:val="en-US" w:eastAsia="zh-CN"/>
              </w:rPr>
              <w:t>)表</w:t>
            </w:r>
            <w:r>
              <w:rPr>
                <w:rFonts w:hint="eastAsia" w:ascii="Times New Roman" w:hAnsi="Times New Roman" w:cs="Times New Roman"/>
                <w:color w:val="auto"/>
                <w:highlight w:val="none"/>
                <w:u w:val="single"/>
                <w:lang w:val="en-US" w:eastAsia="zh-CN"/>
              </w:rPr>
              <w:t>2要求限值；二甲苯、甲苯、苯系物及</w:t>
            </w:r>
            <w:r>
              <w:rPr>
                <w:rFonts w:hint="default" w:ascii="Times New Roman" w:hAnsi="Times New Roman" w:cs="Times New Roman"/>
                <w:color w:val="auto"/>
                <w:highlight w:val="none"/>
                <w:u w:val="single"/>
                <w:lang w:val="en-US" w:eastAsia="zh-CN"/>
              </w:rPr>
              <w:t>非甲烷总烃</w:t>
            </w:r>
            <w:r>
              <w:rPr>
                <w:rFonts w:hint="eastAsia" w:ascii="Times New Roman" w:hAnsi="Times New Roman" w:cs="Times New Roman"/>
                <w:color w:val="auto"/>
                <w:highlight w:val="none"/>
                <w:u w:val="single"/>
                <w:lang w:val="en-US" w:eastAsia="zh-CN"/>
              </w:rPr>
              <w:t>参照</w:t>
            </w:r>
            <w:r>
              <w:rPr>
                <w:rFonts w:hint="default" w:ascii="Times New Roman" w:hAnsi="Times New Roman" w:cs="Times New Roman"/>
                <w:color w:val="auto"/>
                <w:highlight w:val="none"/>
                <w:u w:val="single"/>
                <w:lang w:val="en-US" w:eastAsia="zh-CN"/>
              </w:rPr>
              <w:t>执行《表面涂装</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汽车制造及维修</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挥发性有机物、镍排放标准》</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DB43/1356-2017</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中表1</w:t>
            </w:r>
            <w:r>
              <w:rPr>
                <w:rFonts w:hint="eastAsia" w:ascii="Times New Roman" w:hAnsi="Times New Roman" w:cs="Times New Roman"/>
                <w:color w:val="auto"/>
                <w:highlight w:val="none"/>
                <w:u w:val="single"/>
                <w:lang w:val="en-US" w:eastAsia="zh-CN"/>
              </w:rPr>
              <w:t>，喷漆房漆雾</w:t>
            </w:r>
            <w:r>
              <w:rPr>
                <w:rFonts w:hint="default" w:ascii="Times New Roman" w:hAnsi="Times New Roman" w:cs="Times New Roman"/>
                <w:color w:val="auto"/>
                <w:highlight w:val="none"/>
                <w:u w:val="single"/>
                <w:lang w:val="en-US" w:eastAsia="zh-CN"/>
              </w:rPr>
              <w:t>颗粒物执行《大气污染物综合排放标准》(GB16297-1996)表2</w:t>
            </w:r>
            <w:r>
              <w:rPr>
                <w:rFonts w:hint="eastAsia" w:ascii="Times New Roman" w:hAnsi="Times New Roman" w:cs="Times New Roman"/>
                <w:color w:val="auto"/>
                <w:highlight w:val="none"/>
                <w:u w:val="single"/>
                <w:lang w:val="en-US" w:eastAsia="zh-CN"/>
              </w:rPr>
              <w:t>；</w:t>
            </w:r>
            <w:r>
              <w:rPr>
                <w:rFonts w:hint="eastAsia" w:ascii="Times New Roman" w:hAnsi="Times New Roman" w:eastAsia="宋体" w:cs="Times New Roman"/>
                <w:color w:val="auto"/>
                <w:highlight w:val="none"/>
                <w:u w:val="single"/>
                <w:lang w:val="en-US" w:eastAsia="zh-CN"/>
              </w:rPr>
              <w:t>企业生产厂房外非甲烷总烃无组织排放参照执行《挥发性有机物无组织排放控制标准》（GB37822-2019）附录 A 中表 A.1标准</w:t>
            </w:r>
            <w:r>
              <w:rPr>
                <w:rFonts w:hint="eastAsia" w:ascii="Times New Roman" w:hAnsi="Times New Roman" w:cs="Times New Roman"/>
                <w:color w:val="auto"/>
                <w:highlight w:val="none"/>
                <w:u w:val="single"/>
                <w:lang w:val="en-US" w:eastAsia="zh-CN"/>
              </w:rPr>
              <w:t>；臭气浓度执行《恶臭污染物排放标准》（GB14554-93）</w:t>
            </w:r>
            <w:r>
              <w:rPr>
                <w:rFonts w:hint="eastAsia" w:ascii="Times New Roman" w:hAnsi="Times New Roman" w:eastAsia="宋体" w:cs="Times New Roman"/>
                <w:color w:val="auto"/>
                <w:highlight w:val="none"/>
                <w:u w:val="single"/>
                <w:lang w:val="en-US" w:eastAsia="zh-CN"/>
              </w:rPr>
              <w:t>。</w:t>
            </w:r>
          </w:p>
          <w:p w14:paraId="08EA76F7">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详情见表3-5。</w:t>
            </w:r>
          </w:p>
          <w:p w14:paraId="2CA7A0B7">
            <w:pPr>
              <w:pStyle w:val="31"/>
              <w:bidi w:val="0"/>
              <w:rPr>
                <w:rFonts w:hint="default" w:ascii="Times New Roman" w:hAnsi="Times New Roman" w:cs="Times New Roman"/>
                <w:color w:val="auto"/>
                <w:highlight w:val="yellow"/>
                <w:lang w:val="en-US" w:eastAsia="zh-CN"/>
              </w:rPr>
            </w:pPr>
            <w:r>
              <w:rPr>
                <w:rFonts w:hint="default" w:ascii="Times New Roman" w:hAnsi="Times New Roman" w:cs="Times New Roman"/>
                <w:color w:val="auto"/>
                <w:lang w:val="en-US" w:eastAsia="zh-CN"/>
              </w:rPr>
              <w:t>表3-5  废气排放执行标准一览</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283"/>
              <w:gridCol w:w="1221"/>
              <w:gridCol w:w="986"/>
              <w:gridCol w:w="1083"/>
              <w:gridCol w:w="1233"/>
              <w:gridCol w:w="2168"/>
            </w:tblGrid>
            <w:tr w14:paraId="6B061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283" w:type="dxa"/>
                  <w:vMerge w:val="restart"/>
                  <w:tcBorders>
                    <w:top w:val="single" w:color="auto" w:sz="12" w:space="0"/>
                    <w:left w:val="nil"/>
                    <w:bottom w:val="single" w:color="auto" w:sz="4" w:space="0"/>
                    <w:right w:val="single" w:color="auto" w:sz="4" w:space="0"/>
                    <w:tl2br w:val="nil"/>
                    <w:tr2bl w:val="nil"/>
                  </w:tcBorders>
                  <w:noWrap w:val="0"/>
                  <w:vAlign w:val="center"/>
                </w:tcPr>
                <w:p w14:paraId="5F2918A5">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污染源</w:t>
                  </w:r>
                </w:p>
              </w:tc>
              <w:tc>
                <w:tcPr>
                  <w:tcW w:w="1221"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A6C8C33">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污染物</w:t>
                  </w:r>
                </w:p>
              </w:tc>
              <w:tc>
                <w:tcPr>
                  <w:tcW w:w="2069" w:type="dxa"/>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096A0734">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有组织排放</w:t>
                  </w:r>
                </w:p>
              </w:tc>
              <w:tc>
                <w:tcPr>
                  <w:tcW w:w="1233"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A6BF4E0">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无组织排放</w:t>
                  </w:r>
                </w:p>
              </w:tc>
              <w:tc>
                <w:tcPr>
                  <w:tcW w:w="2168" w:type="dxa"/>
                  <w:vMerge w:val="restart"/>
                  <w:tcBorders>
                    <w:top w:val="single" w:color="auto" w:sz="12" w:space="0"/>
                    <w:left w:val="single" w:color="auto" w:sz="4" w:space="0"/>
                    <w:bottom w:val="single" w:color="auto" w:sz="4" w:space="0"/>
                    <w:right w:val="nil"/>
                    <w:tl2br w:val="nil"/>
                    <w:tr2bl w:val="nil"/>
                  </w:tcBorders>
                  <w:noWrap w:val="0"/>
                  <w:vAlign w:val="center"/>
                </w:tcPr>
                <w:p w14:paraId="1B50FD99">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执行标准</w:t>
                  </w:r>
                </w:p>
              </w:tc>
            </w:tr>
            <w:tr w14:paraId="6C594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283" w:type="dxa"/>
                  <w:vMerge w:val="continue"/>
                  <w:tcBorders>
                    <w:top w:val="single" w:color="auto" w:sz="4" w:space="0"/>
                    <w:left w:val="nil"/>
                    <w:bottom w:val="single" w:color="auto" w:sz="4" w:space="0"/>
                    <w:right w:val="single" w:color="auto" w:sz="4" w:space="0"/>
                    <w:tl2br w:val="nil"/>
                    <w:tr2bl w:val="nil"/>
                  </w:tcBorders>
                  <w:noWrap w:val="0"/>
                  <w:vAlign w:val="center"/>
                </w:tcPr>
                <w:p w14:paraId="670781AB">
                  <w:pPr>
                    <w:pStyle w:val="30"/>
                    <w:spacing w:beforeLines="0" w:afterLines="0"/>
                    <w:rPr>
                      <w:rFonts w:hint="default" w:ascii="Times New Roman" w:hAnsi="Times New Roman" w:eastAsia="Times New Roman" w:cs="Times New Roman"/>
                      <w:color w:val="auto"/>
                      <w:sz w:val="21"/>
                      <w:szCs w:val="21"/>
                    </w:rPr>
                  </w:pPr>
                </w:p>
              </w:tc>
              <w:tc>
                <w:tcPr>
                  <w:tcW w:w="122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DE193D3">
                  <w:pPr>
                    <w:pStyle w:val="30"/>
                    <w:spacing w:beforeLines="0" w:afterLines="0"/>
                    <w:rPr>
                      <w:rFonts w:hint="default" w:ascii="Times New Roman" w:hAnsi="Times New Roman" w:eastAsia="Times New Roman" w:cs="Times New Roman"/>
                      <w:color w:val="auto"/>
                      <w:sz w:val="21"/>
                      <w:szCs w:val="21"/>
                    </w:rPr>
                  </w:pP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775DD9">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排放速率</w:t>
                  </w:r>
                </w:p>
                <w:p w14:paraId="7B224154">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（kg/h）</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9ECF23">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排放浓度</w:t>
                  </w:r>
                </w:p>
                <w:p w14:paraId="4C24062C">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CDD257">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排放浓度</w:t>
                  </w:r>
                </w:p>
                <w:p w14:paraId="03F12A3B">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eastAsia="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2168" w:type="dxa"/>
                  <w:vMerge w:val="continue"/>
                  <w:tcBorders>
                    <w:top w:val="single" w:color="auto" w:sz="4" w:space="0"/>
                    <w:left w:val="single" w:color="auto" w:sz="4" w:space="0"/>
                    <w:bottom w:val="single" w:color="auto" w:sz="4" w:space="0"/>
                    <w:right w:val="nil"/>
                    <w:tl2br w:val="nil"/>
                    <w:tr2bl w:val="nil"/>
                  </w:tcBorders>
                  <w:noWrap w:val="0"/>
                  <w:vAlign w:val="center"/>
                </w:tcPr>
                <w:p w14:paraId="08C29642">
                  <w:pPr>
                    <w:pStyle w:val="30"/>
                    <w:spacing w:beforeLines="0" w:afterLines="0"/>
                    <w:rPr>
                      <w:rFonts w:hint="default" w:ascii="Times New Roman" w:hAnsi="Times New Roman" w:eastAsia="Times New Roman" w:cs="Times New Roman"/>
                      <w:color w:val="FF0000"/>
                      <w:sz w:val="21"/>
                      <w:szCs w:val="21"/>
                    </w:rPr>
                  </w:pPr>
                </w:p>
              </w:tc>
            </w:tr>
            <w:tr w14:paraId="71910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restart"/>
                  <w:tcBorders>
                    <w:top w:val="single" w:color="auto" w:sz="4" w:space="0"/>
                    <w:left w:val="nil"/>
                    <w:right w:val="single" w:color="auto" w:sz="4" w:space="0"/>
                    <w:tl2br w:val="nil"/>
                    <w:tr2bl w:val="nil"/>
                  </w:tcBorders>
                  <w:noWrap w:val="0"/>
                  <w:vAlign w:val="center"/>
                </w:tcPr>
                <w:p w14:paraId="096FCB22">
                  <w:pPr>
                    <w:pStyle w:val="30"/>
                    <w:spacing w:beforeLines="0" w:afterLine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调漆、喷漆、烤漆房废气（DA001）</w:t>
                  </w:r>
                </w:p>
              </w:tc>
              <w:tc>
                <w:tcPr>
                  <w:tcW w:w="122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C5AB69">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颗粒物</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B7A0AA">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3.5</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B8C942">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120</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8E7616">
                  <w:pPr>
                    <w:pStyle w:val="30"/>
                    <w:spacing w:beforeLines="0" w:afterLines="0"/>
                    <w:ind w:firstLine="0" w:firstLineChars="0"/>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highlight w:val="none"/>
                      <w:u w:val="single"/>
                      <w:lang w:val="en-US" w:eastAsia="zh-CN"/>
                    </w:rPr>
                    <w:t>/</w:t>
                  </w:r>
                </w:p>
              </w:tc>
              <w:tc>
                <w:tcPr>
                  <w:tcW w:w="2168" w:type="dxa"/>
                  <w:tcBorders>
                    <w:top w:val="single" w:color="auto" w:sz="4" w:space="0"/>
                    <w:left w:val="single" w:color="auto" w:sz="4" w:space="0"/>
                    <w:right w:val="nil"/>
                    <w:tl2br w:val="nil"/>
                    <w:tr2bl w:val="nil"/>
                  </w:tcBorders>
                  <w:noWrap w:val="0"/>
                  <w:vAlign w:val="center"/>
                </w:tcPr>
                <w:p w14:paraId="3B787781">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《大气污染物综合排放标准》（GB16297- 1996）表 2</w:t>
                  </w:r>
                </w:p>
              </w:tc>
            </w:tr>
            <w:tr w14:paraId="2BC9F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0DF4129B">
                  <w:pPr>
                    <w:pStyle w:val="30"/>
                    <w:spacing w:beforeLines="0" w:afterLines="0"/>
                    <w:ind w:firstLine="0" w:firstLineChars="0"/>
                    <w:rPr>
                      <w:rFonts w:hint="eastAsia" w:ascii="Times New Roman" w:hAnsi="Times New Roman" w:eastAsia="宋体" w:cs="Times New Roman"/>
                      <w:color w:val="auto"/>
                      <w:kern w:val="2"/>
                      <w:sz w:val="21"/>
                      <w:szCs w:val="21"/>
                      <w:lang w:val="en-US" w:eastAsia="zh-CN" w:bidi="ar-SA"/>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5C03AFC">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113129">
                  <w:pPr>
                    <w:pStyle w:val="30"/>
                    <w:spacing w:beforeLines="0" w:afterLine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0046A8E">
                  <w:pPr>
                    <w:pStyle w:val="30"/>
                    <w:spacing w:beforeLines="0" w:afterLine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0AB4BC">
                  <w:pPr>
                    <w:pStyle w:val="30"/>
                    <w:spacing w:beforeLines="0" w:afterLines="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2168" w:type="dxa"/>
                  <w:vMerge w:val="restart"/>
                  <w:tcBorders>
                    <w:left w:val="single" w:color="auto" w:sz="4" w:space="0"/>
                    <w:right w:val="nil"/>
                    <w:tl2br w:val="nil"/>
                    <w:tr2bl w:val="nil"/>
                  </w:tcBorders>
                  <w:noWrap w:val="0"/>
                  <w:vAlign w:val="center"/>
                </w:tcPr>
                <w:p w14:paraId="2159F1AA">
                  <w:pPr>
                    <w:pStyle w:val="30"/>
                    <w:spacing w:beforeLines="0" w:afterLine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《表面涂装(汽车制造及维修)挥发性有机物、镍排放标准》(DB43/1356-2017)</w:t>
                  </w:r>
                </w:p>
              </w:tc>
            </w:tr>
            <w:tr w14:paraId="56404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0A26C079">
                  <w:pPr>
                    <w:pStyle w:val="30"/>
                    <w:spacing w:beforeLines="0" w:afterLines="0"/>
                    <w:ind w:firstLine="0" w:firstLineChars="0"/>
                    <w:rPr>
                      <w:rFonts w:hint="eastAsia" w:ascii="Times New Roman" w:hAnsi="Times New Roman" w:eastAsia="宋体" w:cs="Times New Roman"/>
                      <w:color w:val="auto"/>
                      <w:kern w:val="2"/>
                      <w:sz w:val="21"/>
                      <w:szCs w:val="21"/>
                      <w:lang w:val="en-US" w:eastAsia="zh-CN" w:bidi="ar-SA"/>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AEF1BA6">
                  <w:pPr>
                    <w:pStyle w:val="30"/>
                    <w:spacing w:beforeLines="0" w:afterLine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甲苯</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55BB13">
                  <w:pPr>
                    <w:pStyle w:val="30"/>
                    <w:spacing w:beforeLines="0" w:afterLine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18677B7">
                  <w:pPr>
                    <w:pStyle w:val="30"/>
                    <w:spacing w:beforeLines="0" w:afterLine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3</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225E001">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w:t>
                  </w:r>
                </w:p>
              </w:tc>
              <w:tc>
                <w:tcPr>
                  <w:tcW w:w="2168" w:type="dxa"/>
                  <w:vMerge w:val="continue"/>
                  <w:tcBorders>
                    <w:left w:val="single" w:color="auto" w:sz="4" w:space="0"/>
                    <w:right w:val="nil"/>
                    <w:tl2br w:val="nil"/>
                    <w:tr2bl w:val="nil"/>
                  </w:tcBorders>
                  <w:noWrap w:val="0"/>
                  <w:vAlign w:val="center"/>
                </w:tcPr>
                <w:p w14:paraId="4A48A657">
                  <w:pPr>
                    <w:pStyle w:val="30"/>
                    <w:spacing w:beforeLines="0" w:afterLines="0"/>
                    <w:rPr>
                      <w:rFonts w:hint="eastAsia" w:ascii="Times New Roman" w:hAnsi="Times New Roman" w:cs="Times New Roman"/>
                      <w:color w:val="auto"/>
                      <w:sz w:val="21"/>
                      <w:szCs w:val="21"/>
                      <w:highlight w:val="none"/>
                      <w:lang w:val="en-US" w:eastAsia="zh-CN"/>
                    </w:rPr>
                  </w:pPr>
                </w:p>
              </w:tc>
            </w:tr>
            <w:tr w14:paraId="035E0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24B2EA00">
                  <w:pPr>
                    <w:pStyle w:val="30"/>
                    <w:spacing w:beforeLines="0" w:afterLines="0"/>
                    <w:ind w:firstLine="0" w:firstLineChars="0"/>
                    <w:rPr>
                      <w:rFonts w:hint="eastAsia" w:ascii="Times New Roman" w:hAnsi="Times New Roman" w:eastAsia="宋体" w:cs="Times New Roman"/>
                      <w:color w:val="auto"/>
                      <w:kern w:val="2"/>
                      <w:sz w:val="21"/>
                      <w:szCs w:val="21"/>
                      <w:lang w:val="en-US" w:eastAsia="zh-CN" w:bidi="ar-SA"/>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05246B2">
                  <w:pPr>
                    <w:pStyle w:val="30"/>
                    <w:spacing w:beforeLines="0" w:afterLines="0"/>
                    <w:ind w:firstLine="0" w:firstLineChars="0"/>
                    <w:rPr>
                      <w:rFonts w:hint="eastAsia" w:ascii="Times New Roman" w:hAnsi="Times New Roman" w:eastAsia="宋体" w:cs="Times New Roman"/>
                      <w:color w:val="auto"/>
                      <w:kern w:val="2"/>
                      <w:sz w:val="21"/>
                      <w:szCs w:val="21"/>
                      <w:highlight w:val="none"/>
                      <w:u w:val="single"/>
                      <w:lang w:val="en-US" w:eastAsia="zh-CN" w:bidi="ar-SA"/>
                    </w:rPr>
                  </w:pPr>
                  <w:r>
                    <w:rPr>
                      <w:rFonts w:hint="eastAsia" w:ascii="Times New Roman" w:hAnsi="Times New Roman" w:cs="Times New Roman"/>
                      <w:color w:val="auto"/>
                      <w:sz w:val="21"/>
                      <w:szCs w:val="21"/>
                      <w:highlight w:val="none"/>
                      <w:u w:val="single"/>
                      <w:lang w:val="en-US" w:eastAsia="zh-CN"/>
                    </w:rPr>
                    <w:t>二甲苯</w:t>
                  </w:r>
                </w:p>
              </w:tc>
              <w:tc>
                <w:tcPr>
                  <w:tcW w:w="986"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583CD7">
                  <w:pPr>
                    <w:pStyle w:val="30"/>
                    <w:spacing w:beforeLines="0" w:afterLines="0"/>
                    <w:ind w:firstLine="0" w:firstLineChars="0"/>
                    <w:rPr>
                      <w:rFonts w:hint="eastAsia" w:ascii="Times New Roman" w:hAnsi="Times New Roman" w:eastAsia="宋体" w:cs="Times New Roman"/>
                      <w:color w:val="auto"/>
                      <w:kern w:val="2"/>
                      <w:sz w:val="21"/>
                      <w:szCs w:val="21"/>
                      <w:highlight w:val="none"/>
                      <w:u w:val="single"/>
                      <w:lang w:val="en-US" w:eastAsia="zh-CN" w:bidi="ar-SA"/>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8055C18">
                  <w:pPr>
                    <w:pStyle w:val="30"/>
                    <w:spacing w:beforeLines="0" w:afterLines="0"/>
                    <w:ind w:firstLine="0" w:firstLineChars="0"/>
                    <w:rPr>
                      <w:rFonts w:hint="eastAsia" w:ascii="Times New Roman" w:hAnsi="Times New Roman" w:eastAsia="宋体" w:cs="Times New Roman"/>
                      <w:color w:val="auto"/>
                      <w:kern w:val="2"/>
                      <w:sz w:val="21"/>
                      <w:szCs w:val="21"/>
                      <w:highlight w:val="none"/>
                      <w:u w:val="single"/>
                      <w:lang w:val="en-US" w:eastAsia="zh-CN" w:bidi="ar-SA"/>
                    </w:rPr>
                  </w:pPr>
                  <w:r>
                    <w:rPr>
                      <w:rFonts w:hint="eastAsia" w:ascii="Times New Roman" w:hAnsi="Times New Roman" w:cs="Times New Roman"/>
                      <w:color w:val="auto"/>
                      <w:sz w:val="21"/>
                      <w:szCs w:val="21"/>
                      <w:highlight w:val="none"/>
                      <w:u w:val="single"/>
                      <w:lang w:val="en-US" w:eastAsia="zh-CN"/>
                    </w:rPr>
                    <w:t>17</w:t>
                  </w:r>
                </w:p>
              </w:tc>
              <w:tc>
                <w:tcPr>
                  <w:tcW w:w="123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872180D">
                  <w:pPr>
                    <w:pStyle w:val="30"/>
                    <w:spacing w:beforeLines="0" w:afterLines="0"/>
                    <w:ind w:firstLine="0" w:firstLineChars="0"/>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cs="Times New Roman"/>
                      <w:color w:val="auto"/>
                      <w:sz w:val="21"/>
                      <w:szCs w:val="21"/>
                      <w:highlight w:val="none"/>
                      <w:u w:val="single"/>
                      <w:lang w:val="en-US" w:eastAsia="zh-CN"/>
                    </w:rPr>
                    <w:t>/</w:t>
                  </w:r>
                </w:p>
              </w:tc>
              <w:tc>
                <w:tcPr>
                  <w:tcW w:w="2168" w:type="dxa"/>
                  <w:vMerge w:val="continue"/>
                  <w:tcBorders>
                    <w:left w:val="single" w:color="auto" w:sz="4" w:space="0"/>
                    <w:right w:val="nil"/>
                    <w:tl2br w:val="nil"/>
                    <w:tr2bl w:val="nil"/>
                  </w:tcBorders>
                  <w:noWrap w:val="0"/>
                  <w:vAlign w:val="center"/>
                </w:tcPr>
                <w:p w14:paraId="17D01497">
                  <w:pPr>
                    <w:pStyle w:val="30"/>
                    <w:spacing w:beforeLines="0" w:afterLines="0"/>
                    <w:rPr>
                      <w:rFonts w:hint="eastAsia" w:ascii="Times New Roman" w:hAnsi="Times New Roman" w:cs="Times New Roman"/>
                      <w:color w:val="auto"/>
                      <w:sz w:val="21"/>
                      <w:szCs w:val="21"/>
                      <w:highlight w:val="none"/>
                      <w:lang w:val="en-US" w:eastAsia="zh-CN"/>
                    </w:rPr>
                  </w:pPr>
                </w:p>
              </w:tc>
            </w:tr>
            <w:tr w14:paraId="5E0FE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bottom w:val="single" w:color="auto" w:sz="4" w:space="0"/>
                    <w:right w:val="single" w:color="auto" w:sz="4" w:space="0"/>
                    <w:tl2br w:val="nil"/>
                    <w:tr2bl w:val="nil"/>
                  </w:tcBorders>
                  <w:shd w:val="clear" w:color="auto" w:fill="auto"/>
                  <w:noWrap w:val="0"/>
                  <w:vAlign w:val="center"/>
                </w:tcPr>
                <w:p w14:paraId="1E94CF1D">
                  <w:pPr>
                    <w:pStyle w:val="30"/>
                    <w:spacing w:beforeLines="0" w:afterLines="0"/>
                    <w:ind w:firstLine="0" w:firstLineChars="0"/>
                    <w:rPr>
                      <w:rFonts w:hint="eastAsia" w:ascii="Times New Roman" w:hAnsi="Times New Roman" w:eastAsia="宋体"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D5340C">
                  <w:pPr>
                    <w:pStyle w:val="30"/>
                    <w:spacing w:beforeLines="0" w:afterLine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苯系物</w:t>
                  </w:r>
                </w:p>
              </w:tc>
              <w:tc>
                <w:tcPr>
                  <w:tcW w:w="986"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7C7854">
                  <w:pPr>
                    <w:pStyle w:val="30"/>
                    <w:spacing w:beforeLines="0" w:afterLines="0"/>
                    <w:ind w:firstLine="0" w:firstLineChars="0"/>
                    <w:rPr>
                      <w:rFonts w:hint="default" w:ascii="Times New Roman" w:hAnsi="Times New Roman" w:eastAsia="宋体" w:cs="Times New Roman"/>
                      <w:color w:val="auto"/>
                      <w:kern w:val="2"/>
                      <w:sz w:val="21"/>
                      <w:szCs w:val="21"/>
                      <w:highlight w:val="none"/>
                      <w:u w:val="single"/>
                      <w:lang w:val="en-US" w:eastAsia="zh-CN" w:bidi="ar-SA"/>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4E352BF">
                  <w:pPr>
                    <w:pStyle w:val="30"/>
                    <w:spacing w:beforeLines="0" w:afterLine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25</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9F404EC">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1.0</w:t>
                  </w:r>
                </w:p>
              </w:tc>
              <w:tc>
                <w:tcPr>
                  <w:tcW w:w="2168" w:type="dxa"/>
                  <w:vMerge w:val="continue"/>
                  <w:tcBorders>
                    <w:left w:val="single" w:color="auto" w:sz="4" w:space="0"/>
                    <w:bottom w:val="single" w:color="auto" w:sz="4" w:space="0"/>
                    <w:right w:val="nil"/>
                    <w:tl2br w:val="nil"/>
                    <w:tr2bl w:val="nil"/>
                  </w:tcBorders>
                  <w:noWrap w:val="0"/>
                  <w:vAlign w:val="center"/>
                </w:tcPr>
                <w:p w14:paraId="583BA0D4">
                  <w:pPr>
                    <w:pStyle w:val="30"/>
                    <w:spacing w:beforeLines="0" w:afterLines="0"/>
                    <w:rPr>
                      <w:rFonts w:hint="default" w:ascii="Times New Roman" w:hAnsi="Times New Roman" w:cs="Times New Roman"/>
                      <w:color w:val="FF0000"/>
                      <w:sz w:val="21"/>
                      <w:szCs w:val="21"/>
                      <w:highlight w:val="none"/>
                      <w:lang w:val="en-US" w:eastAsia="zh-CN"/>
                    </w:rPr>
                  </w:pPr>
                </w:p>
              </w:tc>
            </w:tr>
            <w:tr w14:paraId="02044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restart"/>
                  <w:tcBorders>
                    <w:left w:val="nil"/>
                    <w:right w:val="single" w:color="auto" w:sz="4" w:space="0"/>
                    <w:tl2br w:val="nil"/>
                    <w:tr2bl w:val="nil"/>
                  </w:tcBorders>
                  <w:shd w:val="clear" w:color="auto" w:fill="auto"/>
                  <w:noWrap w:val="0"/>
                  <w:vAlign w:val="center"/>
                </w:tcPr>
                <w:p w14:paraId="3EF45608">
                  <w:pPr>
                    <w:pStyle w:val="30"/>
                    <w:spacing w:beforeLines="0" w:afterLines="0"/>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无组织废气（厂界）</w:t>
                  </w: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DE17F6">
                  <w:pPr>
                    <w:pStyle w:val="30"/>
                    <w:spacing w:beforeLines="0" w:afterLines="0"/>
                    <w:ind w:firstLine="0" w:firstLineChars="0"/>
                    <w:rPr>
                      <w:rFonts w:hint="eastAsia" w:ascii="Times New Roman" w:hAnsi="Times New Roman" w:eastAsia="宋体" w:cs="Times New Roman"/>
                      <w:color w:val="auto"/>
                      <w:kern w:val="2"/>
                      <w:sz w:val="21"/>
                      <w:szCs w:val="21"/>
                      <w:u w:val="single"/>
                      <w:lang w:val="en-US" w:eastAsia="zh-CN" w:bidi="ar-SA"/>
                    </w:rPr>
                  </w:pPr>
                  <w:r>
                    <w:rPr>
                      <w:rFonts w:hint="eastAsia" w:ascii="Times New Roman" w:hAnsi="Times New Roman" w:cs="Times New Roman"/>
                      <w:color w:val="auto"/>
                      <w:sz w:val="21"/>
                      <w:szCs w:val="21"/>
                      <w:u w:val="single"/>
                      <w:lang w:val="en-US" w:eastAsia="zh-CN"/>
                    </w:rPr>
                    <w:t>颗粒物</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74A3C6">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2FD8A4">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9B59AD">
                  <w:pPr>
                    <w:pStyle w:val="30"/>
                    <w:spacing w:beforeLines="0" w:afterLines="0"/>
                    <w:ind w:firstLine="0" w:firstLineChars="0"/>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1.0</w:t>
                  </w:r>
                  <w:r>
                    <w:rPr>
                      <w:rFonts w:hint="eastAsia"/>
                      <w:u w:val="single"/>
                      <w:lang w:eastAsia="zh-CN"/>
                    </w:rPr>
                    <w:t>（</w:t>
                  </w:r>
                  <w:r>
                    <w:rPr>
                      <w:rFonts w:hint="eastAsia"/>
                      <w:u w:val="single"/>
                      <w:lang w:val="en-US" w:eastAsia="zh-CN"/>
                    </w:rPr>
                    <w:t>且肉眼不可见</w:t>
                  </w:r>
                  <w:r>
                    <w:rPr>
                      <w:rFonts w:hint="eastAsia"/>
                      <w:u w:val="single"/>
                      <w:lang w:eastAsia="zh-CN"/>
                    </w:rPr>
                    <w:t>）</w:t>
                  </w:r>
                </w:p>
              </w:tc>
              <w:tc>
                <w:tcPr>
                  <w:tcW w:w="2168" w:type="dxa"/>
                  <w:tcBorders>
                    <w:left w:val="single" w:color="auto" w:sz="4" w:space="0"/>
                    <w:bottom w:val="single" w:color="auto" w:sz="4" w:space="0"/>
                    <w:right w:val="nil"/>
                    <w:tl2br w:val="nil"/>
                    <w:tr2bl w:val="nil"/>
                  </w:tcBorders>
                  <w:noWrap w:val="0"/>
                  <w:vAlign w:val="center"/>
                </w:tcPr>
                <w:p w14:paraId="7510E027">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《大气污染物综合排放标准》（GB16297- 1996）表 2</w:t>
                  </w:r>
                </w:p>
              </w:tc>
            </w:tr>
            <w:tr w14:paraId="0C0C3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18968551">
                  <w:pPr>
                    <w:pStyle w:val="30"/>
                    <w:spacing w:beforeLines="0" w:afterLines="0"/>
                    <w:ind w:firstLine="0" w:firstLineChars="0"/>
                    <w:rPr>
                      <w:rFonts w:hint="eastAsia" w:ascii="Times New Roman" w:hAnsi="Times New Roman"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C9750A8">
                  <w:pPr>
                    <w:pStyle w:val="30"/>
                    <w:spacing w:beforeLines="0" w:afterLines="0"/>
                    <w:ind w:firstLine="0" w:firstLineChars="0"/>
                    <w:rPr>
                      <w:rFonts w:hint="eastAsia"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cs="Times New Roman"/>
                      <w:color w:val="auto"/>
                      <w:sz w:val="21"/>
                      <w:szCs w:val="21"/>
                      <w:highlight w:val="none"/>
                      <w:u w:val="single"/>
                      <w:lang w:val="en-US" w:eastAsia="zh-CN"/>
                    </w:rPr>
                    <w:t>非甲烷总烃</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E213A27">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AB5621E">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2CB062">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2.0</w:t>
                  </w:r>
                </w:p>
              </w:tc>
              <w:tc>
                <w:tcPr>
                  <w:tcW w:w="2168" w:type="dxa"/>
                  <w:vMerge w:val="restart"/>
                  <w:tcBorders>
                    <w:left w:val="single" w:color="auto" w:sz="4" w:space="0"/>
                    <w:right w:val="nil"/>
                    <w:tl2br w:val="nil"/>
                    <w:tr2bl w:val="nil"/>
                  </w:tcBorders>
                  <w:shd w:val="clear" w:color="auto" w:fill="auto"/>
                  <w:noWrap w:val="0"/>
                  <w:vAlign w:val="center"/>
                </w:tcPr>
                <w:p w14:paraId="3D8E83F3">
                  <w:pPr>
                    <w:pStyle w:val="30"/>
                    <w:spacing w:beforeLines="0" w:afterLines="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《表面涂装(汽车制造及维修)挥发性有机物、镍排放标准》(DB43/1356-2017)</w:t>
                  </w:r>
                </w:p>
              </w:tc>
            </w:tr>
            <w:tr w14:paraId="29F16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7B87B5D8">
                  <w:pPr>
                    <w:pStyle w:val="30"/>
                    <w:spacing w:beforeLines="0" w:afterLines="0"/>
                    <w:ind w:firstLine="0" w:firstLineChars="0"/>
                    <w:rPr>
                      <w:rFonts w:hint="eastAsia" w:ascii="Times New Roman" w:hAnsi="Times New Roman"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A8BEA6">
                  <w:pPr>
                    <w:pStyle w:val="30"/>
                    <w:spacing w:beforeLines="0" w:afterLines="0"/>
                    <w:ind w:firstLine="0" w:firstLineChars="0"/>
                    <w:rPr>
                      <w:rFonts w:hint="default" w:ascii="Times New Roman" w:hAnsi="Times New Roman" w:eastAsia="宋体" w:cs="Times New Roman"/>
                      <w:color w:val="auto"/>
                      <w:kern w:val="2"/>
                      <w:sz w:val="21"/>
                      <w:szCs w:val="21"/>
                      <w:highlight w:val="none"/>
                      <w:u w:val="single"/>
                      <w:lang w:val="en-US" w:eastAsia="zh-CN" w:bidi="ar-SA"/>
                    </w:rPr>
                  </w:pPr>
                  <w:r>
                    <w:rPr>
                      <w:rFonts w:hint="eastAsia" w:ascii="Times New Roman" w:hAnsi="Times New Roman" w:cs="Times New Roman"/>
                      <w:color w:val="auto"/>
                      <w:sz w:val="21"/>
                      <w:szCs w:val="21"/>
                      <w:highlight w:val="none"/>
                      <w:u w:val="single"/>
                      <w:lang w:val="en-US" w:eastAsia="zh-CN"/>
                    </w:rPr>
                    <w:t>苯系物</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20E2A6">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680F50">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A5FC966">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1.0</w:t>
                  </w:r>
                </w:p>
              </w:tc>
              <w:tc>
                <w:tcPr>
                  <w:tcW w:w="2168" w:type="dxa"/>
                  <w:vMerge w:val="continue"/>
                  <w:tcBorders>
                    <w:left w:val="single" w:color="auto" w:sz="4" w:space="0"/>
                    <w:bottom w:val="single" w:color="auto" w:sz="4" w:space="0"/>
                    <w:right w:val="nil"/>
                    <w:tl2br w:val="nil"/>
                    <w:tr2bl w:val="nil"/>
                  </w:tcBorders>
                  <w:noWrap w:val="0"/>
                  <w:vAlign w:val="center"/>
                </w:tcPr>
                <w:p w14:paraId="15693D21">
                  <w:pPr>
                    <w:pStyle w:val="30"/>
                    <w:spacing w:beforeLines="0" w:afterLines="0"/>
                    <w:rPr>
                      <w:rFonts w:hint="default" w:ascii="Times New Roman" w:hAnsi="Times New Roman" w:cs="Times New Roman"/>
                      <w:color w:val="auto"/>
                      <w:sz w:val="21"/>
                      <w:szCs w:val="21"/>
                      <w:highlight w:val="none"/>
                      <w:lang w:val="en-US" w:eastAsia="zh-CN"/>
                    </w:rPr>
                  </w:pPr>
                </w:p>
              </w:tc>
            </w:tr>
            <w:tr w14:paraId="690D9E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1126B115">
                  <w:pPr>
                    <w:pStyle w:val="30"/>
                    <w:spacing w:beforeLines="0" w:afterLines="0"/>
                    <w:ind w:firstLine="0" w:firstLineChars="0"/>
                    <w:rPr>
                      <w:rFonts w:hint="eastAsia" w:ascii="Times New Roman" w:hAnsi="Times New Roman"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3972847">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甲苯</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9465C2">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2ED64FC">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455F744">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2.4</w:t>
                  </w:r>
                </w:p>
              </w:tc>
              <w:tc>
                <w:tcPr>
                  <w:tcW w:w="2168" w:type="dxa"/>
                  <w:vMerge w:val="restart"/>
                  <w:tcBorders>
                    <w:left w:val="single" w:color="auto" w:sz="4" w:space="0"/>
                    <w:right w:val="nil"/>
                    <w:tl2br w:val="nil"/>
                    <w:tr2bl w:val="nil"/>
                  </w:tcBorders>
                  <w:noWrap w:val="0"/>
                  <w:vAlign w:val="center"/>
                </w:tcPr>
                <w:p w14:paraId="260B8B1A">
                  <w:pPr>
                    <w:pStyle w:val="30"/>
                    <w:spacing w:beforeLines="0" w:afterLine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甲苯、二甲苯无组织可执行</w:t>
                  </w:r>
                  <w:r>
                    <w:rPr>
                      <w:rFonts w:hint="default" w:ascii="Times New Roman" w:hAnsi="Times New Roman" w:cs="Times New Roman"/>
                      <w:color w:val="auto"/>
                      <w:sz w:val="21"/>
                      <w:szCs w:val="21"/>
                    </w:rPr>
                    <w:t>《大气污染物综合排放标准》（GB16297- 1996）表 2</w:t>
                  </w:r>
                </w:p>
              </w:tc>
            </w:tr>
            <w:tr w14:paraId="47068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right w:val="single" w:color="auto" w:sz="4" w:space="0"/>
                    <w:tl2br w:val="nil"/>
                    <w:tr2bl w:val="nil"/>
                  </w:tcBorders>
                  <w:shd w:val="clear" w:color="auto" w:fill="auto"/>
                  <w:noWrap w:val="0"/>
                  <w:vAlign w:val="center"/>
                </w:tcPr>
                <w:p w14:paraId="5B31F62D">
                  <w:pPr>
                    <w:pStyle w:val="30"/>
                    <w:spacing w:beforeLines="0" w:afterLines="0"/>
                    <w:ind w:firstLine="0" w:firstLineChars="0"/>
                    <w:rPr>
                      <w:rFonts w:hint="eastAsia" w:ascii="Times New Roman" w:hAnsi="Times New Roman"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2BCDEBB">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二甲苯</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F28883">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761EFF9">
                  <w:pPr>
                    <w:pStyle w:val="30"/>
                    <w:spacing w:beforeLines="0" w:afterLines="0"/>
                    <w:ind w:firstLine="0" w:firstLineChars="0"/>
                    <w:rPr>
                      <w:rFonts w:hint="eastAsia"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E2C7CD">
                  <w:pPr>
                    <w:pStyle w:val="30"/>
                    <w:spacing w:beforeLines="0" w:afterLines="0"/>
                    <w:ind w:firstLine="0" w:firstLineChars="0"/>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1.2</w:t>
                  </w:r>
                </w:p>
              </w:tc>
              <w:tc>
                <w:tcPr>
                  <w:tcW w:w="2168" w:type="dxa"/>
                  <w:vMerge w:val="continue"/>
                  <w:tcBorders>
                    <w:left w:val="single" w:color="auto" w:sz="4" w:space="0"/>
                    <w:bottom w:val="single" w:color="auto" w:sz="4" w:space="0"/>
                    <w:right w:val="nil"/>
                    <w:tl2br w:val="nil"/>
                    <w:tr2bl w:val="nil"/>
                  </w:tcBorders>
                  <w:noWrap w:val="0"/>
                  <w:vAlign w:val="center"/>
                </w:tcPr>
                <w:p w14:paraId="34F72AE1">
                  <w:pPr>
                    <w:pStyle w:val="30"/>
                    <w:spacing w:beforeLines="0" w:afterLines="0"/>
                    <w:rPr>
                      <w:rFonts w:hint="default" w:ascii="Times New Roman" w:hAnsi="Times New Roman" w:cs="Times New Roman"/>
                      <w:color w:val="auto"/>
                      <w:sz w:val="21"/>
                      <w:szCs w:val="21"/>
                      <w:highlight w:val="none"/>
                      <w:lang w:val="en-US" w:eastAsia="zh-CN"/>
                    </w:rPr>
                  </w:pPr>
                </w:p>
              </w:tc>
            </w:tr>
            <w:tr w14:paraId="618C6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1" w:hRule="atLeast"/>
                <w:jc w:val="center"/>
              </w:trPr>
              <w:tc>
                <w:tcPr>
                  <w:tcW w:w="1283" w:type="dxa"/>
                  <w:vMerge w:val="continue"/>
                  <w:tcBorders>
                    <w:left w:val="nil"/>
                    <w:bottom w:val="single" w:color="auto" w:sz="4" w:space="0"/>
                    <w:right w:val="single" w:color="auto" w:sz="4" w:space="0"/>
                    <w:tl2br w:val="nil"/>
                    <w:tr2bl w:val="nil"/>
                  </w:tcBorders>
                  <w:shd w:val="clear" w:color="auto" w:fill="auto"/>
                  <w:noWrap w:val="0"/>
                  <w:vAlign w:val="center"/>
                </w:tcPr>
                <w:p w14:paraId="0A79CFBE">
                  <w:pPr>
                    <w:pStyle w:val="30"/>
                    <w:spacing w:beforeLines="0" w:afterLines="0"/>
                    <w:ind w:firstLine="0" w:firstLineChars="0"/>
                    <w:rPr>
                      <w:rFonts w:hint="eastAsia" w:ascii="Times New Roman" w:hAnsi="Times New Roman" w:cs="Times New Roman"/>
                      <w:color w:val="auto"/>
                      <w:sz w:val="21"/>
                      <w:szCs w:val="21"/>
                      <w:lang w:val="en-US" w:eastAsia="zh-CN"/>
                    </w:rPr>
                  </w:pPr>
                </w:p>
              </w:tc>
              <w:tc>
                <w:tcPr>
                  <w:tcW w:w="122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1FC3E5C">
                  <w:pPr>
                    <w:pStyle w:val="30"/>
                    <w:spacing w:beforeLines="0" w:afterLines="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臭气浓度</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D9D7FF">
                  <w:pPr>
                    <w:pStyle w:val="30"/>
                    <w:spacing w:beforeLines="0" w:afterLines="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FA84B1">
                  <w:pPr>
                    <w:pStyle w:val="30"/>
                    <w:spacing w:beforeLines="0" w:afterLines="0"/>
                    <w:ind w:firstLine="0" w:firstLineChars="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2000（无量纲）</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E90E6C">
                  <w:pPr>
                    <w:pStyle w:val="30"/>
                    <w:spacing w:beforeLines="0" w:afterLines="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20（无量纲）</w:t>
                  </w:r>
                </w:p>
              </w:tc>
              <w:tc>
                <w:tcPr>
                  <w:tcW w:w="2168" w:type="dxa"/>
                  <w:tcBorders>
                    <w:left w:val="single" w:color="auto" w:sz="4" w:space="0"/>
                    <w:bottom w:val="single" w:color="auto" w:sz="4" w:space="0"/>
                    <w:right w:val="nil"/>
                    <w:tl2br w:val="nil"/>
                    <w:tr2bl w:val="nil"/>
                  </w:tcBorders>
                  <w:noWrap w:val="0"/>
                  <w:vAlign w:val="center"/>
                </w:tcPr>
                <w:p w14:paraId="01C12D8B">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《恶臭污染物排放标准》（GB14554-93）</w:t>
                  </w:r>
                </w:p>
              </w:tc>
            </w:tr>
            <w:tr w14:paraId="60F95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31" w:hRule="atLeast"/>
                <w:jc w:val="center"/>
              </w:trPr>
              <w:tc>
                <w:tcPr>
                  <w:tcW w:w="1283" w:type="dxa"/>
                  <w:vMerge w:val="restart"/>
                  <w:tcBorders>
                    <w:top w:val="single" w:color="auto" w:sz="4" w:space="0"/>
                    <w:left w:val="nil"/>
                    <w:right w:val="single" w:color="auto" w:sz="4" w:space="0"/>
                    <w:tl2br w:val="nil"/>
                    <w:tr2bl w:val="nil"/>
                  </w:tcBorders>
                  <w:noWrap w:val="0"/>
                  <w:vAlign w:val="center"/>
                </w:tcPr>
                <w:p w14:paraId="771D8AD4">
                  <w:pPr>
                    <w:pStyle w:val="30"/>
                    <w:spacing w:beforeLines="0" w:afterLine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调漆、喷漆、烤漆</w:t>
                  </w:r>
                </w:p>
              </w:tc>
              <w:tc>
                <w:tcPr>
                  <w:tcW w:w="1221" w:type="dxa"/>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2CC28AE8">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52DBFA">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19B95D4">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9A6168">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 h 平均浓度值）</w:t>
                  </w:r>
                </w:p>
              </w:tc>
              <w:tc>
                <w:tcPr>
                  <w:tcW w:w="2168" w:type="dxa"/>
                  <w:vMerge w:val="restart"/>
                  <w:tcBorders>
                    <w:top w:val="single" w:color="auto" w:sz="4" w:space="0"/>
                    <w:left w:val="single" w:color="auto" w:sz="4" w:space="0"/>
                    <w:bottom w:val="single" w:color="auto" w:sz="4" w:space="0"/>
                    <w:right w:val="nil"/>
                    <w:tl2br w:val="nil"/>
                    <w:tr2bl w:val="nil"/>
                  </w:tcBorders>
                  <w:noWrap w:val="0"/>
                  <w:vAlign w:val="center"/>
                </w:tcPr>
                <w:p w14:paraId="72D3EE97">
                  <w:pPr>
                    <w:pStyle w:val="30"/>
                    <w:spacing w:beforeLines="0" w:afterLine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《挥发性有机物无组织排放控制标准》（GB37822-2019）表A.1标准</w:t>
                  </w:r>
                </w:p>
              </w:tc>
            </w:tr>
            <w:tr w14:paraId="15CAC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283" w:type="dxa"/>
                  <w:vMerge w:val="continue"/>
                  <w:tcBorders>
                    <w:top w:val="single" w:color="auto" w:sz="4" w:space="0"/>
                    <w:left w:val="nil"/>
                    <w:bottom w:val="single" w:color="auto" w:sz="4" w:space="0"/>
                    <w:right w:val="single" w:color="auto" w:sz="4" w:space="0"/>
                    <w:tl2br w:val="nil"/>
                    <w:tr2bl w:val="nil"/>
                  </w:tcBorders>
                  <w:noWrap w:val="0"/>
                  <w:vAlign w:val="center"/>
                </w:tcPr>
                <w:p w14:paraId="637D46B7">
                  <w:pPr>
                    <w:pStyle w:val="30"/>
                    <w:spacing w:beforeLines="0" w:afterLines="0"/>
                    <w:rPr>
                      <w:rFonts w:hint="default" w:ascii="Times New Roman" w:hAnsi="Times New Roman" w:eastAsia="Times New Roman" w:cs="Times New Roman"/>
                      <w:color w:val="auto"/>
                      <w:sz w:val="21"/>
                      <w:szCs w:val="21"/>
                    </w:rPr>
                  </w:pPr>
                </w:p>
              </w:tc>
              <w:tc>
                <w:tcPr>
                  <w:tcW w:w="122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74029C1">
                  <w:pPr>
                    <w:pStyle w:val="30"/>
                    <w:spacing w:beforeLines="0" w:afterLines="0"/>
                    <w:rPr>
                      <w:rFonts w:hint="default" w:ascii="Times New Roman" w:hAnsi="Times New Roman" w:eastAsia="Times New Roman" w:cs="Times New Roman"/>
                      <w:color w:val="auto"/>
                      <w:sz w:val="21"/>
                      <w:szCs w:val="21"/>
                    </w:rPr>
                  </w:pPr>
                </w:p>
              </w:tc>
              <w:tc>
                <w:tcPr>
                  <w:tcW w:w="98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7CE8CC7">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10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C465B49">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12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A228F1">
                  <w:pPr>
                    <w:pStyle w:val="30"/>
                    <w:spacing w:beforeLines="0" w:afterLines="0"/>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30（任意一次浓度值）</w:t>
                  </w:r>
                </w:p>
              </w:tc>
              <w:tc>
                <w:tcPr>
                  <w:tcW w:w="2168" w:type="dxa"/>
                  <w:vMerge w:val="continue"/>
                  <w:tcBorders>
                    <w:top w:val="single" w:color="auto" w:sz="4" w:space="0"/>
                    <w:left w:val="single" w:color="auto" w:sz="4" w:space="0"/>
                    <w:bottom w:val="single" w:color="auto" w:sz="4" w:space="0"/>
                    <w:right w:val="nil"/>
                    <w:tl2br w:val="nil"/>
                    <w:tr2bl w:val="nil"/>
                  </w:tcBorders>
                  <w:noWrap w:val="0"/>
                  <w:vAlign w:val="center"/>
                </w:tcPr>
                <w:p w14:paraId="1B83F991">
                  <w:pPr>
                    <w:pStyle w:val="30"/>
                    <w:spacing w:beforeLines="0" w:afterLines="0"/>
                    <w:rPr>
                      <w:rFonts w:hint="default" w:ascii="Times New Roman" w:hAnsi="Times New Roman" w:eastAsia="Times New Roman" w:cs="Times New Roman"/>
                      <w:color w:val="auto"/>
                      <w:sz w:val="21"/>
                      <w:szCs w:val="21"/>
                    </w:rPr>
                  </w:pPr>
                </w:p>
              </w:tc>
            </w:tr>
            <w:tr w14:paraId="6BDDC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7974" w:type="dxa"/>
                  <w:gridSpan w:val="6"/>
                  <w:tcBorders>
                    <w:top w:val="single" w:color="auto" w:sz="4" w:space="0"/>
                    <w:left w:val="nil"/>
                    <w:bottom w:val="single" w:color="auto" w:sz="12" w:space="0"/>
                    <w:right w:val="nil"/>
                    <w:tl2br w:val="nil"/>
                    <w:tr2bl w:val="nil"/>
                  </w:tcBorders>
                  <w:noWrap w:val="0"/>
                  <w:vAlign w:val="top"/>
                </w:tcPr>
                <w:p w14:paraId="2E08B2FA">
                  <w:pPr>
                    <w:pStyle w:val="30"/>
                    <w:spacing w:beforeLines="0" w:afterLines="0"/>
                    <w:jc w:val="both"/>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备注：《挥发性有机物无组织排放控制标准》（GB37822-2019）表A.1标准监控点位设置要求为“对厂区内 VOCs 无组织排放进行监控时，在厂房门窗或通风口、其他开口（孔）等排放口外 1 m，距离地面 1.5 m 以上位置处进行监测。若厂房不完整（如有顶无围墙），则在操作工位下风向 1 m，距离地面 1.5 m 以上位置处进行监测。</w:t>
                  </w:r>
                </w:p>
              </w:tc>
            </w:tr>
          </w:tbl>
          <w:p w14:paraId="425685F3">
            <w:pPr>
              <w:pStyle w:val="29"/>
              <w:bidi w:val="0"/>
              <w:spacing w:line="240" w:lineRule="auto"/>
              <w:rPr>
                <w:rFonts w:hint="default" w:ascii="Times New Roman" w:hAnsi="Times New Roman" w:cs="Times New Roman"/>
                <w:b/>
                <w:bCs/>
                <w:color w:val="auto"/>
                <w:sz w:val="18"/>
                <w:szCs w:val="18"/>
                <w:highlight w:val="none"/>
                <w:u w:val="single"/>
                <w:lang w:val="en-US" w:eastAsia="zh-CN"/>
              </w:rPr>
            </w:pPr>
            <w:r>
              <w:rPr>
                <w:rFonts w:hint="eastAsia" w:ascii="Times New Roman" w:hAnsi="Times New Roman" w:cs="Times New Roman"/>
                <w:b/>
                <w:bCs/>
                <w:color w:val="auto"/>
                <w:sz w:val="18"/>
                <w:szCs w:val="18"/>
                <w:highlight w:val="none"/>
                <w:u w:val="single"/>
                <w:lang w:val="en-US" w:eastAsia="zh-CN"/>
              </w:rPr>
              <w:t>注：本项目建设单位提供的油漆组分显示不含甲苯，考虑可能二甲苯可能含有微量甲苯，因此对甲苯进行识别，但不进行影响分析。</w:t>
            </w:r>
          </w:p>
          <w:p w14:paraId="1896A3CD">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2、废水</w:t>
            </w:r>
          </w:p>
          <w:p w14:paraId="2B6FFD5D">
            <w:pPr>
              <w:pStyle w:val="29"/>
              <w:bidi w:val="0"/>
              <w:rPr>
                <w:rFonts w:hint="eastAsia" w:ascii="Times New Roman" w:hAnsi="Times New Roman" w:cs="Times New Roman"/>
                <w:color w:val="auto"/>
                <w:highlight w:val="yellow"/>
                <w:lang w:val="en-US" w:eastAsia="zh-CN"/>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生产</w:t>
            </w:r>
            <w:r>
              <w:rPr>
                <w:rFonts w:hint="default" w:ascii="Times New Roman" w:hAnsi="Times New Roman" w:cs="Times New Roman"/>
                <w:color w:val="auto"/>
                <w:highlight w:val="none"/>
              </w:rPr>
              <w:t>废水</w:t>
            </w:r>
            <w:r>
              <w:rPr>
                <w:rFonts w:hint="eastAsia" w:ascii="Times New Roman" w:hAnsi="Times New Roman" w:cs="Times New Roman"/>
                <w:color w:val="auto"/>
                <w:highlight w:val="none"/>
                <w:lang w:val="en-US" w:eastAsia="zh-CN"/>
              </w:rPr>
              <w:t>不外排</w:t>
            </w:r>
            <w:r>
              <w:rPr>
                <w:rFonts w:hint="default" w:ascii="Times New Roman" w:hAnsi="Times New Roman" w:cs="Times New Roman"/>
                <w:color w:val="auto"/>
                <w:highlight w:val="none"/>
              </w:rPr>
              <w:t>，生活污水经化粪池处理后</w:t>
            </w:r>
            <w:r>
              <w:rPr>
                <w:rFonts w:hint="eastAsia" w:ascii="Times New Roman" w:hAnsi="Times New Roman" w:cs="Times New Roman"/>
                <w:color w:val="auto"/>
                <w:highlight w:val="none"/>
                <w:lang w:val="en-US" w:eastAsia="zh-CN"/>
              </w:rPr>
              <w:t>进入铜桥港污水处理厂，处理达标后排入湘江。</w:t>
            </w:r>
          </w:p>
          <w:p w14:paraId="645B2E5F">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废水排放执行《污水综合排放标准》（GB8978-1996）表4 中三级标准（其中氨氮、总磷参照执行《污水排入城镇下水道水质标准》GB/T 31962-2015表1中B级排放限值要求）。</w:t>
            </w:r>
          </w:p>
          <w:p w14:paraId="70FC6444">
            <w:pPr>
              <w:pStyle w:val="29"/>
              <w:bidi w:val="0"/>
              <w:rPr>
                <w:rFonts w:hint="eastAsia" w:ascii="Times New Roman" w:hAnsi="Times New Roman" w:cs="Times New Roman"/>
                <w:color w:val="auto"/>
                <w:highlight w:val="yellow"/>
                <w:lang w:val="en-US" w:eastAsia="zh-CN"/>
              </w:rPr>
            </w:pPr>
            <w:r>
              <w:rPr>
                <w:rFonts w:hint="eastAsia" w:ascii="Times New Roman" w:hAnsi="Times New Roman" w:cs="Times New Roman"/>
                <w:color w:val="auto"/>
                <w:highlight w:val="none"/>
                <w:lang w:val="en-US" w:eastAsia="zh-CN"/>
              </w:rPr>
              <w:t>详情见表3-6。</w:t>
            </w:r>
          </w:p>
          <w:p w14:paraId="723FC202">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表3-6  废水排放标准</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2"/>
              <w:gridCol w:w="873"/>
              <w:gridCol w:w="873"/>
              <w:gridCol w:w="839"/>
              <w:gridCol w:w="889"/>
              <w:gridCol w:w="848"/>
              <w:gridCol w:w="890"/>
              <w:gridCol w:w="890"/>
            </w:tblGrid>
            <w:tr w14:paraId="7D495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tcBorders>
                    <w:tl2br w:val="nil"/>
                    <w:tr2bl w:val="nil"/>
                  </w:tcBorders>
                  <w:noWrap w:val="0"/>
                  <w:vAlign w:val="center"/>
                </w:tcPr>
                <w:p w14:paraId="537E0C01">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控制项目</w:t>
                  </w:r>
                </w:p>
              </w:tc>
              <w:tc>
                <w:tcPr>
                  <w:tcW w:w="873" w:type="dxa"/>
                  <w:tcBorders>
                    <w:tl2br w:val="nil"/>
                    <w:tr2bl w:val="nil"/>
                  </w:tcBorders>
                  <w:noWrap w:val="0"/>
                  <w:vAlign w:val="center"/>
                </w:tcPr>
                <w:p w14:paraId="28B7F03D">
                  <w:pPr>
                    <w:pStyle w:val="30"/>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pH</w:t>
                  </w:r>
                </w:p>
              </w:tc>
              <w:tc>
                <w:tcPr>
                  <w:tcW w:w="873" w:type="dxa"/>
                  <w:tcBorders>
                    <w:tl2br w:val="nil"/>
                    <w:tr2bl w:val="nil"/>
                  </w:tcBorders>
                  <w:noWrap w:val="0"/>
                  <w:vAlign w:val="center"/>
                </w:tcPr>
                <w:p w14:paraId="038E4738">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COD</w:t>
                  </w:r>
                </w:p>
              </w:tc>
              <w:tc>
                <w:tcPr>
                  <w:tcW w:w="839" w:type="dxa"/>
                  <w:tcBorders>
                    <w:tl2br w:val="nil"/>
                    <w:tr2bl w:val="nil"/>
                  </w:tcBorders>
                  <w:noWrap w:val="0"/>
                  <w:vAlign w:val="center"/>
                </w:tcPr>
                <w:p w14:paraId="50DD43D9">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BOD</w:t>
                  </w:r>
                  <w:r>
                    <w:rPr>
                      <w:rFonts w:hint="eastAsia" w:ascii="Times New Roman" w:hAnsi="Times New Roman" w:cs="Times New Roman"/>
                      <w:color w:val="auto"/>
                      <w:sz w:val="21"/>
                      <w:szCs w:val="21"/>
                      <w:highlight w:val="none"/>
                      <w:vertAlign w:val="subscript"/>
                      <w:lang w:val="en-US" w:eastAsia="zh-CN"/>
                    </w:rPr>
                    <w:t>5</w:t>
                  </w:r>
                </w:p>
              </w:tc>
              <w:tc>
                <w:tcPr>
                  <w:tcW w:w="889" w:type="dxa"/>
                  <w:tcBorders>
                    <w:tl2br w:val="nil"/>
                    <w:tr2bl w:val="nil"/>
                  </w:tcBorders>
                  <w:noWrap w:val="0"/>
                  <w:vAlign w:val="center"/>
                </w:tcPr>
                <w:p w14:paraId="55AE08E0">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NH</w:t>
                  </w:r>
                  <w:r>
                    <w:rPr>
                      <w:rFonts w:hint="eastAsia" w:ascii="Times New Roman" w:hAnsi="Times New Roman" w:cs="Times New Roman"/>
                      <w:color w:val="auto"/>
                      <w:sz w:val="21"/>
                      <w:szCs w:val="21"/>
                      <w:highlight w:val="none"/>
                      <w:vertAlign w:val="subscript"/>
                      <w:lang w:val="en-US" w:eastAsia="zh-CN"/>
                    </w:rPr>
                    <w:t>3</w:t>
                  </w:r>
                  <w:r>
                    <w:rPr>
                      <w:rFonts w:hint="eastAsia" w:ascii="Times New Roman" w:hAnsi="Times New Roman" w:cs="Times New Roman"/>
                      <w:color w:val="auto"/>
                      <w:sz w:val="21"/>
                      <w:szCs w:val="21"/>
                      <w:highlight w:val="none"/>
                      <w:lang w:val="en-US" w:eastAsia="zh-CN"/>
                    </w:rPr>
                    <w:t>-N</w:t>
                  </w:r>
                </w:p>
              </w:tc>
              <w:tc>
                <w:tcPr>
                  <w:tcW w:w="848" w:type="dxa"/>
                  <w:tcBorders>
                    <w:tl2br w:val="nil"/>
                    <w:tr2bl w:val="nil"/>
                  </w:tcBorders>
                  <w:noWrap w:val="0"/>
                  <w:vAlign w:val="center"/>
                </w:tcPr>
                <w:p w14:paraId="5482F6C7">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SS</w:t>
                  </w:r>
                </w:p>
              </w:tc>
              <w:tc>
                <w:tcPr>
                  <w:tcW w:w="890" w:type="dxa"/>
                  <w:tcBorders>
                    <w:tl2br w:val="nil"/>
                    <w:tr2bl w:val="nil"/>
                  </w:tcBorders>
                  <w:noWrap w:val="0"/>
                  <w:vAlign w:val="center"/>
                </w:tcPr>
                <w:p w14:paraId="6708D213">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动植物油</w:t>
                  </w:r>
                </w:p>
              </w:tc>
              <w:tc>
                <w:tcPr>
                  <w:tcW w:w="890" w:type="dxa"/>
                  <w:tcBorders>
                    <w:tl2br w:val="nil"/>
                    <w:tr2bl w:val="nil"/>
                  </w:tcBorders>
                  <w:noWrap w:val="0"/>
                  <w:vAlign w:val="center"/>
                </w:tcPr>
                <w:p w14:paraId="0855E8C7">
                  <w:pPr>
                    <w:pStyle w:val="30"/>
                    <w:bidi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总磷</w:t>
                  </w:r>
                </w:p>
              </w:tc>
            </w:tr>
            <w:tr w14:paraId="713FF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tcBorders>
                    <w:tl2br w:val="nil"/>
                    <w:tr2bl w:val="nil"/>
                  </w:tcBorders>
                  <w:noWrap w:val="0"/>
                  <w:vAlign w:val="center"/>
                </w:tcPr>
                <w:p w14:paraId="7C136FF2">
                  <w:pPr>
                    <w:pStyle w:val="3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污水综合排放标准GB8978-1996</w:t>
                  </w:r>
                </w:p>
              </w:tc>
              <w:tc>
                <w:tcPr>
                  <w:tcW w:w="873" w:type="dxa"/>
                  <w:tcBorders>
                    <w:tl2br w:val="nil"/>
                    <w:tr2bl w:val="nil"/>
                  </w:tcBorders>
                  <w:noWrap w:val="0"/>
                  <w:vAlign w:val="center"/>
                </w:tcPr>
                <w:p w14:paraId="707968D4">
                  <w:pPr>
                    <w:pStyle w:val="30"/>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6~9</w:t>
                  </w:r>
                </w:p>
              </w:tc>
              <w:tc>
                <w:tcPr>
                  <w:tcW w:w="873" w:type="dxa"/>
                  <w:tcBorders>
                    <w:tl2br w:val="nil"/>
                    <w:tr2bl w:val="nil"/>
                  </w:tcBorders>
                  <w:noWrap w:val="0"/>
                  <w:vAlign w:val="center"/>
                </w:tcPr>
                <w:p w14:paraId="677DFFEA">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w:t>
                  </w:r>
                </w:p>
              </w:tc>
              <w:tc>
                <w:tcPr>
                  <w:tcW w:w="839" w:type="dxa"/>
                  <w:tcBorders>
                    <w:tl2br w:val="nil"/>
                    <w:tr2bl w:val="nil"/>
                  </w:tcBorders>
                  <w:noWrap w:val="0"/>
                  <w:vAlign w:val="center"/>
                </w:tcPr>
                <w:p w14:paraId="09BB35B6">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300</w:t>
                  </w:r>
                </w:p>
              </w:tc>
              <w:tc>
                <w:tcPr>
                  <w:tcW w:w="889" w:type="dxa"/>
                  <w:tcBorders>
                    <w:tl2br w:val="nil"/>
                    <w:tr2bl w:val="nil"/>
                  </w:tcBorders>
                  <w:noWrap w:val="0"/>
                  <w:vAlign w:val="center"/>
                </w:tcPr>
                <w:p w14:paraId="3D32E534">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48" w:type="dxa"/>
                  <w:tcBorders>
                    <w:tl2br w:val="nil"/>
                    <w:tr2bl w:val="nil"/>
                  </w:tcBorders>
                  <w:noWrap w:val="0"/>
                  <w:vAlign w:val="center"/>
                </w:tcPr>
                <w:p w14:paraId="4F4FD4B8">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400</w:t>
                  </w:r>
                </w:p>
              </w:tc>
              <w:tc>
                <w:tcPr>
                  <w:tcW w:w="890" w:type="dxa"/>
                  <w:tcBorders>
                    <w:tl2br w:val="nil"/>
                    <w:tr2bl w:val="nil"/>
                  </w:tcBorders>
                  <w:noWrap w:val="0"/>
                  <w:vAlign w:val="center"/>
                </w:tcPr>
                <w:p w14:paraId="08E29C78">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890" w:type="dxa"/>
                  <w:tcBorders>
                    <w:tl2br w:val="nil"/>
                    <w:tr2bl w:val="nil"/>
                  </w:tcBorders>
                  <w:noWrap w:val="0"/>
                  <w:vAlign w:val="center"/>
                </w:tcPr>
                <w:p w14:paraId="2DA07748">
                  <w:pPr>
                    <w:pStyle w:val="30"/>
                    <w:bidi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14:paraId="547D4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tcBorders>
                    <w:tl2br w:val="nil"/>
                    <w:tr2bl w:val="nil"/>
                  </w:tcBorders>
                  <w:noWrap w:val="0"/>
                  <w:vAlign w:val="center"/>
                </w:tcPr>
                <w:p w14:paraId="68272C1D">
                  <w:pPr>
                    <w:pStyle w:val="3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污水排入城镇下水道水质标准GB/T 31962-2015</w:t>
                  </w:r>
                </w:p>
              </w:tc>
              <w:tc>
                <w:tcPr>
                  <w:tcW w:w="873" w:type="dxa"/>
                  <w:tcBorders>
                    <w:tl2br w:val="nil"/>
                    <w:tr2bl w:val="nil"/>
                  </w:tcBorders>
                  <w:shd w:val="clear" w:color="auto" w:fill="auto"/>
                  <w:noWrap w:val="0"/>
                  <w:vAlign w:val="center"/>
                </w:tcPr>
                <w:p w14:paraId="5068D1CD">
                  <w:pPr>
                    <w:pStyle w:val="30"/>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6.5-9.5</w:t>
                  </w:r>
                </w:p>
              </w:tc>
              <w:tc>
                <w:tcPr>
                  <w:tcW w:w="873" w:type="dxa"/>
                  <w:tcBorders>
                    <w:tl2br w:val="nil"/>
                    <w:tr2bl w:val="nil"/>
                  </w:tcBorders>
                  <w:noWrap w:val="0"/>
                  <w:vAlign w:val="center"/>
                </w:tcPr>
                <w:p w14:paraId="1A4B47CD">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39" w:type="dxa"/>
                  <w:tcBorders>
                    <w:tl2br w:val="nil"/>
                    <w:tr2bl w:val="nil"/>
                  </w:tcBorders>
                  <w:noWrap w:val="0"/>
                  <w:vAlign w:val="center"/>
                </w:tcPr>
                <w:p w14:paraId="0141C4CF">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89" w:type="dxa"/>
                  <w:tcBorders>
                    <w:tl2br w:val="nil"/>
                    <w:tr2bl w:val="nil"/>
                  </w:tcBorders>
                  <w:noWrap w:val="0"/>
                  <w:vAlign w:val="center"/>
                </w:tcPr>
                <w:p w14:paraId="1ACC9CAF">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45</w:t>
                  </w:r>
                </w:p>
              </w:tc>
              <w:tc>
                <w:tcPr>
                  <w:tcW w:w="848" w:type="dxa"/>
                  <w:tcBorders>
                    <w:tl2br w:val="nil"/>
                    <w:tr2bl w:val="nil"/>
                  </w:tcBorders>
                  <w:noWrap w:val="0"/>
                  <w:vAlign w:val="center"/>
                </w:tcPr>
                <w:p w14:paraId="17EC430F">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90" w:type="dxa"/>
                  <w:tcBorders>
                    <w:tl2br w:val="nil"/>
                    <w:tr2bl w:val="nil"/>
                  </w:tcBorders>
                  <w:noWrap w:val="0"/>
                  <w:vAlign w:val="center"/>
                </w:tcPr>
                <w:p w14:paraId="5847F17C">
                  <w:pPr>
                    <w:pStyle w:val="3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90" w:type="dxa"/>
                  <w:tcBorders>
                    <w:tl2br w:val="nil"/>
                    <w:tr2bl w:val="nil"/>
                  </w:tcBorders>
                  <w:noWrap w:val="0"/>
                  <w:vAlign w:val="center"/>
                </w:tcPr>
                <w:p w14:paraId="1816EC85">
                  <w:pPr>
                    <w:pStyle w:val="30"/>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r>
            <w:tr w14:paraId="50B1C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tcBorders>
                    <w:tl2br w:val="nil"/>
                    <w:tr2bl w:val="nil"/>
                  </w:tcBorders>
                  <w:noWrap w:val="0"/>
                  <w:vAlign w:val="center"/>
                </w:tcPr>
                <w:p w14:paraId="4755FFE8">
                  <w:pPr>
                    <w:pStyle w:val="3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取值</w:t>
                  </w:r>
                </w:p>
              </w:tc>
              <w:tc>
                <w:tcPr>
                  <w:tcW w:w="873" w:type="dxa"/>
                  <w:tcBorders>
                    <w:tl2br w:val="nil"/>
                    <w:tr2bl w:val="nil"/>
                  </w:tcBorders>
                  <w:shd w:val="clear" w:color="auto" w:fill="auto"/>
                  <w:noWrap w:val="0"/>
                  <w:vAlign w:val="center"/>
                </w:tcPr>
                <w:p w14:paraId="38926879">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6.5-9</w:t>
                  </w:r>
                </w:p>
              </w:tc>
              <w:tc>
                <w:tcPr>
                  <w:tcW w:w="873" w:type="dxa"/>
                  <w:tcBorders>
                    <w:tl2br w:val="nil"/>
                    <w:tr2bl w:val="nil"/>
                  </w:tcBorders>
                  <w:shd w:val="clear" w:color="auto" w:fill="auto"/>
                  <w:noWrap w:val="0"/>
                  <w:vAlign w:val="center"/>
                </w:tcPr>
                <w:p w14:paraId="61807B71">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500</w:t>
                  </w:r>
                </w:p>
              </w:tc>
              <w:tc>
                <w:tcPr>
                  <w:tcW w:w="839" w:type="dxa"/>
                  <w:tcBorders>
                    <w:tl2br w:val="nil"/>
                    <w:tr2bl w:val="nil"/>
                  </w:tcBorders>
                  <w:shd w:val="clear" w:color="auto" w:fill="auto"/>
                  <w:noWrap w:val="0"/>
                  <w:vAlign w:val="center"/>
                </w:tcPr>
                <w:p w14:paraId="23FBA841">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300</w:t>
                  </w:r>
                </w:p>
              </w:tc>
              <w:tc>
                <w:tcPr>
                  <w:tcW w:w="889" w:type="dxa"/>
                  <w:tcBorders>
                    <w:tl2br w:val="nil"/>
                    <w:tr2bl w:val="nil"/>
                  </w:tcBorders>
                  <w:shd w:val="clear" w:color="auto" w:fill="auto"/>
                  <w:noWrap w:val="0"/>
                  <w:vAlign w:val="center"/>
                </w:tcPr>
                <w:p w14:paraId="59D13E72">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45</w:t>
                  </w:r>
                </w:p>
              </w:tc>
              <w:tc>
                <w:tcPr>
                  <w:tcW w:w="848" w:type="dxa"/>
                  <w:tcBorders>
                    <w:tl2br w:val="nil"/>
                    <w:tr2bl w:val="nil"/>
                  </w:tcBorders>
                  <w:shd w:val="clear" w:color="auto" w:fill="auto"/>
                  <w:noWrap w:val="0"/>
                  <w:vAlign w:val="center"/>
                </w:tcPr>
                <w:p w14:paraId="4A2F5D9A">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400</w:t>
                  </w:r>
                </w:p>
              </w:tc>
              <w:tc>
                <w:tcPr>
                  <w:tcW w:w="890" w:type="dxa"/>
                  <w:tcBorders>
                    <w:tl2br w:val="nil"/>
                    <w:tr2bl w:val="nil"/>
                  </w:tcBorders>
                  <w:shd w:val="clear" w:color="auto" w:fill="auto"/>
                  <w:noWrap w:val="0"/>
                  <w:vAlign w:val="center"/>
                </w:tcPr>
                <w:p w14:paraId="3BE21E79">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100</w:t>
                  </w:r>
                </w:p>
              </w:tc>
              <w:tc>
                <w:tcPr>
                  <w:tcW w:w="890" w:type="dxa"/>
                  <w:tcBorders>
                    <w:tl2br w:val="nil"/>
                    <w:tr2bl w:val="nil"/>
                  </w:tcBorders>
                  <w:shd w:val="clear" w:color="auto" w:fill="auto"/>
                  <w:noWrap w:val="0"/>
                  <w:vAlign w:val="center"/>
                </w:tcPr>
                <w:p w14:paraId="283FAB69">
                  <w:pPr>
                    <w:pStyle w:val="30"/>
                    <w:bidi w:val="0"/>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w:t>
                  </w:r>
                </w:p>
              </w:tc>
            </w:tr>
          </w:tbl>
          <w:p w14:paraId="1CB1778E">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3、噪声</w:t>
            </w:r>
          </w:p>
          <w:p w14:paraId="5CF1016E">
            <w:pPr>
              <w:pStyle w:val="29"/>
              <w:bidi w:val="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施工期噪声执行《建筑施工场界环境噪声排放标准》（GB12523-20</w:t>
            </w:r>
            <w:r>
              <w:rPr>
                <w:rFonts w:hint="eastAsia" w:ascii="Times New Roman" w:hAnsi="Times New Roman" w:cs="Times New Roman"/>
                <w:color w:val="auto"/>
                <w:highlight w:val="none"/>
                <w:lang w:val="en-US" w:eastAsia="zh-CN"/>
              </w:rPr>
              <w:t>25</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表1标准</w:t>
            </w:r>
            <w:r>
              <w:rPr>
                <w:rFonts w:hint="default" w:ascii="Times New Roman" w:hAnsi="Times New Roman" w:cs="Times New Roman"/>
                <w:color w:val="auto"/>
                <w:highlight w:val="none"/>
              </w:rPr>
              <w:t>，运营期厂界噪声执行《工业企业厂界环境噪声排放标准》（GB12348-2008）</w:t>
            </w:r>
            <w:r>
              <w:rPr>
                <w:rFonts w:hint="eastAsia" w:ascii="Times New Roman" w:hAnsi="Times New Roman" w:cs="Times New Roman"/>
                <w:color w:val="auto"/>
                <w:highlight w:val="none"/>
                <w:lang w:val="en-US" w:eastAsia="zh-CN"/>
              </w:rPr>
              <w:t>表1</w:t>
            </w:r>
            <w:r>
              <w:rPr>
                <w:rFonts w:hint="default" w:ascii="Times New Roman" w:hAnsi="Times New Roman" w:cs="Times New Roman"/>
                <w:color w:val="auto"/>
                <w:highlight w:val="none"/>
              </w:rPr>
              <w:t>中的3类标准</w:t>
            </w:r>
            <w:r>
              <w:rPr>
                <w:rFonts w:hint="eastAsia" w:ascii="Times New Roman" w:hAnsi="Times New Roman" w:cs="Times New Roman"/>
                <w:color w:val="auto"/>
                <w:highlight w:val="none"/>
                <w:lang w:val="en-US" w:eastAsia="zh-CN"/>
              </w:rPr>
              <w:t>。</w:t>
            </w:r>
          </w:p>
          <w:p w14:paraId="4D21CBE2">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详情见表3-7。</w:t>
            </w:r>
          </w:p>
          <w:p w14:paraId="25EDD728">
            <w:pPr>
              <w:pStyle w:val="31"/>
              <w:bidi w:val="0"/>
              <w:rPr>
                <w:rFonts w:hint="default" w:ascii="Times New Roman" w:hAnsi="Times New Roman" w:cs="Times New Roman"/>
                <w:color w:val="auto"/>
                <w:highlight w:val="yellow"/>
                <w:lang w:val="en-US" w:eastAsia="zh-CN"/>
              </w:rPr>
            </w:pPr>
            <w:r>
              <w:rPr>
                <w:rFonts w:hint="default" w:ascii="Times New Roman" w:hAnsi="Times New Roman" w:cs="Times New Roman"/>
                <w:color w:val="auto"/>
                <w:lang w:val="en-US" w:eastAsia="zh-CN"/>
              </w:rPr>
              <w:t>表3-7  噪声排放标准</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292"/>
              <w:gridCol w:w="5330"/>
            </w:tblGrid>
            <w:tr w14:paraId="0E6DE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41" w:type="dxa"/>
                  <w:gridSpan w:val="2"/>
                  <w:tcBorders>
                    <w:tl2br w:val="nil"/>
                    <w:tr2bl w:val="nil"/>
                  </w:tcBorders>
                  <w:noWrap w:val="0"/>
                  <w:vAlign w:val="center"/>
                </w:tcPr>
                <w:p w14:paraId="04D4457D">
                  <w:pPr>
                    <w:pStyle w:val="30"/>
                    <w:bidi w:val="0"/>
                    <w:jc w:val="center"/>
                    <w:rPr>
                      <w:rFonts w:hint="default" w:ascii="Times New Roman" w:hAnsi="Times New Roman" w:cs="Times New Roman"/>
                      <w:b/>
                      <w:bCs/>
                      <w:color w:val="auto"/>
                    </w:rPr>
                  </w:pPr>
                  <w:r>
                    <w:rPr>
                      <w:rFonts w:hint="default" w:ascii="Times New Roman" w:hAnsi="Times New Roman" w:cs="Times New Roman"/>
                      <w:b/>
                      <w:bCs/>
                      <w:color w:val="auto"/>
                    </w:rPr>
                    <w:t>标准值</w:t>
                  </w:r>
                  <w:r>
                    <w:rPr>
                      <w:rFonts w:hint="eastAsia" w:ascii="Times New Roman" w:hAnsi="Times New Roman" w:cs="Times New Roman"/>
                      <w:b/>
                      <w:bCs/>
                      <w:color w:val="auto"/>
                      <w:lang w:val="en-US" w:eastAsia="zh-CN"/>
                    </w:rPr>
                    <w:t xml:space="preserve"> dB（A）</w:t>
                  </w:r>
                </w:p>
              </w:tc>
              <w:tc>
                <w:tcPr>
                  <w:tcW w:w="5330" w:type="dxa"/>
                  <w:vMerge w:val="restart"/>
                  <w:tcBorders>
                    <w:tl2br w:val="nil"/>
                    <w:tr2bl w:val="nil"/>
                  </w:tcBorders>
                  <w:noWrap w:val="0"/>
                  <w:vAlign w:val="center"/>
                </w:tcPr>
                <w:p w14:paraId="2FFE3F26">
                  <w:pPr>
                    <w:pStyle w:val="30"/>
                    <w:bidi w:val="0"/>
                    <w:jc w:val="center"/>
                    <w:rPr>
                      <w:rFonts w:hint="default" w:ascii="Times New Roman" w:hAnsi="Times New Roman" w:cs="Times New Roman"/>
                      <w:b/>
                      <w:bCs/>
                      <w:color w:val="auto"/>
                    </w:rPr>
                  </w:pPr>
                  <w:r>
                    <w:rPr>
                      <w:rFonts w:hint="default" w:ascii="Times New Roman" w:hAnsi="Times New Roman" w:cs="Times New Roman"/>
                      <w:b/>
                      <w:bCs/>
                      <w:color w:val="auto"/>
                    </w:rPr>
                    <w:t>标准来源</w:t>
                  </w:r>
                </w:p>
              </w:tc>
            </w:tr>
            <w:tr w14:paraId="47DA0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dxa"/>
                  <w:tcBorders>
                    <w:tl2br w:val="nil"/>
                    <w:tr2bl w:val="nil"/>
                  </w:tcBorders>
                  <w:noWrap w:val="0"/>
                  <w:vAlign w:val="center"/>
                </w:tcPr>
                <w:p w14:paraId="72F7E132">
                  <w:pPr>
                    <w:pStyle w:val="30"/>
                    <w:bidi w:val="0"/>
                    <w:jc w:val="center"/>
                    <w:rPr>
                      <w:rFonts w:hint="default" w:ascii="Times New Roman" w:hAnsi="Times New Roman" w:cs="Times New Roman"/>
                      <w:b/>
                      <w:bCs/>
                      <w:color w:val="auto"/>
                    </w:rPr>
                  </w:pPr>
                  <w:r>
                    <w:rPr>
                      <w:rFonts w:hint="default" w:ascii="Times New Roman" w:hAnsi="Times New Roman" w:cs="Times New Roman"/>
                      <w:b/>
                      <w:bCs/>
                      <w:color w:val="auto"/>
                    </w:rPr>
                    <w:t>昼间</w:t>
                  </w:r>
                </w:p>
              </w:tc>
              <w:tc>
                <w:tcPr>
                  <w:tcW w:w="1292" w:type="dxa"/>
                  <w:tcBorders>
                    <w:tl2br w:val="nil"/>
                    <w:tr2bl w:val="nil"/>
                  </w:tcBorders>
                  <w:noWrap w:val="0"/>
                  <w:vAlign w:val="center"/>
                </w:tcPr>
                <w:p w14:paraId="54574420">
                  <w:pPr>
                    <w:pStyle w:val="30"/>
                    <w:bidi w:val="0"/>
                    <w:jc w:val="center"/>
                    <w:rPr>
                      <w:rFonts w:hint="default" w:ascii="Times New Roman" w:hAnsi="Times New Roman" w:cs="Times New Roman"/>
                      <w:b/>
                      <w:bCs/>
                      <w:color w:val="auto"/>
                    </w:rPr>
                  </w:pPr>
                  <w:r>
                    <w:rPr>
                      <w:rFonts w:hint="default" w:ascii="Times New Roman" w:hAnsi="Times New Roman" w:cs="Times New Roman"/>
                      <w:b/>
                      <w:bCs/>
                      <w:color w:val="auto"/>
                    </w:rPr>
                    <w:t>夜间</w:t>
                  </w:r>
                </w:p>
              </w:tc>
              <w:tc>
                <w:tcPr>
                  <w:tcW w:w="5330" w:type="dxa"/>
                  <w:vMerge w:val="continue"/>
                  <w:tcBorders>
                    <w:tl2br w:val="nil"/>
                    <w:tr2bl w:val="nil"/>
                  </w:tcBorders>
                  <w:noWrap w:val="0"/>
                  <w:vAlign w:val="center"/>
                </w:tcPr>
                <w:p w14:paraId="197B47E4">
                  <w:pPr>
                    <w:pStyle w:val="30"/>
                    <w:bidi w:val="0"/>
                    <w:jc w:val="center"/>
                    <w:rPr>
                      <w:rFonts w:hint="default" w:ascii="Times New Roman" w:hAnsi="Times New Roman" w:cs="Times New Roman"/>
                      <w:b/>
                      <w:bCs/>
                      <w:color w:val="auto"/>
                    </w:rPr>
                  </w:pPr>
                </w:p>
              </w:tc>
            </w:tr>
            <w:tr w14:paraId="3514D0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dxa"/>
                  <w:tcBorders>
                    <w:tl2br w:val="nil"/>
                    <w:tr2bl w:val="nil"/>
                  </w:tcBorders>
                  <w:noWrap w:val="0"/>
                  <w:vAlign w:val="center"/>
                </w:tcPr>
                <w:p w14:paraId="329E4B9D">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70</w:t>
                  </w:r>
                </w:p>
              </w:tc>
              <w:tc>
                <w:tcPr>
                  <w:tcW w:w="1292" w:type="dxa"/>
                  <w:tcBorders>
                    <w:tl2br w:val="nil"/>
                    <w:tr2bl w:val="nil"/>
                  </w:tcBorders>
                  <w:noWrap w:val="0"/>
                  <w:vAlign w:val="center"/>
                </w:tcPr>
                <w:p w14:paraId="0931B62F">
                  <w:pPr>
                    <w:pStyle w:val="30"/>
                    <w:bidi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55</w:t>
                  </w:r>
                </w:p>
              </w:tc>
              <w:tc>
                <w:tcPr>
                  <w:tcW w:w="5330" w:type="dxa"/>
                  <w:tcBorders>
                    <w:tl2br w:val="nil"/>
                    <w:tr2bl w:val="nil"/>
                  </w:tcBorders>
                  <w:noWrap w:val="0"/>
                  <w:vAlign w:val="center"/>
                </w:tcPr>
                <w:p w14:paraId="2CECD108">
                  <w:pPr>
                    <w:pStyle w:val="30"/>
                    <w:bidi w:val="0"/>
                    <w:jc w:val="center"/>
                    <w:rPr>
                      <w:rFonts w:hint="default" w:ascii="Times New Roman" w:hAnsi="Times New Roman" w:cs="Times New Roman"/>
                      <w:color w:val="auto"/>
                    </w:rPr>
                  </w:pPr>
                  <w:r>
                    <w:rPr>
                      <w:rFonts w:hint="default" w:ascii="Times New Roman" w:hAnsi="Times New Roman" w:cs="Times New Roman"/>
                      <w:color w:val="auto"/>
                    </w:rPr>
                    <w:t>《建筑施工场界环境噪声排放标准》（GB12523-20</w:t>
                  </w:r>
                  <w:r>
                    <w:rPr>
                      <w:rFonts w:hint="eastAsia" w:ascii="Times New Roman" w:hAnsi="Times New Roman" w:cs="Times New Roman"/>
                      <w:color w:val="auto"/>
                      <w:lang w:val="en-US" w:eastAsia="zh-CN"/>
                    </w:rPr>
                    <w:t>25</w:t>
                  </w:r>
                  <w:r>
                    <w:rPr>
                      <w:rFonts w:hint="default" w:ascii="Times New Roman" w:hAnsi="Times New Roman" w:cs="Times New Roman"/>
                      <w:color w:val="auto"/>
                    </w:rPr>
                    <w:t>）表1</w:t>
                  </w:r>
                </w:p>
              </w:tc>
            </w:tr>
            <w:tr w14:paraId="6E14C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dxa"/>
                  <w:tcBorders>
                    <w:tl2br w:val="nil"/>
                    <w:tr2bl w:val="nil"/>
                  </w:tcBorders>
                  <w:noWrap w:val="0"/>
                  <w:vAlign w:val="center"/>
                </w:tcPr>
                <w:p w14:paraId="7F0BBE44">
                  <w:pPr>
                    <w:pStyle w:val="30"/>
                    <w:bidi w:val="0"/>
                    <w:jc w:val="center"/>
                    <w:rPr>
                      <w:rFonts w:hint="default" w:ascii="Times New Roman" w:hAnsi="Times New Roman" w:cs="Times New Roman"/>
                      <w:color w:val="auto"/>
                    </w:rPr>
                  </w:pPr>
                  <w:r>
                    <w:rPr>
                      <w:rFonts w:hint="default" w:ascii="Times New Roman" w:hAnsi="Times New Roman" w:cs="Times New Roman"/>
                      <w:color w:val="auto"/>
                    </w:rPr>
                    <w:t>65</w:t>
                  </w:r>
                </w:p>
              </w:tc>
              <w:tc>
                <w:tcPr>
                  <w:tcW w:w="1292" w:type="dxa"/>
                  <w:tcBorders>
                    <w:tl2br w:val="nil"/>
                    <w:tr2bl w:val="nil"/>
                  </w:tcBorders>
                  <w:noWrap w:val="0"/>
                  <w:vAlign w:val="center"/>
                </w:tcPr>
                <w:p w14:paraId="1E98382B">
                  <w:pPr>
                    <w:pStyle w:val="30"/>
                    <w:bidi w:val="0"/>
                    <w:jc w:val="center"/>
                    <w:rPr>
                      <w:rFonts w:hint="default" w:ascii="Times New Roman" w:hAnsi="Times New Roman" w:cs="Times New Roman"/>
                      <w:color w:val="auto"/>
                    </w:rPr>
                  </w:pPr>
                  <w:r>
                    <w:rPr>
                      <w:rFonts w:hint="default" w:ascii="Times New Roman" w:hAnsi="Times New Roman" w:cs="Times New Roman"/>
                      <w:color w:val="auto"/>
                    </w:rPr>
                    <w:t>55</w:t>
                  </w:r>
                </w:p>
              </w:tc>
              <w:tc>
                <w:tcPr>
                  <w:tcW w:w="5330" w:type="dxa"/>
                  <w:tcBorders>
                    <w:tl2br w:val="nil"/>
                    <w:tr2bl w:val="nil"/>
                  </w:tcBorders>
                  <w:noWrap w:val="0"/>
                  <w:vAlign w:val="center"/>
                </w:tcPr>
                <w:p w14:paraId="6A3C20F1">
                  <w:pPr>
                    <w:pStyle w:val="30"/>
                    <w:bidi w:val="0"/>
                    <w:jc w:val="center"/>
                    <w:rPr>
                      <w:rFonts w:hint="default" w:ascii="Times New Roman" w:hAnsi="Times New Roman" w:cs="Times New Roman"/>
                      <w:color w:val="auto"/>
                    </w:rPr>
                  </w:pPr>
                  <w:r>
                    <w:rPr>
                      <w:rFonts w:hint="default" w:ascii="Times New Roman" w:hAnsi="Times New Roman" w:cs="Times New Roman"/>
                      <w:color w:val="auto"/>
                    </w:rPr>
                    <w:t>《工业企业厂界环境噪声排放标准》（GB12348-2008）表1中的3类标准</w:t>
                  </w:r>
                </w:p>
              </w:tc>
            </w:tr>
          </w:tbl>
          <w:p w14:paraId="3449FBB9">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4、固体废物</w:t>
            </w:r>
          </w:p>
          <w:p w14:paraId="1F1E126E">
            <w:pPr>
              <w:pStyle w:val="29"/>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一般工业固体废物执行《一般工业固体废物贮存和填埋污染控制标准》（GB18599-2020）；危险废物执行《危险废物贮存污染控制标准》（GB18597-2023）。</w:t>
            </w:r>
          </w:p>
          <w:p w14:paraId="71BA2824">
            <w:pPr>
              <w:pStyle w:val="29"/>
              <w:bidi w:val="0"/>
              <w:rPr>
                <w:rFonts w:hint="default" w:ascii="Times New Roman" w:hAnsi="Times New Roman" w:cs="Times New Roman"/>
                <w:color w:val="FF0000"/>
              </w:rPr>
            </w:pPr>
          </w:p>
        </w:tc>
      </w:tr>
      <w:tr w14:paraId="2DEEE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4B7F85A6">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总量</w:t>
            </w:r>
          </w:p>
          <w:p w14:paraId="3B3EDB44">
            <w:pPr>
              <w:adjustRightInd w:val="0"/>
              <w:snapToGrid w:val="0"/>
              <w:jc w:val="center"/>
              <w:rPr>
                <w:rFonts w:hint="eastAsia" w:ascii="宋体" w:hAnsi="宋体" w:cs="宋体"/>
                <w:color w:val="auto"/>
                <w:kern w:val="0"/>
                <w:sz w:val="24"/>
                <w:szCs w:val="24"/>
              </w:rPr>
            </w:pPr>
            <w:r>
              <w:rPr>
                <w:rFonts w:hint="eastAsia" w:ascii="宋体" w:hAnsi="宋体" w:cs="宋体"/>
                <w:color w:val="auto"/>
                <w:kern w:val="0"/>
                <w:sz w:val="24"/>
                <w:szCs w:val="24"/>
              </w:rPr>
              <w:t>控制</w:t>
            </w:r>
          </w:p>
          <w:p w14:paraId="5E10938A">
            <w:pPr>
              <w:adjustRightInd w:val="0"/>
              <w:snapToGrid w:val="0"/>
              <w:jc w:val="center"/>
              <w:rPr>
                <w:rFonts w:ascii="宋体" w:hAnsi="宋体" w:cs="宋体"/>
                <w:color w:val="auto"/>
                <w:kern w:val="0"/>
                <w:sz w:val="24"/>
                <w:szCs w:val="24"/>
              </w:rPr>
            </w:pPr>
            <w:r>
              <w:rPr>
                <w:rFonts w:hint="eastAsia" w:ascii="宋体" w:hAnsi="宋体" w:cs="宋体"/>
                <w:color w:val="auto"/>
                <w:kern w:val="0"/>
                <w:sz w:val="24"/>
                <w:szCs w:val="24"/>
              </w:rPr>
              <w:t>指标</w:t>
            </w:r>
          </w:p>
        </w:tc>
        <w:tc>
          <w:tcPr>
            <w:tcW w:w="8190" w:type="dxa"/>
            <w:noWrap w:val="0"/>
            <w:vAlign w:val="top"/>
          </w:tcPr>
          <w:p w14:paraId="1603CA9A">
            <w:pPr>
              <w:pStyle w:val="29"/>
              <w:bidi w:val="0"/>
              <w:rPr>
                <w:rFonts w:hint="default" w:ascii="Times New Roman" w:hAnsi="Times New Roman" w:cs="Times New Roman"/>
                <w:color w:val="auto"/>
              </w:rPr>
            </w:pPr>
            <w:r>
              <w:rPr>
                <w:rFonts w:hint="default" w:ascii="Times New Roman" w:hAnsi="Times New Roman" w:cs="Times New Roman"/>
                <w:color w:val="auto"/>
              </w:rPr>
              <w:t>依据《湖南省主要污染物排污权有偿使用和交易管理办法》（湘政办发〔2022〕23号及《湖南省主要污染物排污权有偿使用和交易实施细则》内容，湖南省对化学需氧量、氨氮、二氧化硫、氮氧化物、挥发性有机物、总磷、铅、镉、砷、汞、铬十一类污染物实施总量控制（实施管理的范围为有效实施的国家固定污染源排污许可分类管理名录的工业类排污单位）。</w:t>
            </w:r>
          </w:p>
          <w:p w14:paraId="79022451">
            <w:pPr>
              <w:pStyle w:val="29"/>
              <w:bidi w:val="0"/>
              <w:rPr>
                <w:rFonts w:hint="eastAsia" w:ascii="Times New Roman" w:hAnsi="Times New Roman" w:cs="Times New Roman"/>
                <w:color w:val="auto"/>
                <w:highlight w:val="yellow"/>
                <w:lang w:eastAsia="zh-CN"/>
              </w:rPr>
            </w:pPr>
            <w:r>
              <w:rPr>
                <w:rFonts w:hint="default" w:ascii="Times New Roman" w:hAnsi="Times New Roman" w:cs="Times New Roman"/>
                <w:color w:val="auto"/>
                <w:highlight w:val="none"/>
              </w:rPr>
              <w:t>本项目生产废水不外排，生活污水经化粪池处理后进入</w:t>
            </w:r>
            <w:r>
              <w:rPr>
                <w:rFonts w:hint="eastAsia" w:ascii="Times New Roman" w:hAnsi="Times New Roman" w:cs="Times New Roman"/>
                <w:color w:val="auto"/>
                <w:highlight w:val="none"/>
                <w:lang w:eastAsia="zh-CN"/>
              </w:rPr>
              <w:t>铜桥港污水处理厂</w:t>
            </w:r>
            <w:r>
              <w:rPr>
                <w:rFonts w:hint="default" w:ascii="Times New Roman" w:hAnsi="Times New Roman" w:cs="Times New Roman"/>
                <w:color w:val="auto"/>
                <w:highlight w:val="none"/>
              </w:rPr>
              <w:t>，处理达标后排入</w:t>
            </w:r>
            <w:r>
              <w:rPr>
                <w:rFonts w:hint="eastAsia" w:ascii="Times New Roman" w:hAnsi="Times New Roman" w:cs="Times New Roman"/>
                <w:color w:val="auto"/>
                <w:highlight w:val="none"/>
                <w:lang w:eastAsia="zh-CN"/>
              </w:rPr>
              <w:t>湘江</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生活污水排放指标纳入铜桥港污水处理厂</w:t>
            </w:r>
            <w:r>
              <w:rPr>
                <w:rFonts w:hint="eastAsia" w:ascii="Times New Roman" w:hAnsi="Times New Roman" w:cs="Times New Roman"/>
                <w:color w:val="auto"/>
                <w:highlight w:val="none"/>
                <w:lang w:eastAsia="zh-CN"/>
              </w:rPr>
              <w:t>）。</w:t>
            </w:r>
          </w:p>
          <w:p w14:paraId="742DE6A7">
            <w:pPr>
              <w:pStyle w:val="29"/>
              <w:bidi w:val="0"/>
              <w:rPr>
                <w:rFonts w:hint="default" w:ascii="Times New Roman" w:hAnsi="Times New Roman" w:cs="Times New Roman"/>
                <w:color w:val="auto"/>
                <w:lang w:val="en-US" w:eastAsia="zh-CN"/>
              </w:rPr>
            </w:pPr>
            <w:r>
              <w:rPr>
                <w:rFonts w:hint="eastAsia" w:ascii="Times New Roman" w:hAnsi="Times New Roman" w:cs="Times New Roman"/>
                <w:color w:val="auto"/>
                <w:highlight w:val="none"/>
                <w:lang w:eastAsia="zh-CN"/>
              </w:rPr>
              <w:t>本项目废气污染物排放情况为：颗粒物</w:t>
            </w:r>
            <w:r>
              <w:rPr>
                <w:rFonts w:hint="eastAsia" w:ascii="Times New Roman" w:hAnsi="Times New Roman" w:cs="Times New Roman"/>
                <w:color w:val="auto"/>
                <w:highlight w:val="none"/>
                <w:lang w:val="en-US" w:eastAsia="zh-CN"/>
              </w:rPr>
              <w:t>0.2073</w:t>
            </w:r>
            <w:r>
              <w:rPr>
                <w:rFonts w:hint="eastAsia" w:ascii="Times New Roman" w:hAnsi="Times New Roman" w:cs="Times New Roman"/>
                <w:color w:val="auto"/>
                <w:highlight w:val="none"/>
                <w:lang w:eastAsia="zh-CN"/>
              </w:rPr>
              <w:t xml:space="preserve"> t/a、挥发性有机物（非甲烷总烃）</w:t>
            </w:r>
            <w:r>
              <w:rPr>
                <w:rFonts w:hint="eastAsia" w:ascii="Times New Roman" w:hAnsi="Times New Roman" w:cs="Times New Roman"/>
                <w:color w:val="auto"/>
                <w:highlight w:val="none"/>
                <w:lang w:val="en-US" w:eastAsia="zh-CN"/>
              </w:rPr>
              <w:t>1.01</w:t>
            </w:r>
            <w:r>
              <w:rPr>
                <w:rFonts w:hint="eastAsia" w:ascii="Times New Roman" w:hAnsi="Times New Roman" w:cs="Times New Roman"/>
                <w:color w:val="auto"/>
                <w:highlight w:val="none"/>
                <w:lang w:eastAsia="zh-CN"/>
              </w:rPr>
              <w:t xml:space="preserve"> t/a，</w:t>
            </w:r>
            <w:r>
              <w:rPr>
                <w:rFonts w:hint="eastAsia" w:ascii="Times New Roman" w:hAnsi="Times New Roman" w:cs="Times New Roman"/>
                <w:color w:val="auto"/>
                <w:highlight w:val="none"/>
                <w:lang w:val="en-US" w:eastAsia="zh-CN"/>
              </w:rPr>
              <w:t>无需购买总量。</w:t>
            </w:r>
          </w:p>
          <w:p w14:paraId="3EDE6265">
            <w:pPr>
              <w:pStyle w:val="29"/>
              <w:bidi w:val="0"/>
              <w:rPr>
                <w:rFonts w:hint="default" w:ascii="Times New Roman" w:hAnsi="Times New Roman" w:cs="Times New Roman"/>
                <w:color w:val="FF0000"/>
              </w:rPr>
            </w:pPr>
          </w:p>
        </w:tc>
      </w:tr>
    </w:tbl>
    <w:p w14:paraId="09D0BD8A">
      <w:pPr>
        <w:pStyle w:val="14"/>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bookmarkStart w:id="7" w:name="_Toc25466"/>
      <w:r>
        <w:rPr>
          <w:rFonts w:hint="eastAsia" w:ascii="黑体" w:hAnsi="黑体" w:eastAsia="黑体"/>
          <w:snapToGrid w:val="0"/>
          <w:color w:val="auto"/>
          <w:sz w:val="30"/>
          <w:szCs w:val="30"/>
        </w:rPr>
        <w:t>四、主要环境影响和保护措施</w:t>
      </w:r>
      <w:bookmarkEnd w:id="7"/>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504E88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noWrap w:val="0"/>
            <w:tcMar>
              <w:left w:w="28" w:type="dxa"/>
              <w:right w:w="28" w:type="dxa"/>
            </w:tcMar>
            <w:vAlign w:val="center"/>
          </w:tcPr>
          <w:p w14:paraId="382F24C7">
            <w:pPr>
              <w:pStyle w:val="14"/>
              <w:adjustRightInd w:val="0"/>
              <w:snapToGrid w:val="0"/>
              <w:spacing w:before="0" w:beforeAutospacing="0" w:after="0" w:afterAutospacing="0"/>
              <w:jc w:val="center"/>
              <w:rPr>
                <w:rFonts w:hint="eastAsia" w:cs="宋体"/>
                <w:color w:val="auto"/>
                <w:kern w:val="2"/>
                <w:sz w:val="24"/>
                <w:szCs w:val="24"/>
              </w:rPr>
            </w:pPr>
            <w:r>
              <w:rPr>
                <w:rFonts w:hint="eastAsia" w:cs="宋体"/>
                <w:color w:val="auto"/>
                <w:kern w:val="2"/>
                <w:sz w:val="24"/>
                <w:szCs w:val="24"/>
              </w:rPr>
              <w:t>施工</w:t>
            </w:r>
          </w:p>
          <w:p w14:paraId="140CC660">
            <w:pPr>
              <w:pStyle w:val="14"/>
              <w:adjustRightInd w:val="0"/>
              <w:snapToGrid w:val="0"/>
              <w:spacing w:before="0" w:beforeAutospacing="0" w:after="0" w:afterAutospacing="0"/>
              <w:jc w:val="center"/>
              <w:rPr>
                <w:rFonts w:hint="eastAsia" w:cs="宋体"/>
                <w:color w:val="auto"/>
                <w:kern w:val="2"/>
                <w:sz w:val="24"/>
                <w:szCs w:val="24"/>
              </w:rPr>
            </w:pPr>
            <w:r>
              <w:rPr>
                <w:rFonts w:hint="eastAsia" w:cs="宋体"/>
                <w:color w:val="auto"/>
                <w:kern w:val="2"/>
                <w:sz w:val="24"/>
                <w:szCs w:val="24"/>
              </w:rPr>
              <w:t>期环</w:t>
            </w:r>
          </w:p>
          <w:p w14:paraId="1C550B55">
            <w:pPr>
              <w:pStyle w:val="14"/>
              <w:adjustRightInd w:val="0"/>
              <w:snapToGrid w:val="0"/>
              <w:spacing w:before="0" w:beforeAutospacing="0" w:after="0" w:afterAutospacing="0"/>
              <w:jc w:val="center"/>
              <w:rPr>
                <w:rFonts w:hint="eastAsia" w:cs="宋体"/>
                <w:color w:val="auto"/>
                <w:kern w:val="2"/>
                <w:sz w:val="24"/>
                <w:szCs w:val="24"/>
              </w:rPr>
            </w:pPr>
            <w:r>
              <w:rPr>
                <w:rFonts w:hint="eastAsia" w:cs="宋体"/>
                <w:color w:val="auto"/>
                <w:kern w:val="2"/>
                <w:sz w:val="24"/>
                <w:szCs w:val="24"/>
              </w:rPr>
              <w:t>境保</w:t>
            </w:r>
          </w:p>
          <w:p w14:paraId="1F1E75AB">
            <w:pPr>
              <w:pStyle w:val="14"/>
              <w:adjustRightInd w:val="0"/>
              <w:snapToGrid w:val="0"/>
              <w:spacing w:before="0" w:beforeAutospacing="0" w:after="0" w:afterAutospacing="0"/>
              <w:jc w:val="center"/>
              <w:rPr>
                <w:rFonts w:hint="eastAsia" w:cs="宋体"/>
                <w:color w:val="auto"/>
                <w:kern w:val="2"/>
                <w:sz w:val="24"/>
                <w:szCs w:val="24"/>
              </w:rPr>
            </w:pPr>
            <w:r>
              <w:rPr>
                <w:rFonts w:hint="eastAsia" w:cs="宋体"/>
                <w:color w:val="auto"/>
                <w:kern w:val="2"/>
                <w:sz w:val="24"/>
                <w:szCs w:val="24"/>
              </w:rPr>
              <w:t>护措</w:t>
            </w:r>
          </w:p>
          <w:p w14:paraId="4329E653">
            <w:pPr>
              <w:pStyle w:val="14"/>
              <w:adjustRightInd w:val="0"/>
              <w:snapToGrid w:val="0"/>
              <w:spacing w:before="0" w:beforeAutospacing="0" w:after="0" w:afterAutospacing="0"/>
              <w:jc w:val="center"/>
              <w:rPr>
                <w:rFonts w:hint="eastAsia" w:cs="宋体"/>
                <w:bCs/>
                <w:color w:val="FF0000"/>
                <w:kern w:val="2"/>
                <w:sz w:val="24"/>
                <w:szCs w:val="24"/>
              </w:rPr>
            </w:pPr>
            <w:r>
              <w:rPr>
                <w:rFonts w:hint="eastAsia" w:cs="宋体"/>
                <w:color w:val="auto"/>
                <w:kern w:val="2"/>
                <w:sz w:val="24"/>
                <w:szCs w:val="24"/>
              </w:rPr>
              <w:t>施</w:t>
            </w:r>
          </w:p>
        </w:tc>
        <w:tc>
          <w:tcPr>
            <w:tcW w:w="8162" w:type="dxa"/>
            <w:noWrap w:val="0"/>
            <w:vAlign w:val="top"/>
          </w:tcPr>
          <w:p w14:paraId="412F6BEC">
            <w:pPr>
              <w:pStyle w:val="29"/>
              <w:bidi w:val="0"/>
              <w:rPr>
                <w:rFonts w:hint="default" w:ascii="Times New Roman" w:hAnsi="Times New Roman" w:cs="Times New Roman"/>
                <w:color w:val="FF0000"/>
              </w:rPr>
            </w:pPr>
            <w:r>
              <w:rPr>
                <w:bCs/>
                <w:color w:val="auto"/>
                <w:spacing w:val="-10"/>
                <w:sz w:val="24"/>
                <w:szCs w:val="21"/>
              </w:rPr>
              <w:t>本项目在</w:t>
            </w:r>
            <w:r>
              <w:rPr>
                <w:rFonts w:hint="eastAsia"/>
                <w:bCs/>
                <w:color w:val="auto"/>
                <w:spacing w:val="-10"/>
                <w:sz w:val="24"/>
                <w:szCs w:val="21"/>
                <w:lang w:val="en-US" w:eastAsia="zh-CN"/>
              </w:rPr>
              <w:t>租赁的已建</w:t>
            </w:r>
            <w:r>
              <w:rPr>
                <w:bCs/>
                <w:color w:val="auto"/>
                <w:spacing w:val="-10"/>
                <w:sz w:val="24"/>
                <w:szCs w:val="21"/>
              </w:rPr>
              <w:t>厂房内进行生产活动。项目施工期只对厂房进行简单的装修、设备的安装，污染物产生量较小，通过对施工现场定期洒水抑尘、合理安排施工作业时间，加强施工管理等措施后，项目施工期污染物不会对周围环境产生明显影响。</w:t>
            </w:r>
          </w:p>
        </w:tc>
      </w:tr>
      <w:tr w14:paraId="40A97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noWrap w:val="0"/>
            <w:tcMar>
              <w:left w:w="28" w:type="dxa"/>
              <w:right w:w="28" w:type="dxa"/>
            </w:tcMar>
            <w:vAlign w:val="center"/>
          </w:tcPr>
          <w:p w14:paraId="476E6A34">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运营</w:t>
            </w:r>
          </w:p>
          <w:p w14:paraId="57FE977C">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期环</w:t>
            </w:r>
          </w:p>
          <w:p w14:paraId="5B45C78D">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境影</w:t>
            </w:r>
          </w:p>
          <w:p w14:paraId="5C9855F0">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响和</w:t>
            </w:r>
          </w:p>
          <w:p w14:paraId="070F8587">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保护</w:t>
            </w:r>
          </w:p>
          <w:p w14:paraId="167A6494">
            <w:pPr>
              <w:adjustRightInd w:val="0"/>
              <w:snapToGrid w:val="0"/>
              <w:jc w:val="center"/>
              <w:rPr>
                <w:rFonts w:ascii="宋体" w:hAnsi="宋体" w:cs="宋体"/>
                <w:bCs/>
                <w:color w:val="FF0000"/>
                <w:sz w:val="24"/>
                <w:szCs w:val="24"/>
              </w:rPr>
            </w:pPr>
            <w:r>
              <w:rPr>
                <w:rFonts w:hint="eastAsia" w:ascii="宋体" w:hAnsi="宋体" w:cs="宋体"/>
                <w:bCs/>
                <w:color w:val="auto"/>
                <w:sz w:val="24"/>
                <w:szCs w:val="24"/>
              </w:rPr>
              <w:t>措施</w:t>
            </w:r>
          </w:p>
        </w:tc>
        <w:tc>
          <w:tcPr>
            <w:tcW w:w="8162" w:type="dxa"/>
            <w:noWrap w:val="0"/>
            <w:vAlign w:val="top"/>
          </w:tcPr>
          <w:p w14:paraId="43B503BF">
            <w:pPr>
              <w:pStyle w:val="29"/>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b/>
                <w:bCs/>
                <w:color w:val="auto"/>
                <w:lang w:val="en-US" w:eastAsia="zh-CN"/>
              </w:rPr>
              <w:t>1、</w:t>
            </w:r>
            <w:r>
              <w:rPr>
                <w:rFonts w:hint="eastAsia" w:ascii="Times New Roman" w:hAnsi="Times New Roman" w:cs="Times New Roman"/>
                <w:b/>
                <w:bCs/>
                <w:color w:val="auto"/>
                <w:lang w:val="en-US" w:eastAsia="zh-CN"/>
              </w:rPr>
              <w:t>大气环境影响及保护措施</w:t>
            </w:r>
          </w:p>
          <w:p w14:paraId="269DEBF1">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本项目运营期产生主要废气为</w:t>
            </w:r>
            <w:r>
              <w:rPr>
                <w:rFonts w:hint="eastAsia" w:ascii="Times New Roman" w:hAnsi="Times New Roman" w:cs="Times New Roman"/>
                <w:color w:val="auto"/>
                <w:highlight w:val="none"/>
                <w:lang w:val="en-US" w:eastAsia="zh-CN"/>
              </w:rPr>
              <w:t>调漆、喷漆、烤漆废气，</w:t>
            </w:r>
            <w:r>
              <w:rPr>
                <w:rFonts w:hint="default" w:ascii="Times New Roman" w:hAnsi="Times New Roman" w:cs="Times New Roman"/>
                <w:color w:val="auto"/>
                <w:highlight w:val="none"/>
                <w:lang w:val="en-US" w:eastAsia="zh-CN"/>
              </w:rPr>
              <w:t>打磨粉尘等</w:t>
            </w:r>
            <w:r>
              <w:rPr>
                <w:rFonts w:hint="eastAsia" w:ascii="Times New Roman" w:hAnsi="Times New Roman" w:cs="Times New Roman"/>
                <w:color w:val="auto"/>
                <w:highlight w:val="none"/>
                <w:lang w:val="en-US" w:eastAsia="zh-CN"/>
              </w:rPr>
              <w:t>。其中调漆、烤漆废气主要污染因子为VOCs（非甲烷总烃）及二甲苯，喷漆废气主要污染因子为颗粒物、VOCs（非甲烷总烃）及二甲苯；打磨粉尘主要污染因子为颗粒物。</w:t>
            </w:r>
          </w:p>
          <w:p w14:paraId="5E7DADA6">
            <w:pPr>
              <w:pStyle w:val="29"/>
              <w:bidi w:val="0"/>
              <w:rPr>
                <w:rFonts w:hint="eastAsia" w:ascii="Times New Roman" w:hAnsi="Times New Roman" w:eastAsia="宋体" w:cs="Times New Roman"/>
                <w:color w:val="auto"/>
                <w:lang w:val="en-US" w:eastAsia="zh-CN"/>
              </w:rPr>
            </w:pPr>
            <w:r>
              <w:rPr>
                <w:rFonts w:hint="default" w:ascii="Times New Roman" w:hAnsi="Times New Roman" w:cs="Times New Roman"/>
                <w:b/>
                <w:bCs/>
                <w:color w:val="auto"/>
              </w:rPr>
              <w:t>1.1 污染源核算</w:t>
            </w:r>
            <w:r>
              <w:rPr>
                <w:rFonts w:hint="eastAsia" w:ascii="Times New Roman" w:hAnsi="Times New Roman" w:cs="Times New Roman"/>
                <w:b/>
                <w:bCs/>
                <w:color w:val="auto"/>
                <w:lang w:val="en-US" w:eastAsia="zh-CN"/>
              </w:rPr>
              <w:t xml:space="preserve"> </w:t>
            </w:r>
          </w:p>
          <w:p w14:paraId="7FAF43E7">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（1）</w:t>
            </w:r>
            <w:r>
              <w:rPr>
                <w:rFonts w:hint="eastAsia" w:ascii="Times New Roman" w:hAnsi="Times New Roman" w:cs="Times New Roman"/>
                <w:color w:val="auto"/>
                <w:highlight w:val="none"/>
                <w:lang w:val="en-US" w:eastAsia="zh-CN"/>
              </w:rPr>
              <w:t>喷漆漆雾颗粒物</w:t>
            </w:r>
          </w:p>
          <w:p w14:paraId="79617FCC">
            <w:pPr>
              <w:autoSpaceDE w:val="0"/>
              <w:autoSpaceDN w:val="0"/>
              <w:spacing w:line="360" w:lineRule="auto"/>
              <w:ind w:left="42" w:leftChars="20" w:right="42" w:rightChars="20" w:firstLine="480" w:firstLineChars="200"/>
              <w:rPr>
                <w:color w:val="auto"/>
                <w:kern w:val="0"/>
                <w:sz w:val="24"/>
                <w:u w:val="single"/>
                <w:lang w:bidi="zh-CN"/>
              </w:rPr>
            </w:pPr>
            <w:r>
              <w:rPr>
                <w:rFonts w:hint="default" w:ascii="Times New Roman" w:hAnsi="Times New Roman" w:cs="Times New Roman"/>
                <w:color w:val="auto"/>
                <w:sz w:val="24"/>
              </w:rPr>
              <w:t>漆雾的产生主要是油漆中固形物散发所致，本项目使用</w:t>
            </w:r>
            <w:r>
              <w:rPr>
                <w:rFonts w:hint="eastAsia" w:ascii="Times New Roman" w:hAnsi="Times New Roman" w:cs="Times New Roman"/>
                <w:color w:val="auto"/>
                <w:sz w:val="24"/>
                <w:lang w:val="en-US" w:eastAsia="zh-CN"/>
              </w:rPr>
              <w:t>富锌环氧底漆2</w:t>
            </w:r>
            <w:r>
              <w:rPr>
                <w:rFonts w:hint="default" w:ascii="Times New Roman" w:hAnsi="Times New Roman" w:cs="Times New Roman"/>
                <w:color w:val="auto"/>
                <w:sz w:val="24"/>
              </w:rPr>
              <w:t>t/a，</w:t>
            </w:r>
            <w:r>
              <w:rPr>
                <w:rFonts w:hint="eastAsia" w:ascii="Times New Roman" w:hAnsi="Times New Roman" w:cs="Times New Roman"/>
                <w:color w:val="auto"/>
                <w:sz w:val="24"/>
                <w:lang w:val="en-US" w:eastAsia="zh-CN"/>
              </w:rPr>
              <w:t>脂肪族聚氨酯面漆2</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相应固化剂共0.2t/a</w:t>
            </w:r>
            <w:r>
              <w:rPr>
                <w:rFonts w:hint="default" w:ascii="Times New Roman" w:hAnsi="Times New Roman" w:cs="Times New Roman"/>
                <w:color w:val="auto"/>
                <w:sz w:val="24"/>
              </w:rPr>
              <w:t>。喷漆过程中树脂等涂料固体部分会附着于工件表面，部分会以漆雾形式</w:t>
            </w:r>
            <w:r>
              <w:rPr>
                <w:rFonts w:hint="eastAsia" w:ascii="Times New Roman" w:hAnsi="Times New Roman" w:cs="Times New Roman"/>
                <w:color w:val="auto"/>
                <w:sz w:val="24"/>
                <w:lang w:val="en-US" w:eastAsia="zh-CN"/>
              </w:rPr>
              <w:t>形成废气及漆渣</w:t>
            </w:r>
            <w:r>
              <w:rPr>
                <w:rFonts w:hint="eastAsia" w:cs="Times New Roman"/>
                <w:color w:val="auto"/>
                <w:sz w:val="24"/>
                <w:lang w:val="en-US" w:eastAsia="zh-CN"/>
              </w:rPr>
              <w:t>，本项目采用物料衡算法计算漆雾污染源</w:t>
            </w:r>
            <w:r>
              <w:rPr>
                <w:rFonts w:hint="default" w:ascii="Times New Roman" w:hAnsi="Times New Roman" w:cs="Times New Roman"/>
                <w:color w:val="auto"/>
                <w:sz w:val="24"/>
              </w:rPr>
              <w:t>。</w:t>
            </w:r>
            <w:r>
              <w:rPr>
                <w:rFonts w:hint="eastAsia" w:cs="Times New Roman"/>
                <w:color w:val="auto"/>
                <w:sz w:val="24"/>
                <w:u w:val="single"/>
                <w:lang w:val="en-US" w:eastAsia="zh-CN"/>
              </w:rPr>
              <w:t>参考</w:t>
            </w:r>
            <w:r>
              <w:rPr>
                <w:rFonts w:hint="default" w:ascii="Times New Roman" w:hAnsi="Times New Roman" w:cs="Times New Roman"/>
                <w:color w:val="auto"/>
                <w:sz w:val="24"/>
                <w:u w:val="single"/>
              </w:rPr>
              <w:t>《涂装工实用技术手册》(朱庆红、李洪金编著)，</w:t>
            </w:r>
            <w:r>
              <w:rPr>
                <w:rFonts w:hint="eastAsia" w:cs="Times New Roman"/>
                <w:color w:val="auto"/>
                <w:sz w:val="24"/>
                <w:u w:val="single"/>
                <w:lang w:val="en-US" w:eastAsia="zh-CN"/>
              </w:rPr>
              <w:t>采用</w:t>
            </w:r>
            <w:r>
              <w:rPr>
                <w:rFonts w:hint="default" w:ascii="Times New Roman" w:hAnsi="Times New Roman" w:cs="Times New Roman"/>
                <w:color w:val="auto"/>
                <w:sz w:val="24"/>
                <w:u w:val="single"/>
              </w:rPr>
              <w:t>LVMP/LVLP 喷枪</w:t>
            </w:r>
            <w:r>
              <w:rPr>
                <w:rFonts w:hint="eastAsia" w:cs="Times New Roman"/>
                <w:color w:val="auto"/>
                <w:sz w:val="24"/>
                <w:u w:val="single"/>
                <w:lang w:val="en-US" w:eastAsia="zh-CN"/>
              </w:rPr>
              <w:t>涂装</w:t>
            </w:r>
            <w:r>
              <w:rPr>
                <w:rFonts w:hint="default" w:ascii="Times New Roman" w:hAnsi="Times New Roman" w:cs="Times New Roman"/>
                <w:color w:val="auto"/>
                <w:sz w:val="24"/>
                <w:u w:val="single"/>
              </w:rPr>
              <w:t>附着率55-65%，</w:t>
            </w:r>
            <w:r>
              <w:rPr>
                <w:rFonts w:hint="eastAsia" w:cs="Times New Roman"/>
                <w:color w:val="auto"/>
                <w:sz w:val="24"/>
                <w:u w:val="single"/>
                <w:lang w:val="en-US" w:eastAsia="zh-CN"/>
              </w:rPr>
              <w:t>采用</w:t>
            </w:r>
            <w:r>
              <w:rPr>
                <w:rFonts w:hint="default" w:ascii="Times New Roman" w:hAnsi="Times New Roman" w:cs="Times New Roman"/>
                <w:color w:val="auto"/>
                <w:sz w:val="24"/>
                <w:u w:val="single"/>
              </w:rPr>
              <w:t>HVLP喷枪</w:t>
            </w:r>
            <w:r>
              <w:rPr>
                <w:rFonts w:hint="eastAsia" w:cs="Times New Roman"/>
                <w:color w:val="auto"/>
                <w:sz w:val="24"/>
                <w:u w:val="single"/>
                <w:lang w:val="en-US" w:eastAsia="zh-CN"/>
              </w:rPr>
              <w:t>涂装</w:t>
            </w:r>
            <w:r>
              <w:rPr>
                <w:rFonts w:hint="default" w:ascii="Times New Roman" w:hAnsi="Times New Roman" w:cs="Times New Roman"/>
                <w:color w:val="auto"/>
                <w:sz w:val="24"/>
                <w:u w:val="single"/>
              </w:rPr>
              <w:t>附着率≥65%(理想条件下可达 70-75%)。</w:t>
            </w:r>
            <w:r>
              <w:rPr>
                <w:rFonts w:hint="eastAsia" w:ascii="Times New Roman" w:hAnsi="Times New Roman" w:cs="Times New Roman"/>
                <w:color w:val="auto"/>
                <w:sz w:val="24"/>
                <w:u w:val="single"/>
                <w:lang w:val="en-US" w:eastAsia="zh-CN"/>
              </w:rPr>
              <w:t>根据建设单位提供</w:t>
            </w:r>
            <w:r>
              <w:rPr>
                <w:rFonts w:hint="eastAsia" w:cs="Times New Roman"/>
                <w:color w:val="auto"/>
                <w:sz w:val="24"/>
                <w:u w:val="single"/>
                <w:lang w:val="en-US" w:eastAsia="zh-CN"/>
              </w:rPr>
              <w:t>资料，建设单位采用</w:t>
            </w:r>
            <w:r>
              <w:rPr>
                <w:rFonts w:hint="default" w:ascii="Times New Roman" w:hAnsi="Times New Roman" w:cs="Times New Roman"/>
                <w:color w:val="auto"/>
                <w:sz w:val="24"/>
                <w:u w:val="single"/>
              </w:rPr>
              <w:t>HVLP喷枪</w:t>
            </w:r>
            <w:r>
              <w:rPr>
                <w:rFonts w:hint="eastAsia" w:ascii="Times New Roman" w:hAnsi="Times New Roman" w:cs="Times New Roman"/>
                <w:color w:val="auto"/>
                <w:sz w:val="24"/>
                <w:u w:val="single"/>
                <w:lang w:val="en-US" w:eastAsia="zh-CN"/>
              </w:rPr>
              <w:t>，</w:t>
            </w:r>
            <w:r>
              <w:rPr>
                <w:rFonts w:hint="default" w:ascii="Times New Roman" w:hAnsi="Times New Roman" w:cs="Times New Roman"/>
                <w:color w:val="auto"/>
                <w:sz w:val="24"/>
                <w:u w:val="single"/>
              </w:rPr>
              <w:t>本项目喷涂附着率取值为</w:t>
            </w:r>
            <w:r>
              <w:rPr>
                <w:rFonts w:hint="eastAsia" w:cs="Times New Roman"/>
                <w:color w:val="auto"/>
                <w:sz w:val="24"/>
                <w:u w:val="single"/>
                <w:lang w:val="en-US" w:eastAsia="zh-CN"/>
              </w:rPr>
              <w:t>6</w:t>
            </w:r>
            <w:r>
              <w:rPr>
                <w:rFonts w:hint="default" w:ascii="Times New Roman" w:hAnsi="Times New Roman" w:cs="Times New Roman"/>
                <w:color w:val="auto"/>
                <w:sz w:val="24"/>
                <w:u w:val="single"/>
              </w:rPr>
              <w:t>5%</w:t>
            </w:r>
            <w:r>
              <w:rPr>
                <w:rFonts w:hint="eastAsia" w:ascii="Times New Roman" w:hAnsi="Times New Roman" w:cs="Times New Roman"/>
                <w:color w:val="auto"/>
                <w:sz w:val="24"/>
                <w:u w:val="single"/>
                <w:lang w:eastAsia="zh-CN"/>
              </w:rPr>
              <w:t>，剩余</w:t>
            </w:r>
            <w:r>
              <w:rPr>
                <w:rFonts w:hint="eastAsia" w:cs="Times New Roman"/>
                <w:color w:val="auto"/>
                <w:sz w:val="24"/>
                <w:u w:val="single"/>
                <w:lang w:val="en-US" w:eastAsia="zh-CN"/>
              </w:rPr>
              <w:t>3</w:t>
            </w:r>
            <w:r>
              <w:rPr>
                <w:rFonts w:hint="eastAsia" w:ascii="Times New Roman" w:hAnsi="Times New Roman" w:cs="Times New Roman"/>
                <w:color w:val="auto"/>
                <w:sz w:val="24"/>
                <w:u w:val="single"/>
                <w:lang w:val="en-US" w:eastAsia="zh-CN"/>
              </w:rPr>
              <w:t>5</w:t>
            </w:r>
            <w:r>
              <w:rPr>
                <w:rFonts w:hint="eastAsia" w:ascii="Times New Roman" w:hAnsi="Times New Roman" w:cs="Times New Roman"/>
                <w:color w:val="auto"/>
                <w:sz w:val="24"/>
                <w:u w:val="single"/>
                <w:lang w:eastAsia="zh-CN"/>
              </w:rPr>
              <w:t>%在喷漆过程中损耗，其中70%在喷漆房内形成</w:t>
            </w:r>
            <w:r>
              <w:rPr>
                <w:rFonts w:hint="eastAsia" w:cs="Times New Roman"/>
                <w:color w:val="auto"/>
                <w:sz w:val="24"/>
                <w:u w:val="single"/>
                <w:lang w:val="en-US" w:eastAsia="zh-CN"/>
              </w:rPr>
              <w:t>漆雾（大部分会被水帘柜捕获）</w:t>
            </w:r>
            <w:r>
              <w:rPr>
                <w:rFonts w:hint="eastAsia" w:ascii="Times New Roman" w:hAnsi="Times New Roman" w:cs="Times New Roman"/>
                <w:color w:val="auto"/>
                <w:sz w:val="24"/>
                <w:u w:val="single"/>
                <w:lang w:eastAsia="zh-CN"/>
              </w:rPr>
              <w:t>，30%</w:t>
            </w:r>
            <w:r>
              <w:rPr>
                <w:rFonts w:hint="eastAsia" w:cs="Times New Roman"/>
                <w:color w:val="auto"/>
                <w:sz w:val="24"/>
                <w:u w:val="single"/>
                <w:lang w:val="en-US" w:eastAsia="zh-CN"/>
              </w:rPr>
              <w:t>直接</w:t>
            </w:r>
            <w:r>
              <w:rPr>
                <w:rFonts w:hint="eastAsia" w:ascii="Times New Roman" w:hAnsi="Times New Roman" w:cs="Times New Roman"/>
                <w:color w:val="auto"/>
                <w:sz w:val="24"/>
                <w:u w:val="single"/>
                <w:lang w:eastAsia="zh-CN"/>
              </w:rPr>
              <w:t>形成</w:t>
            </w:r>
            <w:r>
              <w:rPr>
                <w:rFonts w:hint="eastAsia" w:cs="Times New Roman"/>
                <w:color w:val="auto"/>
                <w:sz w:val="24"/>
                <w:u w:val="single"/>
                <w:lang w:val="en-US" w:eastAsia="zh-CN"/>
              </w:rPr>
              <w:t>漆渣</w:t>
            </w:r>
            <w:r>
              <w:rPr>
                <w:rFonts w:hint="eastAsia" w:ascii="Times New Roman" w:hAnsi="Times New Roman" w:cs="Times New Roman"/>
                <w:color w:val="auto"/>
                <w:sz w:val="24"/>
                <w:u w:val="single"/>
                <w:lang w:eastAsia="zh-CN"/>
              </w:rPr>
              <w:t>。</w:t>
            </w:r>
            <w:r>
              <w:rPr>
                <w:rFonts w:hint="eastAsia"/>
                <w:color w:val="auto"/>
                <w:kern w:val="0"/>
                <w:sz w:val="24"/>
                <w:u w:val="single"/>
                <w:lang w:bidi="zh-CN"/>
              </w:rPr>
              <w:t>则喷漆工序产生的颗粒物产生量计算过程如下：</w:t>
            </w:r>
          </w:p>
          <w:p w14:paraId="1015D090">
            <w:pPr>
              <w:pStyle w:val="29"/>
              <w:bidi w:val="0"/>
              <w:rPr>
                <w:rFonts w:hint="eastAsia" w:ascii="Times New Roman" w:hAnsi="Times New Roman" w:eastAsia="宋体" w:cs="Times New Roman"/>
                <w:color w:val="FF0000"/>
                <w:sz w:val="24"/>
                <w:u w:val="single"/>
                <w:lang w:eastAsia="zh-CN"/>
              </w:rPr>
            </w:pPr>
            <w:r>
              <w:rPr>
                <w:rFonts w:hint="eastAsia"/>
                <w:color w:val="auto"/>
                <w:kern w:val="0"/>
                <w:sz w:val="24"/>
                <w:u w:val="single"/>
                <w:lang w:bidi="zh-CN"/>
              </w:rPr>
              <w:t>颗粒物产生量=涂料使用量×固体成分含量（</w:t>
            </w:r>
            <w:r>
              <w:rPr>
                <w:rFonts w:hint="eastAsia"/>
                <w:color w:val="auto"/>
                <w:kern w:val="0"/>
                <w:sz w:val="24"/>
                <w:highlight w:val="none"/>
                <w:u w:val="single"/>
                <w:lang w:val="en-US" w:bidi="zh-CN"/>
              </w:rPr>
              <w:t>固体组分取值根据</w:t>
            </w:r>
            <w:r>
              <w:rPr>
                <w:rFonts w:hint="eastAsia" w:ascii="Times New Roman" w:hAnsi="Times New Roman" w:eastAsia="宋体" w:cs="Times New Roman"/>
                <w:color w:val="auto"/>
                <w:kern w:val="2"/>
                <w:sz w:val="24"/>
                <w:szCs w:val="24"/>
                <w:u w:val="single"/>
                <w:lang w:val="en-US" w:eastAsia="zh-CN" w:bidi="ar-SA"/>
              </w:rPr>
              <w:t>表2</w:t>
            </w:r>
            <w:r>
              <w:rPr>
                <w:rFonts w:hint="default" w:ascii="Times New Roman" w:hAnsi="Times New Roman" w:eastAsia="宋体" w:cs="Times New Roman"/>
                <w:color w:val="auto"/>
                <w:kern w:val="2"/>
                <w:sz w:val="24"/>
                <w:szCs w:val="24"/>
                <w:u w:val="single"/>
                <w:lang w:val="en-US" w:eastAsia="zh-CN" w:bidi="ar-SA"/>
              </w:rPr>
              <w:t>-</w:t>
            </w:r>
            <w:r>
              <w:rPr>
                <w:rFonts w:hint="eastAsia" w:ascii="Times New Roman" w:hAnsi="Times New Roman" w:cs="Times New Roman"/>
                <w:color w:val="auto"/>
                <w:kern w:val="2"/>
                <w:sz w:val="24"/>
                <w:szCs w:val="24"/>
                <w:u w:val="single"/>
                <w:lang w:val="en-US" w:eastAsia="zh-CN" w:bidi="ar-SA"/>
              </w:rPr>
              <w:t>5</w:t>
            </w:r>
            <w:r>
              <w:rPr>
                <w:rFonts w:hint="eastAsia" w:ascii="Times New Roman" w:hAnsi="Times New Roman" w:eastAsia="宋体" w:cs="Times New Roman"/>
                <w:color w:val="auto"/>
                <w:kern w:val="2"/>
                <w:sz w:val="24"/>
                <w:szCs w:val="24"/>
                <w:u w:val="single"/>
                <w:lang w:val="en-US" w:eastAsia="zh-CN" w:bidi="ar-SA"/>
              </w:rPr>
              <w:t>）×（1</w:t>
            </w:r>
            <w:r>
              <w:rPr>
                <w:rFonts w:hint="default" w:ascii="Times New Roman" w:hAnsi="Times New Roman" w:eastAsia="宋体" w:cs="Times New Roman"/>
                <w:color w:val="auto"/>
                <w:kern w:val="2"/>
                <w:sz w:val="24"/>
                <w:szCs w:val="24"/>
                <w:u w:val="single"/>
                <w:lang w:val="en-US" w:eastAsia="zh-CN" w:bidi="ar-SA"/>
              </w:rPr>
              <w:t>-</w:t>
            </w:r>
            <w:r>
              <w:rPr>
                <w:rFonts w:hint="eastAsia" w:ascii="Times New Roman" w:hAnsi="Times New Roman" w:eastAsia="宋体" w:cs="Times New Roman"/>
                <w:color w:val="auto"/>
                <w:kern w:val="2"/>
                <w:sz w:val="24"/>
                <w:szCs w:val="24"/>
                <w:u w:val="single"/>
                <w:lang w:val="en-US" w:eastAsia="zh-CN" w:bidi="ar-SA"/>
              </w:rPr>
              <w:t>附着率）×</w:t>
            </w:r>
            <w:r>
              <w:rPr>
                <w:rFonts w:hint="eastAsia" w:ascii="Times New Roman" w:hAnsi="Times New Roman" w:cs="Times New Roman"/>
                <w:color w:val="auto"/>
                <w:kern w:val="2"/>
                <w:sz w:val="24"/>
                <w:szCs w:val="24"/>
                <w:u w:val="single"/>
                <w:lang w:val="en-US" w:eastAsia="zh-CN" w:bidi="ar-SA"/>
              </w:rPr>
              <w:t>70%</w:t>
            </w:r>
            <w:r>
              <w:rPr>
                <w:rFonts w:hint="eastAsia" w:ascii="Times New Roman" w:hAnsi="Times New Roman" w:eastAsia="宋体" w:cs="Times New Roman"/>
                <w:color w:val="auto"/>
                <w:kern w:val="2"/>
                <w:sz w:val="24"/>
                <w:szCs w:val="24"/>
                <w:u w:val="single"/>
                <w:lang w:val="en-US" w:eastAsia="zh-CN" w:bidi="ar-SA"/>
              </w:rPr>
              <w:t>==</w:t>
            </w:r>
            <w:r>
              <w:rPr>
                <w:rFonts w:hint="eastAsia" w:ascii="Times New Roman" w:hAnsi="Times New Roman" w:cs="Times New Roman"/>
                <w:color w:val="auto"/>
                <w:kern w:val="2"/>
                <w:sz w:val="24"/>
                <w:szCs w:val="24"/>
                <w:u w:val="single"/>
                <w:lang w:val="en-US" w:eastAsia="zh-CN" w:bidi="ar-SA"/>
              </w:rPr>
              <w:t>0.7595</w:t>
            </w:r>
            <w:r>
              <w:rPr>
                <w:rFonts w:hint="eastAsia" w:ascii="Times New Roman" w:hAnsi="Times New Roman" w:eastAsia="宋体" w:cs="Times New Roman"/>
                <w:color w:val="auto"/>
                <w:kern w:val="2"/>
                <w:sz w:val="24"/>
                <w:szCs w:val="24"/>
                <w:u w:val="single"/>
                <w:lang w:val="en-US" w:eastAsia="zh-CN" w:bidi="ar-SA"/>
              </w:rPr>
              <w:t>t/a</w:t>
            </w:r>
            <w:r>
              <w:rPr>
                <w:rFonts w:hint="eastAsia"/>
                <w:color w:val="auto"/>
                <w:kern w:val="0"/>
                <w:sz w:val="24"/>
                <w:u w:val="single"/>
                <w:lang w:bidi="zh-CN"/>
              </w:rPr>
              <w:t>。</w:t>
            </w:r>
            <w:r>
              <w:rPr>
                <w:rFonts w:hint="eastAsia" w:ascii="Times New Roman" w:hAnsi="Times New Roman" w:cs="Times New Roman"/>
                <w:color w:val="auto"/>
                <w:sz w:val="24"/>
                <w:u w:val="single"/>
                <w:lang w:val="en-US" w:eastAsia="zh-CN"/>
              </w:rPr>
              <w:t>喷漆废气漆雾经过水帘柜处理后与调漆房、喷漆房及烤漆房有机废气一并经过</w:t>
            </w:r>
            <w:r>
              <w:rPr>
                <w:rFonts w:hint="eastAsia" w:ascii="Times New Roman" w:hAnsi="Times New Roman" w:eastAsia="宋体" w:cs="Times New Roman"/>
                <w:color w:val="auto"/>
                <w:kern w:val="2"/>
                <w:sz w:val="24"/>
                <w:szCs w:val="22"/>
                <w:u w:val="single"/>
                <w:lang w:val="en-US" w:eastAsia="zh-CN" w:bidi="ar-SA"/>
              </w:rPr>
              <w:t>干式过滤+</w:t>
            </w:r>
            <w:r>
              <w:rPr>
                <w:rFonts w:hint="eastAsia" w:ascii="Times New Roman" w:hAnsi="Times New Roman" w:cs="Times New Roman"/>
                <w:color w:val="auto"/>
                <w:sz w:val="24"/>
                <w:u w:val="single"/>
                <w:lang w:val="en-US" w:eastAsia="zh-CN"/>
              </w:rPr>
              <w:t>活性炭吸附脱附+催化燃烧装置处理后经15m排气筒（DA001）排放。</w:t>
            </w:r>
          </w:p>
          <w:p w14:paraId="62FA2A37">
            <w:pPr>
              <w:pStyle w:val="29"/>
              <w:bidi w:val="0"/>
              <w:rPr>
                <w:rFonts w:hint="eastAsia" w:ascii="Times New Roman" w:hAnsi="Times New Roman" w:cs="Times New Roman"/>
                <w:color w:val="auto"/>
                <w:sz w:val="24"/>
                <w:u w:val="single"/>
                <w:lang w:val="en-US" w:eastAsia="zh-CN"/>
              </w:rPr>
            </w:pPr>
            <w:r>
              <w:rPr>
                <w:rFonts w:hint="eastAsia" w:ascii="Times New Roman" w:hAnsi="Times New Roman" w:cs="Times New Roman"/>
                <w:color w:val="auto"/>
                <w:sz w:val="24"/>
                <w:u w:val="single"/>
                <w:lang w:val="en-US" w:eastAsia="zh-CN"/>
              </w:rPr>
              <w:t>本项目采用密闭负压喷漆房，</w:t>
            </w:r>
            <w:r>
              <w:rPr>
                <w:rFonts w:hint="default" w:ascii="Times New Roman" w:hAnsi="Times New Roman" w:cs="Times New Roman"/>
                <w:color w:val="auto"/>
                <w:sz w:val="24"/>
                <w:u w:val="single"/>
                <w:lang w:val="en-US" w:eastAsia="zh-CN"/>
              </w:rPr>
              <w:t>参考《主要污染物总量减排核算技术指南2022》</w:t>
            </w:r>
            <w:r>
              <w:rPr>
                <w:rFonts w:hint="eastAsia" w:ascii="Times New Roman" w:hAnsi="Times New Roman" w:cs="Times New Roman"/>
                <w:color w:val="auto"/>
                <w:sz w:val="24"/>
                <w:u w:val="single"/>
                <w:lang w:val="en-US" w:eastAsia="zh-CN"/>
              </w:rPr>
              <w:t>中密闭负压收集效率90%，水帘柜及干式过滤去除效率</w:t>
            </w:r>
            <w:r>
              <w:rPr>
                <w:rFonts w:hint="default" w:ascii="Times New Roman" w:hAnsi="Times New Roman" w:cs="Times New Roman"/>
                <w:color w:val="auto"/>
                <w:sz w:val="24"/>
                <w:u w:val="single"/>
              </w:rPr>
              <w:t>参</w:t>
            </w:r>
            <w:r>
              <w:rPr>
                <w:rFonts w:hint="eastAsia" w:ascii="Times New Roman" w:hAnsi="Times New Roman" w:cs="Times New Roman"/>
                <w:color w:val="auto"/>
                <w:sz w:val="24"/>
                <w:u w:val="single"/>
                <w:lang w:val="en-US" w:eastAsia="zh-CN"/>
              </w:rPr>
              <w:t>照</w:t>
            </w:r>
            <w:r>
              <w:rPr>
                <w:rFonts w:hint="default" w:ascii="Times New Roman" w:hAnsi="Times New Roman" w:cs="Times New Roman"/>
                <w:color w:val="auto"/>
                <w:sz w:val="24"/>
                <w:u w:val="single"/>
              </w:rPr>
              <w:t>《排放源统计调查产排污核算方法和系数手册》（生态环境部办公厅2021年6月11日印发）-“211 木质家具制造行业系数手册”中“2110 木质家具制造行业系数表(续5)</w:t>
            </w:r>
            <w:r>
              <w:rPr>
                <w:rFonts w:hint="eastAsia" w:ascii="Times New Roman" w:hAnsi="Times New Roman" w:cs="Times New Roman"/>
                <w:color w:val="auto"/>
                <w:sz w:val="24"/>
                <w:u w:val="single"/>
                <w:lang w:val="en-US" w:eastAsia="zh-CN"/>
              </w:rPr>
              <w:t>-溶剂型油漆喷漆漆雾处理设施</w:t>
            </w:r>
            <w:r>
              <w:rPr>
                <w:rFonts w:hint="default" w:ascii="Times New Roman" w:hAnsi="Times New Roman" w:cs="Times New Roman"/>
                <w:color w:val="auto"/>
                <w:sz w:val="24"/>
                <w:u w:val="single"/>
              </w:rPr>
              <w:t>”</w:t>
            </w:r>
            <w:r>
              <w:rPr>
                <w:rFonts w:hint="eastAsia" w:ascii="Times New Roman" w:hAnsi="Times New Roman" w:cs="Times New Roman"/>
                <w:color w:val="auto"/>
                <w:sz w:val="24"/>
                <w:u w:val="single"/>
                <w:lang w:val="en-US" w:eastAsia="zh-CN"/>
              </w:rPr>
              <w:t>-其他（水帘喷雾湿式喷雾净化）处理效率为80%、其他（化学纤维）处理效率为80%，组合工艺处理效率理论可达96%，本项目保守取值90%。</w:t>
            </w:r>
          </w:p>
          <w:p w14:paraId="3C00ECB2">
            <w:pPr>
              <w:pStyle w:val="29"/>
              <w:bidi w:val="0"/>
              <w:rPr>
                <w:rFonts w:hint="default" w:ascii="Times New Roman" w:hAnsi="Times New Roman" w:cs="Times New Roman"/>
                <w:color w:val="auto"/>
                <w:sz w:val="24"/>
                <w:u w:val="single"/>
                <w:lang w:val="en-US" w:eastAsia="zh-CN"/>
              </w:rPr>
            </w:pPr>
            <w:r>
              <w:rPr>
                <w:rFonts w:hint="eastAsia" w:ascii="Times New Roman" w:hAnsi="Times New Roman" w:cs="Times New Roman"/>
                <w:color w:val="auto"/>
                <w:sz w:val="24"/>
                <w:u w:val="single"/>
                <w:lang w:val="en-US" w:eastAsia="zh-CN"/>
              </w:rPr>
              <w:t>综上计算，有组织漆雾废气产生量为0.6836t/a、排放量为0.0684t/a。喷漆房工作时间2400h/a（8h/d），有组织漆雾废气产生速率为0.285kg/h、速率为0.0285kg/h。</w:t>
            </w:r>
          </w:p>
          <w:p w14:paraId="0AB7073E">
            <w:pPr>
              <w:pStyle w:val="29"/>
              <w:bidi w:val="0"/>
              <w:rPr>
                <w:rFonts w:hint="default" w:ascii="Times New Roman" w:hAnsi="Times New Roman" w:cs="Times New Roman"/>
                <w:color w:val="auto"/>
                <w:u w:val="single"/>
                <w:lang w:val="en-US" w:eastAsia="zh-CN"/>
              </w:rPr>
            </w:pPr>
            <w:r>
              <w:rPr>
                <w:rFonts w:hint="eastAsia" w:ascii="Times New Roman" w:hAnsi="Times New Roman" w:cs="Times New Roman"/>
                <w:color w:val="auto"/>
                <w:sz w:val="24"/>
                <w:u w:val="single"/>
                <w:lang w:val="en-US" w:eastAsia="zh-CN"/>
              </w:rPr>
              <w:t>未收集的漆雾颗粒物通过车间无组织排放，无组织排放量为0.07595t/a，排放速率为0.032kg/h</w:t>
            </w:r>
            <w:r>
              <w:rPr>
                <w:rFonts w:hint="default" w:ascii="Times New Roman" w:hAnsi="Times New Roman" w:cs="Times New Roman"/>
                <w:color w:val="auto"/>
                <w:sz w:val="24"/>
                <w:u w:val="single"/>
                <w:lang w:val="en-US" w:eastAsia="zh-CN"/>
              </w:rPr>
              <w:t>。</w:t>
            </w:r>
          </w:p>
          <w:p w14:paraId="0F1B73C4">
            <w:pPr>
              <w:pStyle w:val="29"/>
              <w:bidi w:val="0"/>
              <w:rPr>
                <w:rFonts w:hint="eastAsia" w:ascii="Times New Roman" w:hAnsi="Times New Roman" w:cs="Times New Roman"/>
                <w:b/>
                <w:bCs/>
                <w:color w:val="auto"/>
                <w:lang w:eastAsia="zh-CN"/>
              </w:rPr>
            </w:pPr>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调漆、烤漆、喷漆有机</w:t>
            </w:r>
            <w:r>
              <w:rPr>
                <w:rFonts w:hint="eastAsia" w:ascii="Times New Roman" w:hAnsi="Times New Roman" w:cs="Times New Roman"/>
                <w:b/>
                <w:bCs/>
                <w:color w:val="auto"/>
                <w:lang w:eastAsia="zh-CN"/>
              </w:rPr>
              <w:t>废气</w:t>
            </w:r>
          </w:p>
          <w:p w14:paraId="777FA076">
            <w:pPr>
              <w:widowControl w:val="0"/>
              <w:bidi w:val="0"/>
              <w:adjustRightInd/>
              <w:snapToGrid/>
              <w:spacing w:after="2" w:line="360" w:lineRule="auto"/>
              <w:ind w:firstLine="480" w:firstLineChars="200"/>
              <w:jc w:val="both"/>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本项目调漆、喷漆</w:t>
            </w:r>
            <w:r>
              <w:rPr>
                <w:rFonts w:hint="eastAsia" w:cs="Times New Roman"/>
                <w:color w:val="auto"/>
                <w:kern w:val="2"/>
                <w:sz w:val="24"/>
                <w:szCs w:val="22"/>
                <w:lang w:val="en-US" w:eastAsia="zh-CN" w:bidi="ar-SA"/>
              </w:rPr>
              <w:t>（喷枪清洗在喷漆房进行，不单独分析）</w:t>
            </w:r>
            <w:r>
              <w:rPr>
                <w:rFonts w:hint="eastAsia" w:ascii="Times New Roman" w:hAnsi="Times New Roman" w:eastAsia="宋体" w:cs="Times New Roman"/>
                <w:color w:val="auto"/>
                <w:kern w:val="2"/>
                <w:sz w:val="24"/>
                <w:szCs w:val="22"/>
                <w:lang w:val="en-US" w:eastAsia="zh-CN" w:bidi="ar-SA"/>
              </w:rPr>
              <w:t>、烤漆分别在独立的密闭负压调漆房、喷漆房和烤漆房进行</w:t>
            </w:r>
            <w:r>
              <w:rPr>
                <w:rFonts w:hint="eastAsia" w:ascii="Calibri" w:hAnsi="Calibri" w:eastAsia="宋体" w:cs="Times New Roman"/>
                <w:color w:val="auto"/>
                <w:kern w:val="2"/>
                <w:sz w:val="24"/>
                <w:szCs w:val="24"/>
                <w:lang w:val="en-US" w:eastAsia="zh-CN" w:bidi="ar-SA"/>
              </w:rPr>
              <w:t>，油漆、稀释剂和固化剂中的挥发性有机物会全部在</w:t>
            </w:r>
            <w:r>
              <w:rPr>
                <w:rFonts w:hint="eastAsia" w:ascii="Times New Roman" w:hAnsi="Times New Roman" w:eastAsia="宋体" w:cs="Times New Roman"/>
                <w:color w:val="auto"/>
                <w:kern w:val="2"/>
                <w:sz w:val="24"/>
                <w:szCs w:val="22"/>
                <w:lang w:val="en-US" w:eastAsia="zh-CN" w:bidi="ar-SA"/>
              </w:rPr>
              <w:t>调漆、喷漆、烤漆过程中挥发形成有机废气，调漆房、喷漆房和烤漆房废气收集后汇集通过一套干式过滤+活性炭吸附脱附+催化燃烧装置处理</w:t>
            </w:r>
            <w:r>
              <w:rPr>
                <w:rFonts w:hint="eastAsia" w:ascii="Times New Roman" w:hAnsi="Times New Roman" w:cs="Times New Roman"/>
                <w:color w:val="auto"/>
                <w:sz w:val="24"/>
                <w:lang w:val="en-US" w:eastAsia="zh-CN"/>
              </w:rPr>
              <w:t>后经15m排气筒（DA001）排放</w:t>
            </w:r>
            <w:r>
              <w:rPr>
                <w:rFonts w:hint="eastAsia" w:ascii="Times New Roman" w:hAnsi="Times New Roman" w:eastAsia="宋体" w:cs="Times New Roman"/>
                <w:color w:val="auto"/>
                <w:kern w:val="2"/>
                <w:sz w:val="24"/>
                <w:szCs w:val="22"/>
                <w:lang w:val="en-US" w:eastAsia="zh-CN" w:bidi="ar-SA"/>
              </w:rPr>
              <w:t>。</w:t>
            </w:r>
          </w:p>
          <w:p w14:paraId="2717DE28">
            <w:pPr>
              <w:widowControl w:val="0"/>
              <w:tabs>
                <w:tab w:val="left" w:pos="2940"/>
              </w:tabs>
              <w:bidi w:val="0"/>
              <w:adjustRightInd/>
              <w:snapToGrid/>
              <w:spacing w:after="2" w:line="360" w:lineRule="auto"/>
              <w:ind w:firstLine="480" w:firstLineChars="200"/>
              <w:jc w:val="both"/>
              <w:rPr>
                <w:rFonts w:hint="eastAsia" w:ascii="Times New Roman" w:hAnsi="Times New Roman" w:eastAsia="宋体" w:cs="Times New Roman"/>
                <w:color w:val="FF0000"/>
                <w:kern w:val="2"/>
                <w:sz w:val="24"/>
                <w:szCs w:val="22"/>
                <w:vertAlign w:val="baseline"/>
                <w:lang w:val="en-US" w:eastAsia="zh-CN" w:bidi="ar-SA"/>
              </w:rPr>
            </w:pPr>
            <w:r>
              <w:rPr>
                <w:rFonts w:hint="eastAsia" w:ascii="Times New Roman" w:hAnsi="Times New Roman" w:eastAsia="宋体" w:cs="Times New Roman"/>
                <w:color w:val="auto"/>
                <w:kern w:val="2"/>
                <w:sz w:val="24"/>
                <w:szCs w:val="22"/>
                <w:u w:val="single"/>
                <w:lang w:val="en-US" w:eastAsia="zh-CN" w:bidi="ar-SA"/>
              </w:rPr>
              <w:t>根据表2-5油漆物料平衡，油漆中挥发性有机物在调漆、喷漆和烤漆过程中全部挥发（</w:t>
            </w:r>
            <w:r>
              <w:rPr>
                <w:rFonts w:hint="eastAsia" w:cs="Times New Roman"/>
                <w:color w:val="auto"/>
                <w:kern w:val="2"/>
                <w:sz w:val="24"/>
                <w:szCs w:val="22"/>
                <w:u w:val="single"/>
                <w:lang w:val="en-US" w:eastAsia="zh-CN" w:bidi="ar-SA"/>
              </w:rPr>
              <w:t>微量残留油漆桶不定量核算</w:t>
            </w:r>
            <w:r>
              <w:rPr>
                <w:rFonts w:hint="eastAsia" w:ascii="Times New Roman" w:hAnsi="Times New Roman" w:eastAsia="宋体" w:cs="Times New Roman"/>
                <w:color w:val="auto"/>
                <w:kern w:val="2"/>
                <w:sz w:val="24"/>
                <w:szCs w:val="22"/>
                <w:u w:val="single"/>
                <w:lang w:val="en-US" w:eastAsia="zh-CN" w:bidi="ar-SA"/>
              </w:rPr>
              <w:t>），挥发性有机物（以非甲烷总烃计）产生量为</w:t>
            </w:r>
            <w:r>
              <w:rPr>
                <w:rFonts w:hint="eastAsia" w:cs="Times New Roman"/>
                <w:color w:val="auto"/>
                <w:kern w:val="2"/>
                <w:sz w:val="24"/>
                <w:szCs w:val="22"/>
                <w:u w:val="single"/>
                <w:lang w:val="en-US" w:eastAsia="zh-CN" w:bidi="ar-SA"/>
              </w:rPr>
              <w:t>4.3</w:t>
            </w:r>
            <w:r>
              <w:rPr>
                <w:rFonts w:hint="eastAsia" w:ascii="Times New Roman" w:hAnsi="Times New Roman" w:eastAsia="宋体" w:cs="Times New Roman"/>
                <w:color w:val="auto"/>
                <w:kern w:val="2"/>
                <w:sz w:val="24"/>
                <w:szCs w:val="22"/>
                <w:u w:val="single"/>
                <w:lang w:val="en-US" w:eastAsia="zh-CN" w:bidi="ar-SA"/>
              </w:rPr>
              <w:t>t/a、二甲苯产生量为</w:t>
            </w:r>
            <w:r>
              <w:rPr>
                <w:rFonts w:hint="eastAsia" w:cs="Times New Roman"/>
                <w:color w:val="auto"/>
                <w:kern w:val="2"/>
                <w:sz w:val="24"/>
                <w:szCs w:val="22"/>
                <w:u w:val="single"/>
                <w:lang w:val="en-US" w:eastAsia="zh-CN" w:bidi="ar-SA"/>
              </w:rPr>
              <w:t>2.29</w:t>
            </w:r>
            <w:r>
              <w:rPr>
                <w:rFonts w:hint="eastAsia" w:ascii="Times New Roman" w:hAnsi="Times New Roman" w:eastAsia="宋体" w:cs="Times New Roman"/>
                <w:color w:val="auto"/>
                <w:kern w:val="2"/>
                <w:sz w:val="24"/>
                <w:szCs w:val="22"/>
                <w:u w:val="single"/>
                <w:lang w:val="en-US" w:eastAsia="zh-CN" w:bidi="ar-SA"/>
              </w:rPr>
              <w:t>t/a；调漆房、喷漆房和烤漆房采用</w:t>
            </w:r>
            <w:r>
              <w:rPr>
                <w:rFonts w:hint="eastAsia" w:cs="Times New Roman"/>
                <w:color w:val="auto"/>
                <w:kern w:val="2"/>
                <w:sz w:val="24"/>
                <w:szCs w:val="22"/>
                <w:u w:val="single"/>
                <w:lang w:val="en-US" w:eastAsia="zh-CN" w:bidi="ar-SA"/>
              </w:rPr>
              <w:t>负压</w:t>
            </w:r>
            <w:r>
              <w:rPr>
                <w:rFonts w:hint="eastAsia" w:ascii="Times New Roman" w:hAnsi="Times New Roman" w:eastAsia="宋体" w:cs="Times New Roman"/>
                <w:color w:val="auto"/>
                <w:kern w:val="2"/>
                <w:sz w:val="24"/>
                <w:szCs w:val="22"/>
                <w:u w:val="single"/>
                <w:lang w:val="en-US" w:eastAsia="zh-CN" w:bidi="ar-SA"/>
              </w:rPr>
              <w:t>密闭（</w:t>
            </w:r>
            <w:r>
              <w:rPr>
                <w:rFonts w:hint="eastAsia" w:cs="Times New Roman"/>
                <w:color w:val="auto"/>
                <w:kern w:val="2"/>
                <w:sz w:val="24"/>
                <w:szCs w:val="22"/>
                <w:u w:val="single"/>
                <w:lang w:val="en-US" w:eastAsia="zh-CN" w:bidi="ar-SA"/>
              </w:rPr>
              <w:t>选型变频风机风量1.8万-3.8万</w:t>
            </w:r>
            <w:r>
              <w:rPr>
                <w:rFonts w:hint="eastAsia" w:ascii="Times New Roman" w:hAnsi="Times New Roman" w:eastAsia="宋体" w:cs="Times New Roman"/>
                <w:color w:val="auto"/>
                <w:kern w:val="2"/>
                <w:sz w:val="24"/>
                <w:szCs w:val="22"/>
                <w:u w:val="single"/>
                <w:lang w:val="en-US" w:eastAsia="zh-CN" w:bidi="ar-SA"/>
              </w:rPr>
              <w:t>m</w:t>
            </w:r>
            <w:r>
              <w:rPr>
                <w:rFonts w:hint="eastAsia" w:ascii="Times New Roman" w:hAnsi="Times New Roman" w:eastAsia="宋体" w:cs="Times New Roman"/>
                <w:color w:val="auto"/>
                <w:kern w:val="2"/>
                <w:sz w:val="24"/>
                <w:szCs w:val="22"/>
                <w:u w:val="single"/>
                <w:vertAlign w:val="superscript"/>
                <w:lang w:val="en-US" w:eastAsia="zh-CN" w:bidi="ar-SA"/>
              </w:rPr>
              <w:t>3</w:t>
            </w:r>
            <w:r>
              <w:rPr>
                <w:rFonts w:hint="eastAsia" w:ascii="Times New Roman" w:hAnsi="Times New Roman" w:eastAsia="宋体" w:cs="Times New Roman"/>
                <w:color w:val="auto"/>
                <w:kern w:val="2"/>
                <w:sz w:val="24"/>
                <w:szCs w:val="22"/>
                <w:u w:val="single"/>
                <w:lang w:val="en-US" w:eastAsia="zh-CN" w:bidi="ar-SA"/>
              </w:rPr>
              <w:t>/h</w:t>
            </w:r>
            <w:r>
              <w:rPr>
                <w:rFonts w:hint="eastAsia" w:cs="Times New Roman"/>
                <w:color w:val="auto"/>
                <w:kern w:val="2"/>
                <w:sz w:val="24"/>
                <w:szCs w:val="22"/>
                <w:u w:val="single"/>
                <w:lang w:val="en-US" w:eastAsia="zh-CN" w:bidi="ar-SA"/>
              </w:rPr>
              <w:t>，根据《涂装作业安全规程喷漆室安全技术规定》（GB 14444-2006）喷漆房设计控制风速0.5m/s（单个喷漆房内操作台有效高度2m*有效宽4m*3600*0.5=1.44万</w:t>
            </w:r>
            <w:r>
              <w:rPr>
                <w:rFonts w:hint="eastAsia" w:ascii="Times New Roman" w:hAnsi="Times New Roman" w:eastAsia="宋体" w:cs="Times New Roman"/>
                <w:color w:val="auto"/>
                <w:kern w:val="2"/>
                <w:sz w:val="24"/>
                <w:szCs w:val="22"/>
                <w:u w:val="single"/>
                <w:lang w:val="en-US" w:eastAsia="zh-CN" w:bidi="ar-SA"/>
              </w:rPr>
              <w:t>m</w:t>
            </w:r>
            <w:r>
              <w:rPr>
                <w:rFonts w:hint="eastAsia" w:ascii="Times New Roman" w:hAnsi="Times New Roman" w:eastAsia="宋体" w:cs="Times New Roman"/>
                <w:color w:val="auto"/>
                <w:kern w:val="2"/>
                <w:sz w:val="24"/>
                <w:szCs w:val="22"/>
                <w:u w:val="single"/>
                <w:vertAlign w:val="superscript"/>
                <w:lang w:val="en-US" w:eastAsia="zh-CN" w:bidi="ar-SA"/>
              </w:rPr>
              <w:t>3</w:t>
            </w:r>
            <w:r>
              <w:rPr>
                <w:rFonts w:hint="eastAsia" w:ascii="Times New Roman" w:hAnsi="Times New Roman" w:eastAsia="宋体" w:cs="Times New Roman"/>
                <w:color w:val="auto"/>
                <w:kern w:val="2"/>
                <w:sz w:val="24"/>
                <w:szCs w:val="22"/>
                <w:u w:val="single"/>
                <w:lang w:val="en-US" w:eastAsia="zh-CN" w:bidi="ar-SA"/>
              </w:rPr>
              <w:t>/h</w:t>
            </w:r>
            <w:r>
              <w:rPr>
                <w:rFonts w:hint="eastAsia" w:cs="Times New Roman"/>
                <w:color w:val="auto"/>
                <w:kern w:val="2"/>
                <w:sz w:val="24"/>
                <w:szCs w:val="22"/>
                <w:u w:val="single"/>
                <w:lang w:val="en-US" w:eastAsia="zh-CN" w:bidi="ar-SA"/>
              </w:rPr>
              <w:t>），调漆房和烤漆房控制微负压换气次数15-30次/h，风机选型满足要求，总风量计算取值3万</w:t>
            </w:r>
            <w:r>
              <w:rPr>
                <w:rFonts w:hint="eastAsia" w:ascii="Times New Roman" w:hAnsi="Times New Roman" w:eastAsia="宋体" w:cs="Times New Roman"/>
                <w:color w:val="auto"/>
                <w:kern w:val="2"/>
                <w:sz w:val="24"/>
                <w:szCs w:val="22"/>
                <w:u w:val="single"/>
                <w:lang w:val="en-US" w:eastAsia="zh-CN" w:bidi="ar-SA"/>
              </w:rPr>
              <w:t>m</w:t>
            </w:r>
            <w:r>
              <w:rPr>
                <w:rFonts w:hint="eastAsia" w:ascii="Times New Roman" w:hAnsi="Times New Roman" w:eastAsia="宋体" w:cs="Times New Roman"/>
                <w:color w:val="auto"/>
                <w:kern w:val="2"/>
                <w:sz w:val="24"/>
                <w:szCs w:val="22"/>
                <w:u w:val="single"/>
                <w:vertAlign w:val="superscript"/>
                <w:lang w:val="en-US" w:eastAsia="zh-CN" w:bidi="ar-SA"/>
              </w:rPr>
              <w:t>3</w:t>
            </w:r>
            <w:r>
              <w:rPr>
                <w:rFonts w:hint="eastAsia" w:ascii="Times New Roman" w:hAnsi="Times New Roman" w:eastAsia="宋体" w:cs="Times New Roman"/>
                <w:color w:val="auto"/>
                <w:kern w:val="2"/>
                <w:sz w:val="24"/>
                <w:szCs w:val="22"/>
                <w:u w:val="single"/>
                <w:lang w:val="en-US" w:eastAsia="zh-CN" w:bidi="ar-SA"/>
              </w:rPr>
              <w:t>/h），</w:t>
            </w:r>
            <w:r>
              <w:rPr>
                <w:rFonts w:hint="default" w:ascii="Times New Roman" w:hAnsi="Times New Roman" w:cs="Times New Roman"/>
                <w:color w:val="auto"/>
                <w:sz w:val="24"/>
                <w:lang w:val="en-US" w:eastAsia="zh-CN"/>
              </w:rPr>
              <w:t>参考《主要污染物总量减排核算技术指南2022》</w:t>
            </w:r>
            <w:r>
              <w:rPr>
                <w:rFonts w:hint="eastAsia" w:ascii="Times New Roman" w:hAnsi="Times New Roman" w:cs="Times New Roman"/>
                <w:color w:val="auto"/>
                <w:sz w:val="24"/>
                <w:lang w:val="en-US" w:eastAsia="zh-CN"/>
              </w:rPr>
              <w:t>中密闭负压收集效率90%</w:t>
            </w:r>
            <w:r>
              <w:rPr>
                <w:rFonts w:hint="eastAsia"/>
                <w:lang w:eastAsia="zh-CN"/>
              </w:rPr>
              <w:t>，</w:t>
            </w:r>
            <w:r>
              <w:rPr>
                <w:rFonts w:hint="eastAsia" w:ascii="Times New Roman" w:hAnsi="Times New Roman" w:eastAsia="宋体" w:cs="Times New Roman"/>
                <w:color w:val="auto"/>
                <w:kern w:val="2"/>
                <w:sz w:val="24"/>
                <w:szCs w:val="22"/>
                <w:lang w:val="en-US" w:eastAsia="zh-CN" w:bidi="ar-SA"/>
              </w:rPr>
              <w:t>收集效率按</w:t>
            </w:r>
            <w:r>
              <w:rPr>
                <w:rFonts w:hint="eastAsia" w:cs="Times New Roman"/>
                <w:color w:val="auto"/>
                <w:kern w:val="2"/>
                <w:sz w:val="24"/>
                <w:szCs w:val="22"/>
                <w:lang w:val="en-US" w:eastAsia="zh-CN" w:bidi="ar-SA"/>
              </w:rPr>
              <w:t>9</w:t>
            </w:r>
            <w:r>
              <w:rPr>
                <w:rFonts w:hint="eastAsia" w:ascii="Times New Roman" w:hAnsi="Times New Roman" w:eastAsia="宋体" w:cs="Times New Roman"/>
                <w:color w:val="auto"/>
                <w:kern w:val="2"/>
                <w:sz w:val="24"/>
                <w:szCs w:val="22"/>
                <w:lang w:val="en-US" w:eastAsia="zh-CN" w:bidi="ar-SA"/>
              </w:rPr>
              <w:t>0%计，有组织废气挥发性有机物（以非甲烷总烃计）产生量为</w:t>
            </w:r>
            <w:r>
              <w:rPr>
                <w:rFonts w:hint="eastAsia" w:cs="Times New Roman"/>
                <w:color w:val="auto"/>
                <w:kern w:val="2"/>
                <w:sz w:val="24"/>
                <w:szCs w:val="22"/>
                <w:lang w:val="en-US" w:eastAsia="zh-CN" w:bidi="ar-SA"/>
              </w:rPr>
              <w:t>3.87</w:t>
            </w:r>
            <w:r>
              <w:rPr>
                <w:rFonts w:hint="eastAsia" w:ascii="Times New Roman" w:hAnsi="Times New Roman" w:eastAsia="宋体" w:cs="Times New Roman"/>
                <w:color w:val="auto"/>
                <w:kern w:val="2"/>
                <w:sz w:val="24"/>
                <w:szCs w:val="22"/>
                <w:lang w:val="en-US" w:eastAsia="zh-CN" w:bidi="ar-SA"/>
              </w:rPr>
              <w:t>t/a、二甲苯产生量为</w:t>
            </w:r>
            <w:r>
              <w:rPr>
                <w:rFonts w:hint="eastAsia" w:cs="Times New Roman"/>
                <w:color w:val="auto"/>
                <w:kern w:val="2"/>
                <w:sz w:val="24"/>
                <w:szCs w:val="22"/>
                <w:lang w:val="en-US" w:eastAsia="zh-CN" w:bidi="ar-SA"/>
              </w:rPr>
              <w:t>2.061</w:t>
            </w:r>
            <w:r>
              <w:rPr>
                <w:rFonts w:hint="eastAsia" w:ascii="Times New Roman" w:hAnsi="Times New Roman" w:eastAsia="宋体" w:cs="Times New Roman"/>
                <w:color w:val="auto"/>
                <w:kern w:val="2"/>
                <w:sz w:val="24"/>
                <w:szCs w:val="22"/>
                <w:lang w:val="en-US" w:eastAsia="zh-CN" w:bidi="ar-SA"/>
              </w:rPr>
              <w:t>t/a。通过一套干式过滤+活性炭吸附脱附+催化燃烧装置处理</w:t>
            </w:r>
            <w:r>
              <w:rPr>
                <w:rFonts w:hint="eastAsia" w:ascii="Times New Roman" w:hAnsi="Times New Roman" w:cs="Times New Roman"/>
                <w:color w:val="auto"/>
                <w:sz w:val="24"/>
                <w:lang w:val="en-US" w:eastAsia="zh-CN"/>
              </w:rPr>
              <w:t>后经15m排气筒（DA001）排放</w:t>
            </w:r>
            <w:r>
              <w:rPr>
                <w:rFonts w:hint="eastAsia" w:ascii="Times New Roman" w:hAnsi="Times New Roman" w:eastAsia="宋体" w:cs="Times New Roman"/>
                <w:color w:val="auto"/>
                <w:kern w:val="2"/>
                <w:sz w:val="24"/>
                <w:szCs w:val="22"/>
                <w:lang w:val="en-US" w:eastAsia="zh-CN" w:bidi="ar-SA"/>
              </w:rPr>
              <w:t>。调漆、喷漆、烤漆年工作时间约为2</w:t>
            </w:r>
            <w:r>
              <w:rPr>
                <w:rFonts w:hint="eastAsia" w:cs="Times New Roman"/>
                <w:color w:val="auto"/>
                <w:kern w:val="2"/>
                <w:sz w:val="24"/>
                <w:szCs w:val="22"/>
                <w:lang w:val="en-US" w:eastAsia="zh-CN" w:bidi="ar-SA"/>
              </w:rPr>
              <w:t>4</w:t>
            </w:r>
            <w:r>
              <w:rPr>
                <w:rFonts w:hint="eastAsia" w:ascii="Times New Roman" w:hAnsi="Times New Roman" w:eastAsia="宋体" w:cs="Times New Roman"/>
                <w:color w:val="auto"/>
                <w:kern w:val="2"/>
                <w:sz w:val="24"/>
                <w:szCs w:val="22"/>
                <w:lang w:val="en-US" w:eastAsia="zh-CN" w:bidi="ar-SA"/>
              </w:rPr>
              <w:t>00h，有组织挥发性有机物（以非甲烷总烃计）产生速率为</w:t>
            </w:r>
            <w:r>
              <w:rPr>
                <w:rFonts w:hint="eastAsia" w:cs="Times New Roman"/>
                <w:color w:val="auto"/>
                <w:kern w:val="2"/>
                <w:sz w:val="24"/>
                <w:szCs w:val="22"/>
                <w:lang w:val="en-US" w:eastAsia="zh-CN" w:bidi="ar-SA"/>
              </w:rPr>
              <w:t>1.1625</w:t>
            </w:r>
            <w:r>
              <w:rPr>
                <w:rFonts w:hint="eastAsia" w:ascii="Times New Roman" w:hAnsi="Times New Roman" w:eastAsia="宋体" w:cs="Times New Roman"/>
                <w:color w:val="auto"/>
                <w:kern w:val="2"/>
                <w:sz w:val="24"/>
                <w:szCs w:val="22"/>
                <w:lang w:val="en-US" w:eastAsia="zh-CN" w:bidi="ar-SA"/>
              </w:rPr>
              <w:t>kg/h、产生浓度为5</w:t>
            </w:r>
            <w:r>
              <w:rPr>
                <w:rFonts w:hint="eastAsia" w:cs="Times New Roman"/>
                <w:color w:val="auto"/>
                <w:kern w:val="2"/>
                <w:sz w:val="24"/>
                <w:szCs w:val="22"/>
                <w:lang w:val="en-US" w:eastAsia="zh-CN" w:bidi="ar-SA"/>
              </w:rPr>
              <w:t>3.75</w:t>
            </w:r>
            <w:r>
              <w:rPr>
                <w:rFonts w:hint="eastAsia" w:ascii="Times New Roman" w:hAnsi="Times New Roman" w:eastAsia="宋体" w:cs="Times New Roman"/>
                <w:color w:val="auto"/>
                <w:kern w:val="2"/>
                <w:sz w:val="24"/>
                <w:szCs w:val="22"/>
                <w:lang w:val="en-US" w:eastAsia="zh-CN" w:bidi="ar-SA"/>
              </w:rPr>
              <w:t>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kern w:val="2"/>
                <w:sz w:val="24"/>
                <w:szCs w:val="22"/>
                <w:vertAlign w:val="baseline"/>
                <w:lang w:val="en-US" w:eastAsia="zh-CN" w:bidi="ar-SA"/>
              </w:rPr>
              <w:t>，</w:t>
            </w:r>
            <w:r>
              <w:rPr>
                <w:rFonts w:hint="eastAsia" w:ascii="Times New Roman" w:hAnsi="Times New Roman" w:eastAsia="宋体" w:cs="Times New Roman"/>
                <w:color w:val="auto"/>
                <w:kern w:val="2"/>
                <w:sz w:val="24"/>
                <w:szCs w:val="22"/>
                <w:lang w:val="en-US" w:eastAsia="zh-CN" w:bidi="ar-SA"/>
              </w:rPr>
              <w:t>二甲苯产生速率为0.</w:t>
            </w:r>
            <w:r>
              <w:rPr>
                <w:rFonts w:hint="eastAsia" w:cs="Times New Roman"/>
                <w:color w:val="auto"/>
                <w:kern w:val="2"/>
                <w:sz w:val="24"/>
                <w:szCs w:val="22"/>
                <w:lang w:val="en-US" w:eastAsia="zh-CN" w:bidi="ar-SA"/>
              </w:rPr>
              <w:t>85875</w:t>
            </w:r>
            <w:r>
              <w:rPr>
                <w:rFonts w:hint="eastAsia" w:ascii="Times New Roman" w:hAnsi="Times New Roman" w:eastAsia="宋体" w:cs="Times New Roman"/>
                <w:color w:val="auto"/>
                <w:kern w:val="2"/>
                <w:sz w:val="24"/>
                <w:szCs w:val="22"/>
                <w:lang w:val="en-US" w:eastAsia="zh-CN" w:bidi="ar-SA"/>
              </w:rPr>
              <w:t>kg/h、产生浓度为</w:t>
            </w:r>
            <w:r>
              <w:rPr>
                <w:rFonts w:hint="eastAsia" w:cs="Times New Roman"/>
                <w:color w:val="auto"/>
                <w:kern w:val="2"/>
                <w:sz w:val="24"/>
                <w:szCs w:val="22"/>
                <w:lang w:val="en-US" w:eastAsia="zh-CN" w:bidi="ar-SA"/>
              </w:rPr>
              <w:t>28.625</w:t>
            </w:r>
            <w:r>
              <w:rPr>
                <w:rFonts w:hint="eastAsia" w:ascii="Times New Roman" w:hAnsi="Times New Roman" w:eastAsia="宋体" w:cs="Times New Roman"/>
                <w:color w:val="auto"/>
                <w:kern w:val="2"/>
                <w:sz w:val="24"/>
                <w:szCs w:val="22"/>
                <w:lang w:val="en-US" w:eastAsia="zh-CN" w:bidi="ar-SA"/>
              </w:rPr>
              <w:t>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kern w:val="2"/>
                <w:sz w:val="24"/>
                <w:szCs w:val="22"/>
                <w:vertAlign w:val="baseline"/>
                <w:lang w:val="en-US" w:eastAsia="zh-CN" w:bidi="ar-SA"/>
              </w:rPr>
              <w:t>。</w:t>
            </w:r>
          </w:p>
          <w:p w14:paraId="541B905E">
            <w:pPr>
              <w:pStyle w:val="29"/>
              <w:bidi w:val="0"/>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cs="Times New Roman"/>
                <w:color w:val="auto"/>
                <w:sz w:val="24"/>
              </w:rPr>
              <w:t>参考《排放源统计调查产排污核算方法和系数手册》（生态环境部办公厅2021年6月11日印发）-“33-37,431-434 机械行业</w:t>
            </w:r>
            <w:r>
              <w:rPr>
                <w:rFonts w:hint="eastAsia"/>
                <w:color w:val="auto"/>
                <w:sz w:val="24"/>
              </w:rPr>
              <w:t>系数手册</w:t>
            </w:r>
            <w:r>
              <w:rPr>
                <w:rFonts w:hint="default" w:ascii="Times New Roman" w:hAnsi="Times New Roman" w:cs="Times New Roman"/>
                <w:color w:val="auto"/>
                <w:sz w:val="24"/>
              </w:rPr>
              <w:t>”中“</w:t>
            </w:r>
            <w:r>
              <w:rPr>
                <w:rFonts w:hint="eastAsia" w:ascii="Times New Roman" w:hAnsi="Times New Roman" w:cs="Times New Roman"/>
                <w:color w:val="auto"/>
                <w:sz w:val="24"/>
                <w:lang w:val="en-US" w:eastAsia="zh-CN"/>
              </w:rPr>
              <w:t>14涂装-溶剂型油漆喷漆后烘干</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-催化燃烧处理效率</w:t>
            </w:r>
            <w:r>
              <w:rPr>
                <w:rFonts w:hint="default" w:ascii="Times New Roman" w:hAnsi="Times New Roman" w:cs="Times New Roman"/>
                <w:color w:val="auto"/>
                <w:sz w:val="24"/>
                <w:lang w:val="en-US" w:eastAsia="zh-CN"/>
              </w:rPr>
              <w:t>为85%，计算</w:t>
            </w:r>
            <w:r>
              <w:rPr>
                <w:rFonts w:hint="default" w:ascii="Times New Roman" w:hAnsi="Times New Roman" w:eastAsia="宋体" w:cs="Times New Roman"/>
                <w:color w:val="auto"/>
                <w:kern w:val="2"/>
                <w:sz w:val="24"/>
                <w:szCs w:val="22"/>
                <w:lang w:val="en-US" w:eastAsia="zh-CN" w:bidi="ar-SA"/>
              </w:rPr>
              <w:t>有组织挥发性有机物（以非甲烷总烃计）</w:t>
            </w:r>
            <w:r>
              <w:rPr>
                <w:rFonts w:hint="eastAsia" w:ascii="Times New Roman" w:hAnsi="Times New Roman" w:cs="Times New Roman"/>
                <w:color w:val="auto"/>
                <w:kern w:val="2"/>
                <w:sz w:val="24"/>
                <w:szCs w:val="22"/>
                <w:lang w:val="en-US" w:eastAsia="zh-CN" w:bidi="ar-SA"/>
              </w:rPr>
              <w:t>排放量为0.581t/a、</w:t>
            </w:r>
            <w:r>
              <w:rPr>
                <w:rFonts w:hint="default" w:ascii="Times New Roman" w:hAnsi="Times New Roman" w:cs="Times New Roman"/>
                <w:color w:val="auto"/>
                <w:kern w:val="2"/>
                <w:sz w:val="24"/>
                <w:szCs w:val="22"/>
                <w:lang w:val="en-US" w:eastAsia="zh-CN" w:bidi="ar-SA"/>
              </w:rPr>
              <w:t>排放</w:t>
            </w:r>
            <w:r>
              <w:rPr>
                <w:rFonts w:hint="default" w:ascii="Times New Roman" w:hAnsi="Times New Roman" w:eastAsia="宋体" w:cs="Times New Roman"/>
                <w:color w:val="auto"/>
                <w:kern w:val="2"/>
                <w:sz w:val="24"/>
                <w:szCs w:val="22"/>
                <w:lang w:val="en-US" w:eastAsia="zh-CN" w:bidi="ar-SA"/>
              </w:rPr>
              <w:t>速率为</w:t>
            </w:r>
            <w:r>
              <w:rPr>
                <w:rFonts w:hint="eastAsia" w:ascii="Times New Roman" w:hAnsi="Times New Roman" w:cs="Times New Roman"/>
                <w:color w:val="auto"/>
                <w:kern w:val="2"/>
                <w:sz w:val="24"/>
                <w:szCs w:val="22"/>
                <w:lang w:val="en-US" w:eastAsia="zh-CN" w:bidi="ar-SA"/>
              </w:rPr>
              <w:t>0.242</w:t>
            </w:r>
            <w:r>
              <w:rPr>
                <w:rFonts w:hint="default" w:ascii="Times New Roman" w:hAnsi="Times New Roman" w:eastAsia="宋体" w:cs="Times New Roman"/>
                <w:color w:val="auto"/>
                <w:kern w:val="2"/>
                <w:sz w:val="24"/>
                <w:szCs w:val="22"/>
                <w:lang w:val="en-US" w:eastAsia="zh-CN" w:bidi="ar-SA"/>
              </w:rPr>
              <w:t>kg/h、</w:t>
            </w:r>
            <w:r>
              <w:rPr>
                <w:rFonts w:hint="default" w:ascii="Times New Roman" w:hAnsi="Times New Roman" w:cs="Times New Roman"/>
                <w:color w:val="auto"/>
                <w:kern w:val="2"/>
                <w:sz w:val="24"/>
                <w:szCs w:val="22"/>
                <w:lang w:val="en-US" w:eastAsia="zh-CN" w:bidi="ar-SA"/>
              </w:rPr>
              <w:t>排放</w:t>
            </w:r>
            <w:r>
              <w:rPr>
                <w:rFonts w:hint="default" w:ascii="Times New Roman" w:hAnsi="Times New Roman" w:eastAsia="宋体" w:cs="Times New Roman"/>
                <w:color w:val="auto"/>
                <w:kern w:val="2"/>
                <w:sz w:val="24"/>
                <w:szCs w:val="22"/>
                <w:lang w:val="en-US" w:eastAsia="zh-CN" w:bidi="ar-SA"/>
              </w:rPr>
              <w:t>浓度为</w:t>
            </w:r>
            <w:r>
              <w:rPr>
                <w:rFonts w:hint="eastAsia" w:ascii="Times New Roman" w:hAnsi="Times New Roman" w:cs="Times New Roman"/>
                <w:color w:val="auto"/>
                <w:kern w:val="2"/>
                <w:sz w:val="24"/>
                <w:szCs w:val="22"/>
                <w:lang w:val="en-US" w:eastAsia="zh-CN" w:bidi="ar-SA"/>
              </w:rPr>
              <w:t>8.063</w:t>
            </w:r>
            <w:r>
              <w:rPr>
                <w:rFonts w:hint="default" w:ascii="Times New Roman" w:hAnsi="Times New Roman" w:eastAsia="宋体" w:cs="Times New Roman"/>
                <w:color w:val="auto"/>
                <w:kern w:val="2"/>
                <w:sz w:val="24"/>
                <w:szCs w:val="22"/>
                <w:lang w:val="en-US" w:eastAsia="zh-CN" w:bidi="ar-SA"/>
              </w:rPr>
              <w:t>mg/m</w:t>
            </w:r>
            <w:r>
              <w:rPr>
                <w:rFonts w:hint="default" w:ascii="Times New Roman" w:hAnsi="Times New Roman" w:eastAsia="宋体" w:cs="Times New Roman"/>
                <w:color w:val="auto"/>
                <w:kern w:val="2"/>
                <w:sz w:val="24"/>
                <w:szCs w:val="22"/>
                <w:vertAlign w:val="superscript"/>
                <w:lang w:val="en-US" w:eastAsia="zh-CN" w:bidi="ar-SA"/>
              </w:rPr>
              <w:t>3</w:t>
            </w:r>
            <w:r>
              <w:rPr>
                <w:rFonts w:hint="default" w:ascii="Times New Roman" w:hAnsi="Times New Roman" w:eastAsia="宋体" w:cs="Times New Roman"/>
                <w:color w:val="auto"/>
                <w:kern w:val="2"/>
                <w:sz w:val="24"/>
                <w:szCs w:val="22"/>
                <w:vertAlign w:val="baseline"/>
                <w:lang w:val="en-US" w:eastAsia="zh-CN" w:bidi="ar-SA"/>
              </w:rPr>
              <w:t>，</w:t>
            </w:r>
            <w:r>
              <w:rPr>
                <w:rFonts w:hint="eastAsia" w:ascii="Times New Roman" w:hAnsi="Times New Roman" w:cs="Times New Roman"/>
                <w:color w:val="auto"/>
                <w:kern w:val="2"/>
                <w:sz w:val="24"/>
                <w:szCs w:val="22"/>
                <w:lang w:val="en-US" w:eastAsia="zh-CN" w:bidi="ar-SA"/>
              </w:rPr>
              <w:t>排放量为0.309t/a、</w:t>
            </w:r>
            <w:r>
              <w:rPr>
                <w:rFonts w:hint="default" w:ascii="Times New Roman" w:hAnsi="Times New Roman" w:eastAsia="宋体" w:cs="Times New Roman"/>
                <w:color w:val="auto"/>
                <w:kern w:val="2"/>
                <w:sz w:val="24"/>
                <w:szCs w:val="22"/>
                <w:lang w:val="en-US" w:eastAsia="zh-CN" w:bidi="ar-SA"/>
              </w:rPr>
              <w:t>二甲苯</w:t>
            </w:r>
            <w:r>
              <w:rPr>
                <w:rFonts w:hint="default" w:ascii="Times New Roman" w:hAnsi="Times New Roman" w:cs="Times New Roman"/>
                <w:color w:val="auto"/>
                <w:kern w:val="2"/>
                <w:sz w:val="24"/>
                <w:szCs w:val="22"/>
                <w:lang w:val="en-US" w:eastAsia="zh-CN" w:bidi="ar-SA"/>
              </w:rPr>
              <w:t>排放</w:t>
            </w:r>
            <w:r>
              <w:rPr>
                <w:rFonts w:hint="default" w:ascii="Times New Roman" w:hAnsi="Times New Roman" w:eastAsia="宋体" w:cs="Times New Roman"/>
                <w:color w:val="auto"/>
                <w:kern w:val="2"/>
                <w:sz w:val="24"/>
                <w:szCs w:val="22"/>
                <w:lang w:val="en-US" w:eastAsia="zh-CN" w:bidi="ar-SA"/>
              </w:rPr>
              <w:t>速率为0.</w:t>
            </w:r>
            <w:r>
              <w:rPr>
                <w:rFonts w:hint="eastAsia" w:ascii="Times New Roman" w:hAnsi="Times New Roman" w:cs="Times New Roman"/>
                <w:color w:val="auto"/>
                <w:kern w:val="2"/>
                <w:sz w:val="24"/>
                <w:szCs w:val="22"/>
                <w:lang w:val="en-US" w:eastAsia="zh-CN" w:bidi="ar-SA"/>
              </w:rPr>
              <w:t>129</w:t>
            </w:r>
            <w:r>
              <w:rPr>
                <w:rFonts w:hint="default" w:ascii="Times New Roman" w:hAnsi="Times New Roman" w:eastAsia="宋体" w:cs="Times New Roman"/>
                <w:color w:val="auto"/>
                <w:kern w:val="2"/>
                <w:sz w:val="24"/>
                <w:szCs w:val="22"/>
                <w:lang w:val="en-US" w:eastAsia="zh-CN" w:bidi="ar-SA"/>
              </w:rPr>
              <w:t>kg/h、</w:t>
            </w:r>
            <w:r>
              <w:rPr>
                <w:rFonts w:hint="default" w:ascii="Times New Roman" w:hAnsi="Times New Roman" w:cs="Times New Roman"/>
                <w:color w:val="auto"/>
                <w:kern w:val="2"/>
                <w:sz w:val="24"/>
                <w:szCs w:val="22"/>
                <w:lang w:val="en-US" w:eastAsia="zh-CN" w:bidi="ar-SA"/>
              </w:rPr>
              <w:t>排放</w:t>
            </w:r>
            <w:r>
              <w:rPr>
                <w:rFonts w:hint="default" w:ascii="Times New Roman" w:hAnsi="Times New Roman" w:eastAsia="宋体" w:cs="Times New Roman"/>
                <w:color w:val="auto"/>
                <w:kern w:val="2"/>
                <w:sz w:val="24"/>
                <w:szCs w:val="22"/>
                <w:lang w:val="en-US" w:eastAsia="zh-CN" w:bidi="ar-SA"/>
              </w:rPr>
              <w:t>浓度为</w:t>
            </w:r>
            <w:r>
              <w:rPr>
                <w:rFonts w:hint="eastAsia" w:ascii="Times New Roman" w:hAnsi="Times New Roman" w:cs="Times New Roman"/>
                <w:color w:val="auto"/>
                <w:kern w:val="2"/>
                <w:sz w:val="24"/>
                <w:szCs w:val="22"/>
                <w:lang w:val="en-US" w:eastAsia="zh-CN" w:bidi="ar-SA"/>
              </w:rPr>
              <w:t>4.294</w:t>
            </w:r>
            <w:r>
              <w:rPr>
                <w:rFonts w:hint="default" w:ascii="Times New Roman" w:hAnsi="Times New Roman" w:eastAsia="宋体" w:cs="Times New Roman"/>
                <w:color w:val="auto"/>
                <w:kern w:val="2"/>
                <w:sz w:val="24"/>
                <w:szCs w:val="22"/>
                <w:lang w:val="en-US" w:eastAsia="zh-CN" w:bidi="ar-SA"/>
              </w:rPr>
              <w:t>mg/m</w:t>
            </w:r>
            <w:r>
              <w:rPr>
                <w:rFonts w:hint="default" w:ascii="Times New Roman" w:hAnsi="Times New Roman" w:eastAsia="宋体" w:cs="Times New Roman"/>
                <w:color w:val="auto"/>
                <w:kern w:val="2"/>
                <w:sz w:val="24"/>
                <w:szCs w:val="22"/>
                <w:vertAlign w:val="superscript"/>
                <w:lang w:val="en-US" w:eastAsia="zh-CN" w:bidi="ar-SA"/>
              </w:rPr>
              <w:t>3</w:t>
            </w:r>
            <w:r>
              <w:rPr>
                <w:rFonts w:hint="default" w:ascii="Times New Roman" w:hAnsi="Times New Roman" w:eastAsia="宋体" w:cs="Times New Roman"/>
                <w:color w:val="auto"/>
                <w:kern w:val="2"/>
                <w:sz w:val="24"/>
                <w:szCs w:val="22"/>
                <w:vertAlign w:val="baseline"/>
                <w:lang w:val="en-US" w:eastAsia="zh-CN" w:bidi="ar-SA"/>
              </w:rPr>
              <w:t>。</w:t>
            </w:r>
          </w:p>
          <w:p w14:paraId="1579A4F9">
            <w:pPr>
              <w:pStyle w:val="29"/>
              <w:bidi w:val="0"/>
              <w:rPr>
                <w:rFonts w:hint="eastAsia" w:ascii="Times New Roman" w:hAnsi="Times New Roman" w:cs="Times New Roman"/>
                <w:color w:val="auto"/>
                <w:sz w:val="24"/>
                <w:lang w:val="en-US" w:eastAsia="zh-CN"/>
              </w:rPr>
            </w:pPr>
            <w:r>
              <w:rPr>
                <w:rFonts w:hint="eastAsia" w:ascii="Times New Roman" w:hAnsi="Times New Roman" w:eastAsia="宋体" w:cs="Times New Roman"/>
                <w:color w:val="auto"/>
                <w:kern w:val="2"/>
                <w:sz w:val="24"/>
                <w:szCs w:val="22"/>
                <w:lang w:val="en-US" w:eastAsia="zh-CN" w:bidi="ar-SA"/>
              </w:rPr>
              <w:t>无组织排放挥发性有机物（以非甲烷总烃计）0.</w:t>
            </w:r>
            <w:r>
              <w:rPr>
                <w:rFonts w:hint="eastAsia" w:ascii="Times New Roman" w:hAnsi="Times New Roman" w:cs="Times New Roman"/>
                <w:color w:val="auto"/>
                <w:kern w:val="2"/>
                <w:sz w:val="24"/>
                <w:szCs w:val="22"/>
                <w:lang w:val="en-US" w:eastAsia="zh-CN" w:bidi="ar-SA"/>
              </w:rPr>
              <w:t>43</w:t>
            </w:r>
            <w:r>
              <w:rPr>
                <w:rFonts w:hint="eastAsia" w:ascii="Times New Roman" w:hAnsi="Times New Roman" w:eastAsia="宋体" w:cs="Times New Roman"/>
                <w:color w:val="auto"/>
                <w:kern w:val="2"/>
                <w:sz w:val="24"/>
                <w:szCs w:val="22"/>
                <w:lang w:val="en-US" w:eastAsia="zh-CN" w:bidi="ar-SA"/>
              </w:rPr>
              <w:t>t/a、二甲苯0.</w:t>
            </w:r>
            <w:r>
              <w:rPr>
                <w:rFonts w:hint="eastAsia" w:ascii="Times New Roman" w:hAnsi="Times New Roman" w:cs="Times New Roman"/>
                <w:color w:val="auto"/>
                <w:kern w:val="2"/>
                <w:sz w:val="24"/>
                <w:szCs w:val="22"/>
                <w:lang w:val="en-US" w:eastAsia="zh-CN" w:bidi="ar-SA"/>
              </w:rPr>
              <w:t>229</w:t>
            </w:r>
            <w:r>
              <w:rPr>
                <w:rFonts w:hint="eastAsia" w:ascii="Times New Roman" w:hAnsi="Times New Roman" w:eastAsia="宋体" w:cs="Times New Roman"/>
                <w:color w:val="auto"/>
                <w:kern w:val="2"/>
                <w:sz w:val="24"/>
                <w:szCs w:val="22"/>
                <w:lang w:val="en-US" w:eastAsia="zh-CN" w:bidi="ar-SA"/>
              </w:rPr>
              <w:t>t/a</w:t>
            </w:r>
            <w:r>
              <w:rPr>
                <w:rFonts w:hint="eastAsia" w:ascii="Times New Roman" w:hAnsi="Times New Roman" w:cs="Times New Roman"/>
                <w:color w:val="auto"/>
                <w:kern w:val="2"/>
                <w:sz w:val="24"/>
                <w:szCs w:val="22"/>
                <w:lang w:val="en-US" w:eastAsia="zh-CN" w:bidi="ar-SA"/>
              </w:rPr>
              <w:t>，排放速率为</w:t>
            </w:r>
            <w:r>
              <w:rPr>
                <w:rFonts w:hint="eastAsia" w:ascii="Times New Roman" w:hAnsi="Times New Roman" w:eastAsia="宋体" w:cs="Times New Roman"/>
                <w:color w:val="auto"/>
                <w:kern w:val="2"/>
                <w:sz w:val="24"/>
                <w:szCs w:val="22"/>
                <w:lang w:val="en-US" w:eastAsia="zh-CN" w:bidi="ar-SA"/>
              </w:rPr>
              <w:t>挥发性有机物（以非甲烷总烃计）</w:t>
            </w:r>
            <w:r>
              <w:rPr>
                <w:rFonts w:hint="eastAsia" w:ascii="Times New Roman" w:hAnsi="Times New Roman" w:cs="Times New Roman"/>
                <w:color w:val="auto"/>
                <w:kern w:val="2"/>
                <w:sz w:val="24"/>
                <w:szCs w:val="22"/>
                <w:lang w:val="en-US" w:eastAsia="zh-CN" w:bidi="ar-SA"/>
              </w:rPr>
              <w:t>0.179kg/h、二甲苯0.095kg/h</w:t>
            </w:r>
            <w:r>
              <w:rPr>
                <w:rFonts w:hint="eastAsia" w:ascii="Times New Roman" w:hAnsi="Times New Roman" w:eastAsia="宋体" w:cs="Times New Roman"/>
                <w:color w:val="auto"/>
                <w:kern w:val="2"/>
                <w:sz w:val="24"/>
                <w:szCs w:val="22"/>
                <w:lang w:val="en-US" w:eastAsia="zh-CN" w:bidi="ar-SA"/>
              </w:rPr>
              <w:t>。</w:t>
            </w:r>
          </w:p>
          <w:p w14:paraId="7C5CF25F">
            <w:pPr>
              <w:pStyle w:val="29"/>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（4）打磨粉尘</w:t>
            </w:r>
          </w:p>
          <w:p w14:paraId="3FEDD4B1">
            <w:pPr>
              <w:adjustRightInd w:val="0"/>
              <w:snapToGrid w:val="0"/>
              <w:spacing w:line="360" w:lineRule="auto"/>
              <w:ind w:firstLine="480" w:firstLineChars="200"/>
              <w:rPr>
                <w:rFonts w:hint="default" w:ascii="Times New Roman" w:hAnsi="Times New Roman" w:cs="Times New Roman"/>
                <w:color w:val="auto"/>
                <w:sz w:val="24"/>
                <w:lang w:val="en-US" w:eastAsia="zh-CN"/>
              </w:rPr>
            </w:pPr>
            <w:r>
              <w:rPr>
                <w:rFonts w:hint="eastAsia"/>
                <w:color w:val="auto"/>
                <w:sz w:val="24"/>
                <w:lang w:val="en-US" w:eastAsia="zh-CN"/>
              </w:rPr>
              <w:t>本项目在底漆和面漆涂装烘干后，都需要对漆面进行打磨</w:t>
            </w:r>
            <w:r>
              <w:rPr>
                <w:rFonts w:hint="eastAsia"/>
                <w:color w:val="auto"/>
                <w:sz w:val="24"/>
              </w:rPr>
              <w:t>，主要污染因子为颗粒物。其产污系数参考《排放源统计调查产排污核算方法和系数手册》（生态环境部办公厅2021年6月11日印发）-“33-37,431-434 机械行业系数手册”中“</w:t>
            </w:r>
            <w:r>
              <w:rPr>
                <w:rFonts w:hint="eastAsia"/>
                <w:color w:val="auto"/>
                <w:sz w:val="24"/>
                <w:lang w:val="en-US" w:eastAsia="zh-CN"/>
              </w:rPr>
              <w:t>14</w:t>
            </w:r>
            <w:r>
              <w:rPr>
                <w:rFonts w:hint="eastAsia"/>
                <w:color w:val="auto"/>
                <w:sz w:val="24"/>
              </w:rPr>
              <w:t xml:space="preserve"> </w:t>
            </w:r>
            <w:r>
              <w:rPr>
                <w:rFonts w:hint="eastAsia"/>
                <w:color w:val="auto"/>
                <w:sz w:val="24"/>
                <w:lang w:val="en-US" w:eastAsia="zh-CN"/>
              </w:rPr>
              <w:t>涂装</w:t>
            </w:r>
            <w:r>
              <w:rPr>
                <w:rFonts w:hint="eastAsia"/>
                <w:color w:val="auto"/>
                <w:sz w:val="24"/>
              </w:rPr>
              <w:t>-</w:t>
            </w:r>
            <w:r>
              <w:rPr>
                <w:rFonts w:hint="eastAsia"/>
                <w:color w:val="auto"/>
                <w:sz w:val="24"/>
                <w:lang w:val="en-US" w:eastAsia="zh-CN"/>
              </w:rPr>
              <w:t>腻子打磨</w:t>
            </w:r>
            <w:r>
              <w:rPr>
                <w:rFonts w:hint="eastAsia"/>
                <w:color w:val="auto"/>
                <w:sz w:val="24"/>
              </w:rPr>
              <w:t>”</w:t>
            </w:r>
            <w:r>
              <w:rPr>
                <w:rFonts w:hint="eastAsia"/>
                <w:color w:val="auto"/>
                <w:sz w:val="24"/>
                <w:lang w:val="en-US" w:eastAsia="zh-CN"/>
              </w:rPr>
              <w:t>产污系数</w:t>
            </w:r>
            <w:r>
              <w:rPr>
                <w:rFonts w:hint="eastAsia"/>
                <w:color w:val="auto"/>
                <w:sz w:val="24"/>
              </w:rPr>
              <w:t>取</w:t>
            </w:r>
            <w:r>
              <w:rPr>
                <w:rFonts w:hint="eastAsia"/>
                <w:color w:val="auto"/>
                <w:sz w:val="24"/>
                <w:lang w:val="en-US" w:eastAsia="zh-CN"/>
              </w:rPr>
              <w:t>166</w:t>
            </w:r>
            <w:r>
              <w:rPr>
                <w:rFonts w:hint="eastAsia"/>
                <w:color w:val="auto"/>
                <w:sz w:val="24"/>
              </w:rPr>
              <w:t>千克/吨-原料</w:t>
            </w:r>
            <w:r>
              <w:rPr>
                <w:rFonts w:hint="eastAsia"/>
                <w:color w:val="auto"/>
                <w:sz w:val="24"/>
                <w:lang w:eastAsia="zh-CN"/>
              </w:rPr>
              <w:t>，</w:t>
            </w:r>
            <w:r>
              <w:rPr>
                <w:rFonts w:hint="eastAsia"/>
                <w:color w:val="auto"/>
                <w:sz w:val="24"/>
                <w:lang w:val="en-US" w:eastAsia="zh-CN"/>
              </w:rPr>
              <w:t>项目喷涂烤漆后上漆固体组分为2.015t/a（打磨前），则打磨粉尘产生量约为0.334t/a</w:t>
            </w:r>
            <w:r>
              <w:rPr>
                <w:rFonts w:hint="eastAsia"/>
                <w:color w:val="auto"/>
                <w:sz w:val="24"/>
              </w:rPr>
              <w:t>。</w:t>
            </w:r>
            <w:r>
              <w:rPr>
                <w:rFonts w:hint="default" w:ascii="Times New Roman" w:hAnsi="Times New Roman" w:cs="Times New Roman"/>
                <w:color w:val="auto"/>
                <w:sz w:val="24"/>
                <w:lang w:val="en-US" w:eastAsia="zh-CN"/>
              </w:rPr>
              <w:t>本项目拟采用</w:t>
            </w:r>
            <w:r>
              <w:rPr>
                <w:rFonts w:hint="eastAsia" w:cs="Times New Roman"/>
                <w:color w:val="auto"/>
                <w:sz w:val="24"/>
                <w:lang w:val="en-US" w:eastAsia="zh-CN"/>
              </w:rPr>
              <w:t>密闭负压打磨房收集</w:t>
            </w:r>
            <w:r>
              <w:rPr>
                <w:rFonts w:hint="default" w:ascii="Times New Roman" w:hAnsi="Times New Roman" w:cs="Times New Roman"/>
                <w:color w:val="auto"/>
                <w:sz w:val="24"/>
                <w:lang w:val="en-US" w:eastAsia="zh-CN"/>
              </w:rPr>
              <w:t>+</w:t>
            </w:r>
            <w:r>
              <w:rPr>
                <w:rFonts w:hint="eastAsia" w:cs="Times New Roman"/>
                <w:color w:val="auto"/>
                <w:sz w:val="24"/>
                <w:lang w:val="en-US" w:eastAsia="zh-CN"/>
              </w:rPr>
              <w:t>水帘柜+移动式布袋除尘器（TA002）</w:t>
            </w:r>
            <w:r>
              <w:rPr>
                <w:rFonts w:hint="default" w:ascii="Times New Roman" w:hAnsi="Times New Roman" w:cs="Times New Roman"/>
                <w:color w:val="auto"/>
                <w:sz w:val="24"/>
                <w:lang w:val="en-US" w:eastAsia="zh-CN"/>
              </w:rPr>
              <w:t>的治理方式处理</w:t>
            </w:r>
            <w:r>
              <w:rPr>
                <w:rFonts w:hint="eastAsia" w:cs="Times New Roman"/>
                <w:color w:val="auto"/>
                <w:sz w:val="24"/>
                <w:lang w:val="en-US" w:eastAsia="zh-CN"/>
              </w:rPr>
              <w:t>打磨粉尘</w:t>
            </w:r>
            <w:r>
              <w:rPr>
                <w:rFonts w:hint="default" w:ascii="Times New Roman" w:hAnsi="Times New Roman" w:cs="Times New Roman"/>
                <w:color w:val="auto"/>
                <w:sz w:val="24"/>
                <w:lang w:eastAsia="zh-CN"/>
              </w:rPr>
              <w:t>，</w:t>
            </w:r>
            <w:r>
              <w:rPr>
                <w:rFonts w:hint="eastAsia" w:cs="Times New Roman"/>
                <w:color w:val="auto"/>
                <w:sz w:val="24"/>
                <w:lang w:val="en-US" w:eastAsia="zh-CN"/>
              </w:rPr>
              <w:t>密闭负压车间</w:t>
            </w:r>
            <w:r>
              <w:rPr>
                <w:rFonts w:hint="default" w:ascii="Times New Roman" w:hAnsi="Times New Roman" w:cs="Times New Roman"/>
                <w:color w:val="auto"/>
                <w:sz w:val="24"/>
                <w:lang w:val="en-US" w:eastAsia="zh-CN"/>
              </w:rPr>
              <w:t>参考《主要污染物总量减排核算技术指南2022》</w:t>
            </w:r>
            <w:r>
              <w:rPr>
                <w:rFonts w:hint="eastAsia" w:ascii="Times New Roman" w:hAnsi="Times New Roman" w:cs="Times New Roman"/>
                <w:color w:val="auto"/>
                <w:sz w:val="24"/>
                <w:lang w:val="en-US" w:eastAsia="zh-CN"/>
              </w:rPr>
              <w:t>收集效率</w:t>
            </w:r>
            <w:r>
              <w:rPr>
                <w:rFonts w:hint="eastAsia" w:cs="Times New Roman"/>
                <w:color w:val="auto"/>
                <w:sz w:val="24"/>
                <w:lang w:val="en-US" w:eastAsia="zh-CN"/>
              </w:rPr>
              <w:t>取值9</w:t>
            </w:r>
            <w:r>
              <w:rPr>
                <w:rFonts w:hint="eastAsia" w:ascii="Times New Roman" w:hAnsi="Times New Roman" w:cs="Times New Roman"/>
                <w:color w:val="auto"/>
                <w:sz w:val="24"/>
                <w:lang w:val="en-US" w:eastAsia="zh-CN"/>
              </w:rPr>
              <w:t>0%，</w:t>
            </w:r>
            <w:r>
              <w:rPr>
                <w:rFonts w:hint="default" w:ascii="Times New Roman" w:hAnsi="Times New Roman" w:cs="Times New Roman"/>
                <w:color w:val="auto"/>
                <w:sz w:val="24"/>
              </w:rPr>
              <w:t>参考《排放源统计调查产排污核算方法和系数手册》（生态环境部办公厅2021年6月11日印发）-“33-37,431-434 机械行业系数手册”中“</w:t>
            </w:r>
            <w:r>
              <w:rPr>
                <w:rFonts w:hint="eastAsia"/>
                <w:color w:val="auto"/>
                <w:sz w:val="24"/>
                <w:lang w:val="en-US" w:eastAsia="zh-CN"/>
              </w:rPr>
              <w:t>14</w:t>
            </w:r>
            <w:r>
              <w:rPr>
                <w:rFonts w:hint="eastAsia"/>
                <w:color w:val="auto"/>
                <w:sz w:val="24"/>
              </w:rPr>
              <w:t xml:space="preserve"> </w:t>
            </w:r>
            <w:r>
              <w:rPr>
                <w:rFonts w:hint="eastAsia"/>
                <w:color w:val="auto"/>
                <w:sz w:val="24"/>
                <w:lang w:val="en-US" w:eastAsia="zh-CN"/>
              </w:rPr>
              <w:t>涂装</w:t>
            </w:r>
            <w:r>
              <w:rPr>
                <w:rFonts w:hint="eastAsia"/>
                <w:color w:val="auto"/>
                <w:sz w:val="24"/>
              </w:rPr>
              <w:t>-</w:t>
            </w:r>
            <w:r>
              <w:rPr>
                <w:rFonts w:hint="eastAsia"/>
                <w:color w:val="auto"/>
                <w:sz w:val="24"/>
                <w:lang w:val="en-US" w:eastAsia="zh-CN"/>
              </w:rPr>
              <w:t>腻子打磨</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喷淋塔/冲击水浴</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处理效率</w:t>
            </w:r>
            <w:r>
              <w:rPr>
                <w:rFonts w:hint="eastAsia" w:cs="Times New Roman"/>
                <w:color w:val="auto"/>
                <w:sz w:val="24"/>
                <w:lang w:val="en-US" w:eastAsia="zh-CN"/>
              </w:rPr>
              <w:t>8</w:t>
            </w:r>
            <w:r>
              <w:rPr>
                <w:rFonts w:hint="eastAsia" w:ascii="Times New Roman" w:hAnsi="Times New Roman" w:cs="Times New Roman"/>
                <w:color w:val="auto"/>
                <w:sz w:val="24"/>
                <w:lang w:val="en-US" w:eastAsia="zh-CN"/>
              </w:rPr>
              <w:t>5%，</w:t>
            </w:r>
            <w:r>
              <w:rPr>
                <w:rFonts w:hint="eastAsia" w:cs="Times New Roman"/>
                <w:color w:val="auto"/>
                <w:sz w:val="24"/>
                <w:lang w:val="en-US" w:eastAsia="zh-CN"/>
              </w:rPr>
              <w:t>本项目保守取值水帘柜处理效率80%，再通过移动式布袋除尘器进一步处理，总处理效率保守计算按90%计，通过处理后粉尘量很小，</w:t>
            </w:r>
            <w:r>
              <w:rPr>
                <w:rFonts w:hint="eastAsia" w:ascii="Times New Roman" w:hAnsi="Times New Roman" w:cs="Times New Roman"/>
                <w:color w:val="auto"/>
                <w:sz w:val="24"/>
                <w:lang w:val="en-US" w:eastAsia="zh-CN"/>
              </w:rPr>
              <w:t>通过车间无组织排放，无组织排放量为</w:t>
            </w:r>
            <w:r>
              <w:rPr>
                <w:rFonts w:hint="eastAsia" w:cs="Times New Roman"/>
                <w:color w:val="auto"/>
                <w:sz w:val="24"/>
                <w:lang w:val="en-US" w:eastAsia="zh-CN"/>
              </w:rPr>
              <w:t>0.063</w:t>
            </w:r>
            <w:r>
              <w:rPr>
                <w:rFonts w:hint="eastAsia" w:ascii="Times New Roman" w:hAnsi="Times New Roman" w:cs="Times New Roman"/>
                <w:color w:val="auto"/>
                <w:sz w:val="24"/>
                <w:lang w:val="en-US" w:eastAsia="zh-CN"/>
              </w:rPr>
              <w:t>t/a，工作时间</w:t>
            </w:r>
            <w:r>
              <w:rPr>
                <w:rFonts w:hint="eastAsia" w:cs="Times New Roman"/>
                <w:color w:val="auto"/>
                <w:sz w:val="24"/>
                <w:lang w:val="en-US" w:eastAsia="zh-CN"/>
              </w:rPr>
              <w:t>24</w:t>
            </w:r>
            <w:r>
              <w:rPr>
                <w:rFonts w:hint="eastAsia" w:ascii="Times New Roman" w:hAnsi="Times New Roman" w:cs="Times New Roman"/>
                <w:color w:val="auto"/>
                <w:sz w:val="24"/>
                <w:lang w:val="en-US" w:eastAsia="zh-CN"/>
              </w:rPr>
              <w:t>00h/a（</w:t>
            </w:r>
            <w:r>
              <w:rPr>
                <w:rFonts w:hint="eastAsia" w:cs="Times New Roman"/>
                <w:color w:val="auto"/>
                <w:sz w:val="24"/>
                <w:lang w:val="en-US" w:eastAsia="zh-CN"/>
              </w:rPr>
              <w:t>8</w:t>
            </w:r>
            <w:r>
              <w:rPr>
                <w:rFonts w:hint="eastAsia" w:ascii="Times New Roman" w:hAnsi="Times New Roman" w:cs="Times New Roman"/>
                <w:color w:val="auto"/>
                <w:sz w:val="24"/>
                <w:lang w:val="en-US" w:eastAsia="zh-CN"/>
              </w:rPr>
              <w:t>h/d），排放速率为</w:t>
            </w:r>
            <w:r>
              <w:rPr>
                <w:rFonts w:hint="eastAsia" w:cs="Times New Roman"/>
                <w:color w:val="auto"/>
                <w:sz w:val="24"/>
                <w:lang w:val="en-US" w:eastAsia="zh-CN"/>
              </w:rPr>
              <w:t>0.026kg/h</w:t>
            </w:r>
            <w:r>
              <w:rPr>
                <w:rFonts w:hint="default" w:ascii="Times New Roman" w:hAnsi="Times New Roman" w:cs="Times New Roman"/>
                <w:color w:val="auto"/>
                <w:sz w:val="24"/>
                <w:lang w:val="en-US" w:eastAsia="zh-CN"/>
              </w:rPr>
              <w:t>。</w:t>
            </w:r>
          </w:p>
          <w:p w14:paraId="08C08F07">
            <w:pPr>
              <w:pStyle w:val="29"/>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（5）臭气浓度</w:t>
            </w:r>
          </w:p>
          <w:p w14:paraId="3D86740F">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本项目涂装过程中，有机废气的挥发会产生一定的异味，归为臭气类别。</w:t>
            </w:r>
            <w:r>
              <w:rPr>
                <w:rFonts w:hint="eastAsia" w:cs="Times New Roman"/>
                <w:color w:val="auto"/>
                <w:sz w:val="24"/>
                <w:lang w:val="en-US" w:eastAsia="zh-CN"/>
              </w:rPr>
              <w:t>根据本项目涂料使用成分，不涉及恶臭气体成分，且</w:t>
            </w:r>
            <w:r>
              <w:rPr>
                <w:rFonts w:hint="eastAsia" w:ascii="Times New Roman" w:hAnsi="Times New Roman" w:eastAsia="宋体" w:cs="Times New Roman"/>
                <w:color w:val="auto"/>
                <w:sz w:val="24"/>
                <w:lang w:val="en-US" w:eastAsia="zh-CN"/>
              </w:rPr>
              <w:t>本项目产生的异味大部分会随着有机废气经集气系统收集后通过15m排气筒（DA00</w:t>
            </w:r>
            <w:r>
              <w:rPr>
                <w:rFonts w:hint="eastAsia" w:cs="Times New Roman"/>
                <w:color w:val="auto"/>
                <w:sz w:val="24"/>
                <w:lang w:val="en-US" w:eastAsia="zh-CN"/>
              </w:rPr>
              <w:t>1</w:t>
            </w:r>
            <w:r>
              <w:rPr>
                <w:rFonts w:hint="eastAsia" w:ascii="Times New Roman" w:hAnsi="Times New Roman" w:eastAsia="宋体" w:cs="Times New Roman"/>
                <w:color w:val="auto"/>
                <w:sz w:val="24"/>
                <w:lang w:val="en-US" w:eastAsia="zh-CN"/>
              </w:rPr>
              <w:t>）排放，未被收集的少部分异味经过车间通风排入大气环境。</w:t>
            </w:r>
            <w:r>
              <w:rPr>
                <w:rFonts w:hint="default" w:ascii="Times New Roman" w:hAnsi="Times New Roman" w:eastAsia="宋体" w:cs="Times New Roman"/>
                <w:color w:val="auto"/>
                <w:sz w:val="24"/>
                <w:lang w:val="en-US" w:eastAsia="zh-CN"/>
              </w:rPr>
              <w:t>该类异味覆盖范围仅限于生产设备至生产车间边界，</w:t>
            </w:r>
            <w:r>
              <w:rPr>
                <w:rFonts w:hint="eastAsia" w:ascii="Times New Roman" w:hAnsi="Times New Roman" w:eastAsia="宋体" w:cs="Times New Roman"/>
                <w:color w:val="auto"/>
                <w:sz w:val="24"/>
                <w:lang w:val="en-US" w:eastAsia="zh-CN"/>
              </w:rPr>
              <w:t>在加强车间通风的情况下，臭气浓度</w:t>
            </w:r>
            <w:r>
              <w:rPr>
                <w:rFonts w:hint="default" w:ascii="Times New Roman" w:hAnsi="Times New Roman" w:eastAsia="宋体" w:cs="Times New Roman"/>
                <w:color w:val="auto"/>
                <w:sz w:val="24"/>
                <w:lang w:val="en-US" w:eastAsia="zh-CN"/>
              </w:rPr>
              <w:t>对外环境影响较小</w:t>
            </w:r>
            <w:r>
              <w:rPr>
                <w:rFonts w:hint="eastAsia" w:ascii="Times New Roman" w:hAnsi="Times New Roman" w:eastAsia="宋体" w:cs="Times New Roman"/>
                <w:color w:val="auto"/>
                <w:sz w:val="24"/>
                <w:lang w:val="en-US" w:eastAsia="zh-CN"/>
              </w:rPr>
              <w:t>。因此本环评不做定量分析，仅要求生产车间内确保废气收集措施运行正常及加强通风即可。</w:t>
            </w:r>
          </w:p>
          <w:p w14:paraId="56484B92">
            <w:pPr>
              <w:pStyle w:val="29"/>
              <w:bidi w:val="0"/>
              <w:rPr>
                <w:rFonts w:hint="default" w:ascii="Times New Roman" w:hAnsi="Times New Roman" w:cs="Times New Roman"/>
                <w:color w:val="auto"/>
              </w:rPr>
            </w:pPr>
            <w:r>
              <w:rPr>
                <w:rFonts w:hint="default" w:ascii="Times New Roman" w:hAnsi="Times New Roman" w:cs="Times New Roman"/>
                <w:color w:val="auto"/>
              </w:rPr>
              <w:t>本项目废气有组织排放情况见表4-</w:t>
            </w:r>
            <w:r>
              <w:rPr>
                <w:rFonts w:hint="eastAsia" w:ascii="Times New Roman" w:hAnsi="Times New Roman" w:cs="Times New Roman"/>
                <w:color w:val="auto"/>
                <w:lang w:val="en-US" w:eastAsia="zh-CN"/>
              </w:rPr>
              <w:t>1</w:t>
            </w:r>
            <w:r>
              <w:rPr>
                <w:rFonts w:hint="default" w:ascii="Times New Roman" w:hAnsi="Times New Roman" w:cs="Times New Roman"/>
                <w:color w:val="auto"/>
              </w:rPr>
              <w:t>，无组织排放情况见表4-</w:t>
            </w:r>
            <w:r>
              <w:rPr>
                <w:rFonts w:hint="eastAsia" w:ascii="Times New Roman" w:hAnsi="Times New Roman" w:cs="Times New Roman"/>
                <w:color w:val="auto"/>
                <w:lang w:val="en-US" w:eastAsia="zh-CN"/>
              </w:rPr>
              <w:t>2</w:t>
            </w:r>
            <w:r>
              <w:rPr>
                <w:rFonts w:hint="default" w:ascii="Times New Roman" w:hAnsi="Times New Roman" w:cs="Times New Roman"/>
                <w:color w:val="auto"/>
              </w:rPr>
              <w:t>，污染物总排放情况见表4-</w:t>
            </w:r>
            <w:r>
              <w:rPr>
                <w:rFonts w:hint="eastAsia" w:ascii="Times New Roman" w:hAnsi="Times New Roman" w:cs="Times New Roman"/>
                <w:color w:val="auto"/>
                <w:lang w:val="en-US" w:eastAsia="zh-CN"/>
              </w:rPr>
              <w:t>3</w:t>
            </w:r>
            <w:r>
              <w:rPr>
                <w:rFonts w:hint="default" w:ascii="Times New Roman" w:hAnsi="Times New Roman" w:cs="Times New Roman"/>
                <w:color w:val="auto"/>
              </w:rPr>
              <w:t>。</w:t>
            </w:r>
          </w:p>
          <w:p w14:paraId="02CAD5DB">
            <w:pPr>
              <w:pStyle w:val="31"/>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表4-</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 xml:space="preserve">  废气有组织排放情况</w:t>
            </w:r>
          </w:p>
          <w:tbl>
            <w:tblPr>
              <w:tblStyle w:val="1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56"/>
              <w:gridCol w:w="329"/>
              <w:gridCol w:w="519"/>
              <w:gridCol w:w="432"/>
              <w:gridCol w:w="599"/>
              <w:gridCol w:w="511"/>
              <w:gridCol w:w="588"/>
              <w:gridCol w:w="586"/>
              <w:gridCol w:w="475"/>
              <w:gridCol w:w="649"/>
              <w:gridCol w:w="686"/>
              <w:gridCol w:w="602"/>
              <w:gridCol w:w="602"/>
              <w:gridCol w:w="422"/>
              <w:gridCol w:w="684"/>
            </w:tblGrid>
            <w:tr w14:paraId="16EBB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742" w:hRule="atLeast"/>
                <w:jc w:val="center"/>
              </w:trPr>
              <w:tc>
                <w:tcPr>
                  <w:tcW w:w="161" w:type="pct"/>
                  <w:vMerge w:val="restart"/>
                  <w:tcBorders>
                    <w:top w:val="single" w:color="auto" w:sz="12" w:space="0"/>
                    <w:left w:val="nil"/>
                    <w:right w:val="single" w:color="auto" w:sz="4" w:space="0"/>
                    <w:tl2br w:val="nil"/>
                    <w:tr2bl w:val="nil"/>
                  </w:tcBorders>
                  <w:noWrap w:val="0"/>
                  <w:vAlign w:val="center"/>
                </w:tcPr>
                <w:p w14:paraId="10897E21">
                  <w:pPr>
                    <w:pStyle w:val="30"/>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产污</w:t>
                  </w:r>
                </w:p>
                <w:p w14:paraId="78666452">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环节</w:t>
                  </w:r>
                </w:p>
              </w:tc>
              <w:tc>
                <w:tcPr>
                  <w:tcW w:w="207" w:type="pct"/>
                  <w:vMerge w:val="restart"/>
                  <w:tcBorders>
                    <w:top w:val="single" w:color="auto" w:sz="12" w:space="0"/>
                    <w:left w:val="nil"/>
                    <w:right w:val="single" w:color="auto" w:sz="4" w:space="0"/>
                    <w:tl2br w:val="nil"/>
                    <w:tr2bl w:val="nil"/>
                  </w:tcBorders>
                  <w:noWrap w:val="0"/>
                  <w:vAlign w:val="center"/>
                </w:tcPr>
                <w:p w14:paraId="679FA187">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w:t>
                  </w:r>
                </w:p>
              </w:tc>
              <w:tc>
                <w:tcPr>
                  <w:tcW w:w="326" w:type="pct"/>
                  <w:vMerge w:val="restart"/>
                  <w:tcBorders>
                    <w:top w:val="single" w:color="auto" w:sz="12" w:space="0"/>
                    <w:left w:val="single" w:color="auto" w:sz="4" w:space="0"/>
                    <w:right w:val="single" w:color="auto" w:sz="4" w:space="0"/>
                    <w:tl2br w:val="nil"/>
                    <w:tr2bl w:val="nil"/>
                  </w:tcBorders>
                  <w:noWrap w:val="0"/>
                  <w:vAlign w:val="center"/>
                </w:tcPr>
                <w:p w14:paraId="47EF348D">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272" w:type="pct"/>
                  <w:vMerge w:val="restart"/>
                  <w:tcBorders>
                    <w:top w:val="single" w:color="auto" w:sz="12" w:space="0"/>
                    <w:left w:val="single" w:color="auto" w:sz="4" w:space="0"/>
                    <w:right w:val="single" w:color="auto" w:sz="4" w:space="0"/>
                    <w:tl2br w:val="nil"/>
                    <w:tr2bl w:val="nil"/>
                  </w:tcBorders>
                  <w:noWrap w:val="0"/>
                  <w:vAlign w:val="center"/>
                </w:tcPr>
                <w:p w14:paraId="7985D081">
                  <w:pPr>
                    <w:pStyle w:val="30"/>
                    <w:bidi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风机风量</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eastAsia" w:ascii="Times New Roman" w:hAnsi="Times New Roman" w:cs="Times New Roman"/>
                      <w:color w:val="auto"/>
                      <w:sz w:val="21"/>
                      <w:szCs w:val="21"/>
                      <w:vertAlign w:val="baseline"/>
                      <w:lang w:val="en-US" w:eastAsia="zh-CN"/>
                    </w:rPr>
                    <w:t>/h</w:t>
                  </w:r>
                </w:p>
              </w:tc>
              <w:tc>
                <w:tcPr>
                  <w:tcW w:w="377" w:type="pct"/>
                  <w:vMerge w:val="restart"/>
                  <w:tcBorders>
                    <w:top w:val="single" w:color="auto" w:sz="12" w:space="0"/>
                    <w:left w:val="single" w:color="auto" w:sz="4" w:space="0"/>
                    <w:right w:val="single" w:color="auto" w:sz="4" w:space="0"/>
                    <w:tl2br w:val="nil"/>
                    <w:tr2bl w:val="nil"/>
                  </w:tcBorders>
                  <w:noWrap w:val="0"/>
                  <w:vAlign w:val="center"/>
                </w:tcPr>
                <w:p w14:paraId="78EEC8C9">
                  <w:pPr>
                    <w:pStyle w:val="30"/>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产生量t/a</w:t>
                  </w:r>
                </w:p>
              </w:tc>
              <w:tc>
                <w:tcPr>
                  <w:tcW w:w="321" w:type="pct"/>
                  <w:vMerge w:val="restart"/>
                  <w:tcBorders>
                    <w:top w:val="single" w:color="auto" w:sz="12" w:space="0"/>
                    <w:left w:val="single" w:color="auto" w:sz="4" w:space="0"/>
                    <w:right w:val="single" w:color="auto" w:sz="4" w:space="0"/>
                    <w:tl2br w:val="nil"/>
                    <w:tr2bl w:val="nil"/>
                  </w:tcBorders>
                  <w:noWrap w:val="0"/>
                  <w:vAlign w:val="center"/>
                </w:tcPr>
                <w:p w14:paraId="47DD9BD3">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产生速率</w:t>
                  </w:r>
                </w:p>
                <w:p w14:paraId="2802ADE9">
                  <w:pPr>
                    <w:pStyle w:val="30"/>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kg/h</w:t>
                  </w:r>
                </w:p>
              </w:tc>
              <w:tc>
                <w:tcPr>
                  <w:tcW w:w="370" w:type="pct"/>
                  <w:vMerge w:val="restart"/>
                  <w:tcBorders>
                    <w:top w:val="single" w:color="auto" w:sz="12" w:space="0"/>
                    <w:left w:val="single" w:color="auto" w:sz="4" w:space="0"/>
                    <w:right w:val="single" w:color="auto" w:sz="4" w:space="0"/>
                    <w:tl2br w:val="nil"/>
                    <w:tr2bl w:val="nil"/>
                  </w:tcBorders>
                  <w:noWrap w:val="0"/>
                  <w:vAlign w:val="center"/>
                </w:tcPr>
                <w:p w14:paraId="333CA1F9">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产生浓度</w:t>
                  </w:r>
                </w:p>
                <w:p w14:paraId="763E921C">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369" w:type="pct"/>
                  <w:vMerge w:val="restart"/>
                  <w:tcBorders>
                    <w:top w:val="single" w:color="auto" w:sz="12" w:space="0"/>
                    <w:left w:val="single" w:color="auto" w:sz="4" w:space="0"/>
                    <w:right w:val="single" w:color="auto" w:sz="4" w:space="0"/>
                    <w:tl2br w:val="nil"/>
                    <w:tr2bl w:val="nil"/>
                  </w:tcBorders>
                  <w:noWrap w:val="0"/>
                  <w:vAlign w:val="center"/>
                </w:tcPr>
                <w:p w14:paraId="16DD331A">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环保措施</w:t>
                  </w:r>
                </w:p>
              </w:tc>
              <w:tc>
                <w:tcPr>
                  <w:tcW w:w="299" w:type="pct"/>
                  <w:vMerge w:val="restart"/>
                  <w:tcBorders>
                    <w:top w:val="single" w:color="auto" w:sz="12" w:space="0"/>
                    <w:left w:val="single" w:color="auto" w:sz="4" w:space="0"/>
                    <w:right w:val="single" w:color="auto" w:sz="4" w:space="0"/>
                    <w:tl2br w:val="nil"/>
                    <w:tr2bl w:val="nil"/>
                  </w:tcBorders>
                  <w:noWrap w:val="0"/>
                  <w:vAlign w:val="center"/>
                </w:tcPr>
                <w:p w14:paraId="5A21EECB">
                  <w:pPr>
                    <w:pStyle w:val="30"/>
                    <w:bidi w:val="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处理</w:t>
                  </w:r>
                  <w:r>
                    <w:rPr>
                      <w:rFonts w:hint="default" w:ascii="Times New Roman" w:hAnsi="Times New Roman" w:cs="Times New Roman"/>
                      <w:color w:val="auto"/>
                      <w:sz w:val="21"/>
                      <w:szCs w:val="21"/>
                    </w:rPr>
                    <w:t>效率%</w:t>
                  </w:r>
                </w:p>
              </w:tc>
              <w:tc>
                <w:tcPr>
                  <w:tcW w:w="408" w:type="pct"/>
                  <w:vMerge w:val="restart"/>
                  <w:tcBorders>
                    <w:top w:val="single" w:color="auto" w:sz="12" w:space="0"/>
                    <w:left w:val="single" w:color="auto" w:sz="4" w:space="0"/>
                    <w:right w:val="single" w:color="auto" w:sz="4" w:space="0"/>
                    <w:tl2br w:val="nil"/>
                    <w:tr2bl w:val="nil"/>
                  </w:tcBorders>
                  <w:noWrap w:val="0"/>
                  <w:vAlign w:val="center"/>
                </w:tcPr>
                <w:p w14:paraId="48547940">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t/a</w:t>
                  </w:r>
                  <w:r>
                    <w:rPr>
                      <w:rFonts w:hint="eastAsia" w:ascii="Times New Roman" w:hAnsi="Times New Roman" w:cs="Times New Roman"/>
                      <w:color w:val="auto"/>
                      <w:sz w:val="21"/>
                      <w:szCs w:val="21"/>
                      <w:lang w:eastAsia="zh-CN"/>
                    </w:rPr>
                    <w:t>）</w:t>
                  </w:r>
                </w:p>
              </w:tc>
              <w:tc>
                <w:tcPr>
                  <w:tcW w:w="431" w:type="pct"/>
                  <w:vMerge w:val="restart"/>
                  <w:tcBorders>
                    <w:top w:val="single" w:color="auto" w:sz="12" w:space="0"/>
                    <w:left w:val="single" w:color="auto" w:sz="4" w:space="0"/>
                    <w:right w:val="single" w:color="auto" w:sz="4" w:space="0"/>
                    <w:tl2br w:val="nil"/>
                    <w:tr2bl w:val="nil"/>
                  </w:tcBorders>
                  <w:noWrap w:val="0"/>
                  <w:vAlign w:val="center"/>
                </w:tcPr>
                <w:p w14:paraId="48E9792C">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排放速率</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kg/h</w:t>
                  </w:r>
                  <w:r>
                    <w:rPr>
                      <w:rFonts w:hint="eastAsia" w:ascii="Times New Roman" w:hAnsi="Times New Roman" w:cs="Times New Roman"/>
                      <w:color w:val="auto"/>
                      <w:sz w:val="21"/>
                      <w:szCs w:val="21"/>
                      <w:lang w:eastAsia="zh-CN"/>
                    </w:rPr>
                    <w:t>）</w:t>
                  </w:r>
                </w:p>
              </w:tc>
              <w:tc>
                <w:tcPr>
                  <w:tcW w:w="379" w:type="pct"/>
                  <w:vMerge w:val="restart"/>
                  <w:tcBorders>
                    <w:top w:val="single" w:color="auto" w:sz="12" w:space="0"/>
                    <w:left w:val="single" w:color="auto" w:sz="4" w:space="0"/>
                    <w:right w:val="single" w:color="auto" w:sz="4" w:space="0"/>
                    <w:tl2br w:val="nil"/>
                    <w:tr2bl w:val="nil"/>
                  </w:tcBorders>
                  <w:noWrap w:val="0"/>
                  <w:vAlign w:val="center"/>
                </w:tcPr>
                <w:p w14:paraId="24FBCCE5">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排放浓度mg/m</w:t>
                  </w:r>
                  <w:r>
                    <w:rPr>
                      <w:rFonts w:hint="default" w:ascii="Times New Roman" w:hAnsi="Times New Roman" w:cs="Times New Roman"/>
                      <w:color w:val="auto"/>
                      <w:sz w:val="21"/>
                      <w:szCs w:val="21"/>
                      <w:vertAlign w:val="superscript"/>
                    </w:rPr>
                    <w:t>3</w:t>
                  </w:r>
                </w:p>
              </w:tc>
              <w:tc>
                <w:tcPr>
                  <w:tcW w:w="644" w:type="pct"/>
                  <w:gridSpan w:val="2"/>
                  <w:tcBorders>
                    <w:top w:val="single" w:color="auto" w:sz="12" w:space="0"/>
                    <w:left w:val="single" w:color="auto" w:sz="4" w:space="0"/>
                    <w:bottom w:val="single" w:color="auto" w:sz="4" w:space="0"/>
                    <w:right w:val="nil"/>
                    <w:tl2br w:val="nil"/>
                    <w:tr2bl w:val="nil"/>
                  </w:tcBorders>
                  <w:noWrap w:val="0"/>
                  <w:vAlign w:val="center"/>
                </w:tcPr>
                <w:p w14:paraId="6300066B">
                  <w:pPr>
                    <w:pStyle w:val="30"/>
                    <w:bidi w:val="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执行标准值</w:t>
                  </w:r>
                </w:p>
              </w:tc>
              <w:tc>
                <w:tcPr>
                  <w:tcW w:w="430" w:type="pct"/>
                  <w:vMerge w:val="restart"/>
                  <w:tcBorders>
                    <w:top w:val="single" w:color="auto" w:sz="12" w:space="0"/>
                    <w:left w:val="single" w:color="auto" w:sz="4" w:space="0"/>
                    <w:right w:val="nil"/>
                    <w:tl2br w:val="nil"/>
                    <w:tr2bl w:val="nil"/>
                  </w:tcBorders>
                  <w:noWrap w:val="0"/>
                  <w:vAlign w:val="center"/>
                </w:tcPr>
                <w:p w14:paraId="366C9A34">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w:t>
                  </w:r>
                </w:p>
              </w:tc>
            </w:tr>
            <w:tr w14:paraId="34270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77" w:hRule="atLeast"/>
                <w:jc w:val="center"/>
              </w:trPr>
              <w:tc>
                <w:tcPr>
                  <w:tcW w:w="161" w:type="pct"/>
                  <w:vMerge w:val="continue"/>
                  <w:tcBorders>
                    <w:left w:val="nil"/>
                    <w:bottom w:val="single" w:color="auto" w:sz="4" w:space="0"/>
                    <w:right w:val="single" w:color="auto" w:sz="4" w:space="0"/>
                    <w:tl2br w:val="nil"/>
                    <w:tr2bl w:val="nil"/>
                  </w:tcBorders>
                  <w:noWrap w:val="0"/>
                  <w:vAlign w:val="center"/>
                </w:tcPr>
                <w:p w14:paraId="58861F55">
                  <w:pPr>
                    <w:pStyle w:val="30"/>
                    <w:bidi w:val="0"/>
                    <w:rPr>
                      <w:rFonts w:hint="eastAsia" w:ascii="Times New Roman" w:hAnsi="Times New Roman" w:cs="Times New Roman"/>
                      <w:color w:val="auto"/>
                      <w:sz w:val="21"/>
                      <w:szCs w:val="21"/>
                      <w:lang w:val="en-US" w:eastAsia="zh-CN"/>
                    </w:rPr>
                  </w:pPr>
                </w:p>
              </w:tc>
              <w:tc>
                <w:tcPr>
                  <w:tcW w:w="207" w:type="pct"/>
                  <w:vMerge w:val="continue"/>
                  <w:tcBorders>
                    <w:left w:val="nil"/>
                    <w:bottom w:val="single" w:color="auto" w:sz="4" w:space="0"/>
                    <w:right w:val="single" w:color="auto" w:sz="4" w:space="0"/>
                    <w:tl2br w:val="nil"/>
                    <w:tr2bl w:val="nil"/>
                  </w:tcBorders>
                  <w:noWrap w:val="0"/>
                  <w:vAlign w:val="center"/>
                </w:tcPr>
                <w:p w14:paraId="6D4B0C41">
                  <w:pPr>
                    <w:pStyle w:val="30"/>
                    <w:bidi w:val="0"/>
                    <w:rPr>
                      <w:rFonts w:hint="default" w:ascii="Times New Roman" w:hAnsi="Times New Roman" w:cs="Times New Roman"/>
                      <w:color w:val="auto"/>
                      <w:sz w:val="21"/>
                      <w:szCs w:val="21"/>
                    </w:rPr>
                  </w:pPr>
                </w:p>
              </w:tc>
              <w:tc>
                <w:tcPr>
                  <w:tcW w:w="326" w:type="pct"/>
                  <w:vMerge w:val="continue"/>
                  <w:tcBorders>
                    <w:left w:val="single" w:color="auto" w:sz="4" w:space="0"/>
                    <w:bottom w:val="single" w:color="auto" w:sz="4" w:space="0"/>
                    <w:right w:val="single" w:color="auto" w:sz="4" w:space="0"/>
                    <w:tl2br w:val="nil"/>
                    <w:tr2bl w:val="nil"/>
                  </w:tcBorders>
                  <w:noWrap w:val="0"/>
                  <w:vAlign w:val="center"/>
                </w:tcPr>
                <w:p w14:paraId="789C0660">
                  <w:pPr>
                    <w:pStyle w:val="30"/>
                    <w:bidi w:val="0"/>
                    <w:rPr>
                      <w:rFonts w:hint="default" w:ascii="Times New Roman" w:hAnsi="Times New Roman" w:cs="Times New Roman"/>
                      <w:color w:val="auto"/>
                      <w:sz w:val="21"/>
                      <w:szCs w:val="21"/>
                    </w:rPr>
                  </w:pPr>
                </w:p>
              </w:tc>
              <w:tc>
                <w:tcPr>
                  <w:tcW w:w="272" w:type="pct"/>
                  <w:vMerge w:val="continue"/>
                  <w:tcBorders>
                    <w:left w:val="single" w:color="auto" w:sz="4" w:space="0"/>
                    <w:bottom w:val="single" w:color="auto" w:sz="4" w:space="0"/>
                    <w:right w:val="single" w:color="auto" w:sz="4" w:space="0"/>
                    <w:tl2br w:val="nil"/>
                    <w:tr2bl w:val="nil"/>
                  </w:tcBorders>
                  <w:noWrap w:val="0"/>
                  <w:vAlign w:val="center"/>
                </w:tcPr>
                <w:p w14:paraId="74DA2F63">
                  <w:pPr>
                    <w:pStyle w:val="30"/>
                    <w:bidi w:val="0"/>
                    <w:rPr>
                      <w:rFonts w:hint="default" w:ascii="Times New Roman" w:hAnsi="Times New Roman" w:cs="Times New Roman"/>
                      <w:color w:val="auto"/>
                      <w:sz w:val="21"/>
                      <w:szCs w:val="21"/>
                    </w:rPr>
                  </w:pPr>
                </w:p>
              </w:tc>
              <w:tc>
                <w:tcPr>
                  <w:tcW w:w="377" w:type="pct"/>
                  <w:vMerge w:val="continue"/>
                  <w:tcBorders>
                    <w:left w:val="single" w:color="auto" w:sz="4" w:space="0"/>
                    <w:bottom w:val="single" w:color="auto" w:sz="4" w:space="0"/>
                    <w:right w:val="single" w:color="auto" w:sz="4" w:space="0"/>
                    <w:tl2br w:val="nil"/>
                    <w:tr2bl w:val="nil"/>
                  </w:tcBorders>
                  <w:noWrap w:val="0"/>
                  <w:vAlign w:val="center"/>
                </w:tcPr>
                <w:p w14:paraId="03233822">
                  <w:pPr>
                    <w:pStyle w:val="30"/>
                    <w:bidi w:val="0"/>
                    <w:rPr>
                      <w:rFonts w:hint="default" w:ascii="Times New Roman" w:hAnsi="Times New Roman" w:cs="Times New Roman"/>
                      <w:color w:val="auto"/>
                      <w:sz w:val="21"/>
                      <w:szCs w:val="21"/>
                    </w:rPr>
                  </w:pPr>
                </w:p>
              </w:tc>
              <w:tc>
                <w:tcPr>
                  <w:tcW w:w="321" w:type="pct"/>
                  <w:vMerge w:val="continue"/>
                  <w:tcBorders>
                    <w:left w:val="single" w:color="auto" w:sz="4" w:space="0"/>
                    <w:bottom w:val="single" w:color="auto" w:sz="4" w:space="0"/>
                    <w:right w:val="single" w:color="auto" w:sz="4" w:space="0"/>
                    <w:tl2br w:val="nil"/>
                    <w:tr2bl w:val="nil"/>
                  </w:tcBorders>
                  <w:noWrap w:val="0"/>
                  <w:vAlign w:val="center"/>
                </w:tcPr>
                <w:p w14:paraId="56E6CF40">
                  <w:pPr>
                    <w:pStyle w:val="30"/>
                    <w:bidi w:val="0"/>
                    <w:rPr>
                      <w:rFonts w:hint="default" w:ascii="Times New Roman" w:hAnsi="Times New Roman" w:cs="Times New Roman"/>
                      <w:color w:val="auto"/>
                      <w:sz w:val="21"/>
                      <w:szCs w:val="21"/>
                    </w:rPr>
                  </w:pPr>
                </w:p>
              </w:tc>
              <w:tc>
                <w:tcPr>
                  <w:tcW w:w="370" w:type="pct"/>
                  <w:vMerge w:val="continue"/>
                  <w:tcBorders>
                    <w:left w:val="single" w:color="auto" w:sz="4" w:space="0"/>
                    <w:bottom w:val="single" w:color="auto" w:sz="4" w:space="0"/>
                    <w:right w:val="single" w:color="auto" w:sz="4" w:space="0"/>
                    <w:tl2br w:val="nil"/>
                    <w:tr2bl w:val="nil"/>
                  </w:tcBorders>
                  <w:noWrap w:val="0"/>
                  <w:vAlign w:val="center"/>
                </w:tcPr>
                <w:p w14:paraId="4C41E9DF">
                  <w:pPr>
                    <w:pStyle w:val="30"/>
                    <w:bidi w:val="0"/>
                    <w:rPr>
                      <w:rFonts w:hint="default" w:ascii="Times New Roman" w:hAnsi="Times New Roman" w:cs="Times New Roman"/>
                      <w:color w:val="auto"/>
                      <w:sz w:val="21"/>
                      <w:szCs w:val="21"/>
                    </w:rPr>
                  </w:pPr>
                </w:p>
              </w:tc>
              <w:tc>
                <w:tcPr>
                  <w:tcW w:w="369" w:type="pct"/>
                  <w:vMerge w:val="continue"/>
                  <w:tcBorders>
                    <w:left w:val="single" w:color="auto" w:sz="4" w:space="0"/>
                    <w:bottom w:val="single" w:color="auto" w:sz="4" w:space="0"/>
                    <w:right w:val="single" w:color="auto" w:sz="4" w:space="0"/>
                    <w:tl2br w:val="nil"/>
                    <w:tr2bl w:val="nil"/>
                  </w:tcBorders>
                  <w:noWrap w:val="0"/>
                  <w:vAlign w:val="center"/>
                </w:tcPr>
                <w:p w14:paraId="65805365">
                  <w:pPr>
                    <w:pStyle w:val="30"/>
                    <w:bidi w:val="0"/>
                    <w:rPr>
                      <w:rFonts w:hint="default" w:ascii="Times New Roman" w:hAnsi="Times New Roman" w:cs="Times New Roman"/>
                      <w:color w:val="auto"/>
                      <w:sz w:val="21"/>
                      <w:szCs w:val="21"/>
                    </w:rPr>
                  </w:pPr>
                </w:p>
              </w:tc>
              <w:tc>
                <w:tcPr>
                  <w:tcW w:w="299" w:type="pct"/>
                  <w:vMerge w:val="continue"/>
                  <w:tcBorders>
                    <w:left w:val="single" w:color="auto" w:sz="4" w:space="0"/>
                    <w:bottom w:val="single" w:color="auto" w:sz="4" w:space="0"/>
                    <w:right w:val="single" w:color="auto" w:sz="4" w:space="0"/>
                    <w:tl2br w:val="nil"/>
                    <w:tr2bl w:val="nil"/>
                  </w:tcBorders>
                  <w:noWrap w:val="0"/>
                  <w:vAlign w:val="center"/>
                </w:tcPr>
                <w:p w14:paraId="0CD3B47D">
                  <w:pPr>
                    <w:pStyle w:val="30"/>
                    <w:bidi w:val="0"/>
                    <w:rPr>
                      <w:rFonts w:hint="eastAsia" w:ascii="Times New Roman" w:hAnsi="Times New Roman" w:cs="Times New Roman"/>
                      <w:color w:val="auto"/>
                      <w:sz w:val="21"/>
                      <w:szCs w:val="21"/>
                      <w:lang w:val="en-US" w:eastAsia="zh-CN"/>
                    </w:rPr>
                  </w:pPr>
                </w:p>
              </w:tc>
              <w:tc>
                <w:tcPr>
                  <w:tcW w:w="408" w:type="pct"/>
                  <w:vMerge w:val="continue"/>
                  <w:tcBorders>
                    <w:left w:val="single" w:color="auto" w:sz="4" w:space="0"/>
                    <w:bottom w:val="single" w:color="auto" w:sz="4" w:space="0"/>
                    <w:right w:val="single" w:color="auto" w:sz="4" w:space="0"/>
                    <w:tl2br w:val="nil"/>
                    <w:tr2bl w:val="nil"/>
                  </w:tcBorders>
                  <w:noWrap w:val="0"/>
                  <w:vAlign w:val="center"/>
                </w:tcPr>
                <w:p w14:paraId="448A77E1">
                  <w:pPr>
                    <w:pStyle w:val="30"/>
                    <w:bidi w:val="0"/>
                    <w:rPr>
                      <w:rFonts w:hint="default" w:ascii="Times New Roman" w:hAnsi="Times New Roman" w:cs="Times New Roman"/>
                      <w:color w:val="auto"/>
                      <w:sz w:val="21"/>
                      <w:szCs w:val="21"/>
                    </w:rPr>
                  </w:pPr>
                </w:p>
              </w:tc>
              <w:tc>
                <w:tcPr>
                  <w:tcW w:w="431" w:type="pct"/>
                  <w:vMerge w:val="continue"/>
                  <w:tcBorders>
                    <w:left w:val="single" w:color="auto" w:sz="4" w:space="0"/>
                    <w:bottom w:val="single" w:color="auto" w:sz="4" w:space="0"/>
                    <w:right w:val="single" w:color="auto" w:sz="4" w:space="0"/>
                    <w:tl2br w:val="nil"/>
                    <w:tr2bl w:val="nil"/>
                  </w:tcBorders>
                  <w:noWrap w:val="0"/>
                  <w:vAlign w:val="center"/>
                </w:tcPr>
                <w:p w14:paraId="651DCCB8">
                  <w:pPr>
                    <w:pStyle w:val="30"/>
                    <w:bidi w:val="0"/>
                    <w:rPr>
                      <w:rFonts w:hint="default" w:ascii="Times New Roman" w:hAnsi="Times New Roman" w:cs="Times New Roman"/>
                      <w:color w:val="auto"/>
                      <w:sz w:val="21"/>
                      <w:szCs w:val="21"/>
                    </w:rPr>
                  </w:pPr>
                </w:p>
              </w:tc>
              <w:tc>
                <w:tcPr>
                  <w:tcW w:w="379" w:type="pct"/>
                  <w:vMerge w:val="continue"/>
                  <w:tcBorders>
                    <w:left w:val="single" w:color="auto" w:sz="4" w:space="0"/>
                    <w:bottom w:val="single" w:color="auto" w:sz="4" w:space="0"/>
                    <w:right w:val="single" w:color="auto" w:sz="4" w:space="0"/>
                    <w:tl2br w:val="nil"/>
                    <w:tr2bl w:val="nil"/>
                  </w:tcBorders>
                  <w:noWrap w:val="0"/>
                  <w:vAlign w:val="center"/>
                </w:tcPr>
                <w:p w14:paraId="403458F0">
                  <w:pPr>
                    <w:pStyle w:val="30"/>
                    <w:bidi w:val="0"/>
                    <w:rPr>
                      <w:rFonts w:hint="default" w:ascii="Times New Roman" w:hAnsi="Times New Roman" w:cs="Times New Roman"/>
                      <w:color w:val="auto"/>
                      <w:sz w:val="21"/>
                      <w:szCs w:val="21"/>
                    </w:rPr>
                  </w:pPr>
                </w:p>
              </w:tc>
              <w:tc>
                <w:tcPr>
                  <w:tcW w:w="37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A4DC50">
                  <w:pPr>
                    <w:pStyle w:val="30"/>
                    <w:bidi w:val="0"/>
                    <w:ind w:firstLine="0" w:firstLineChars="0"/>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浓度mg/m</w:t>
                  </w:r>
                  <w:r>
                    <w:rPr>
                      <w:rFonts w:hint="default" w:ascii="Times New Roman" w:hAnsi="Times New Roman" w:cs="Times New Roman"/>
                      <w:color w:val="auto"/>
                      <w:sz w:val="21"/>
                      <w:szCs w:val="21"/>
                      <w:vertAlign w:val="superscript"/>
                    </w:rPr>
                    <w:t>3</w:t>
                  </w:r>
                </w:p>
              </w:tc>
              <w:tc>
                <w:tcPr>
                  <w:tcW w:w="265"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14:paraId="3E72B5D0">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速率</w:t>
                  </w:r>
                </w:p>
                <w:p w14:paraId="03F3BFCF">
                  <w:pPr>
                    <w:pStyle w:val="30"/>
                    <w:bidi w:val="0"/>
                    <w:ind w:firstLine="0" w:firstLineChars="0"/>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kg/h</w:t>
                  </w:r>
                </w:p>
              </w:tc>
              <w:tc>
                <w:tcPr>
                  <w:tcW w:w="430" w:type="pct"/>
                  <w:vMerge w:val="continue"/>
                  <w:tcBorders>
                    <w:left w:val="single" w:color="auto" w:sz="4" w:space="0"/>
                    <w:bottom w:val="single" w:color="auto" w:sz="4" w:space="0"/>
                    <w:right w:val="nil"/>
                    <w:tl2br w:val="nil"/>
                    <w:tr2bl w:val="nil"/>
                  </w:tcBorders>
                  <w:noWrap w:val="0"/>
                  <w:vAlign w:val="center"/>
                </w:tcPr>
                <w:p w14:paraId="4D4535D0">
                  <w:pPr>
                    <w:pStyle w:val="30"/>
                    <w:bidi w:val="0"/>
                    <w:rPr>
                      <w:rFonts w:hint="default" w:ascii="Times New Roman" w:hAnsi="Times New Roman" w:cs="Times New Roman"/>
                      <w:color w:val="auto"/>
                      <w:sz w:val="21"/>
                      <w:szCs w:val="21"/>
                    </w:rPr>
                  </w:pPr>
                </w:p>
              </w:tc>
            </w:tr>
            <w:tr w14:paraId="4E8CC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96" w:hRule="atLeast"/>
                <w:jc w:val="center"/>
              </w:trPr>
              <w:tc>
                <w:tcPr>
                  <w:tcW w:w="161" w:type="pct"/>
                  <w:vMerge w:val="restart"/>
                  <w:tcBorders>
                    <w:top w:val="single" w:color="auto" w:sz="4" w:space="0"/>
                    <w:left w:val="nil"/>
                    <w:right w:val="single" w:color="auto" w:sz="4" w:space="0"/>
                    <w:tl2br w:val="nil"/>
                    <w:tr2bl w:val="nil"/>
                  </w:tcBorders>
                  <w:noWrap w:val="0"/>
                  <w:vAlign w:val="center"/>
                </w:tcPr>
                <w:p w14:paraId="1A22E943">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涂装废气</w:t>
                  </w:r>
                </w:p>
              </w:tc>
              <w:tc>
                <w:tcPr>
                  <w:tcW w:w="207" w:type="pct"/>
                  <w:vMerge w:val="restart"/>
                  <w:tcBorders>
                    <w:top w:val="single" w:color="auto" w:sz="4" w:space="0"/>
                    <w:left w:val="nil"/>
                    <w:right w:val="single" w:color="auto" w:sz="4" w:space="0"/>
                    <w:tl2br w:val="nil"/>
                    <w:tr2bl w:val="nil"/>
                  </w:tcBorders>
                  <w:noWrap w:val="0"/>
                  <w:vAlign w:val="center"/>
                </w:tcPr>
                <w:p w14:paraId="35AD7E1E">
                  <w:pPr>
                    <w:pStyle w:val="30"/>
                    <w:bidi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调漆、喷漆、烤漆</w:t>
                  </w:r>
                </w:p>
              </w:tc>
              <w:tc>
                <w:tcPr>
                  <w:tcW w:w="3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973CD7">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颗粒物</w:t>
                  </w:r>
                </w:p>
              </w:tc>
              <w:tc>
                <w:tcPr>
                  <w:tcW w:w="272" w:type="pct"/>
                  <w:vMerge w:val="restart"/>
                  <w:tcBorders>
                    <w:top w:val="single" w:color="auto" w:sz="4" w:space="0"/>
                    <w:left w:val="single" w:color="auto" w:sz="4" w:space="0"/>
                    <w:right w:val="single" w:color="auto" w:sz="4" w:space="0"/>
                    <w:tl2br w:val="nil"/>
                    <w:tr2bl w:val="nil"/>
                  </w:tcBorders>
                  <w:noWrap w:val="0"/>
                  <w:vAlign w:val="center"/>
                </w:tcPr>
                <w:p w14:paraId="1F7368BD">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3万</w:t>
                  </w:r>
                </w:p>
              </w:tc>
              <w:tc>
                <w:tcPr>
                  <w:tcW w:w="3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D49DECE">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0.6836</w:t>
                  </w:r>
                </w:p>
              </w:tc>
              <w:tc>
                <w:tcPr>
                  <w:tcW w:w="32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09A0EF">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0.285</w:t>
                  </w:r>
                </w:p>
              </w:tc>
              <w:tc>
                <w:tcPr>
                  <w:tcW w:w="3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C09CC75">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9.5</w:t>
                  </w:r>
                </w:p>
              </w:tc>
              <w:tc>
                <w:tcPr>
                  <w:tcW w:w="369" w:type="pct"/>
                  <w:tcBorders>
                    <w:left w:val="single" w:color="auto" w:sz="4" w:space="0"/>
                    <w:right w:val="single" w:color="auto" w:sz="4" w:space="0"/>
                    <w:tl2br w:val="nil"/>
                    <w:tr2bl w:val="nil"/>
                  </w:tcBorders>
                  <w:noWrap w:val="0"/>
                  <w:vAlign w:val="center"/>
                </w:tcPr>
                <w:p w14:paraId="5B7A5265">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水帘柜+干式过滤</w:t>
                  </w:r>
                </w:p>
              </w:tc>
              <w:tc>
                <w:tcPr>
                  <w:tcW w:w="2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736BEEE">
                  <w:pPr>
                    <w:bidi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90</w:t>
                  </w:r>
                </w:p>
              </w:tc>
              <w:tc>
                <w:tcPr>
                  <w:tcW w:w="40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055999">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0.0684</w:t>
                  </w:r>
                </w:p>
              </w:tc>
              <w:tc>
                <w:tcPr>
                  <w:tcW w:w="43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E8C004">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0.0285</w:t>
                  </w:r>
                </w:p>
              </w:tc>
              <w:tc>
                <w:tcPr>
                  <w:tcW w:w="37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C3EA01B">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0.95</w:t>
                  </w:r>
                </w:p>
              </w:tc>
              <w:tc>
                <w:tcPr>
                  <w:tcW w:w="379" w:type="pct"/>
                  <w:tcBorders>
                    <w:left w:val="single" w:color="auto" w:sz="4" w:space="0"/>
                    <w:right w:val="nil"/>
                    <w:tl2br w:val="nil"/>
                    <w:tr2bl w:val="nil"/>
                  </w:tcBorders>
                  <w:noWrap w:val="0"/>
                  <w:vAlign w:val="center"/>
                </w:tcPr>
                <w:p w14:paraId="1DC2342D">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120</w:t>
                  </w:r>
                </w:p>
              </w:tc>
              <w:tc>
                <w:tcPr>
                  <w:tcW w:w="265" w:type="pct"/>
                  <w:tcBorders>
                    <w:left w:val="single" w:color="auto" w:sz="4" w:space="0"/>
                    <w:right w:val="nil"/>
                    <w:tl2br w:val="nil"/>
                    <w:tr2bl w:val="nil"/>
                  </w:tcBorders>
                  <w:noWrap w:val="0"/>
                  <w:vAlign w:val="center"/>
                </w:tcPr>
                <w:p w14:paraId="50AAD40D">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3.5</w:t>
                  </w:r>
                </w:p>
              </w:tc>
              <w:tc>
                <w:tcPr>
                  <w:tcW w:w="430" w:type="pct"/>
                  <w:vMerge w:val="restart"/>
                  <w:tcBorders>
                    <w:left w:val="single" w:color="auto" w:sz="4" w:space="0"/>
                    <w:right w:val="nil"/>
                    <w:tl2br w:val="nil"/>
                    <w:tr2bl w:val="nil"/>
                  </w:tcBorders>
                  <w:shd w:val="clear" w:color="auto" w:fill="auto"/>
                  <w:noWrap w:val="0"/>
                  <w:vAlign w:val="center"/>
                </w:tcPr>
                <w:p w14:paraId="26D70369">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DA001</w:t>
                  </w:r>
                </w:p>
              </w:tc>
            </w:tr>
            <w:tr w14:paraId="5D522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31" w:hRule="atLeast"/>
                <w:jc w:val="center"/>
              </w:trPr>
              <w:tc>
                <w:tcPr>
                  <w:tcW w:w="161" w:type="pct"/>
                  <w:vMerge w:val="continue"/>
                  <w:tcBorders>
                    <w:left w:val="nil"/>
                    <w:right w:val="single" w:color="auto" w:sz="4" w:space="0"/>
                    <w:tl2br w:val="nil"/>
                    <w:tr2bl w:val="nil"/>
                  </w:tcBorders>
                  <w:noWrap w:val="0"/>
                  <w:vAlign w:val="center"/>
                </w:tcPr>
                <w:p w14:paraId="2151F6C9">
                  <w:pPr>
                    <w:pStyle w:val="30"/>
                    <w:bidi w:val="0"/>
                    <w:rPr>
                      <w:rFonts w:hint="eastAsia" w:ascii="Times New Roman" w:hAnsi="Times New Roman" w:cs="Times New Roman"/>
                      <w:color w:val="auto"/>
                      <w:sz w:val="21"/>
                      <w:szCs w:val="21"/>
                      <w:lang w:val="en-US" w:eastAsia="zh-CN"/>
                    </w:rPr>
                  </w:pPr>
                </w:p>
              </w:tc>
              <w:tc>
                <w:tcPr>
                  <w:tcW w:w="207" w:type="pct"/>
                  <w:vMerge w:val="continue"/>
                  <w:tcBorders>
                    <w:left w:val="nil"/>
                    <w:right w:val="single" w:color="auto" w:sz="4" w:space="0"/>
                    <w:tl2br w:val="nil"/>
                    <w:tr2bl w:val="nil"/>
                  </w:tcBorders>
                  <w:noWrap w:val="0"/>
                  <w:vAlign w:val="center"/>
                </w:tcPr>
                <w:p w14:paraId="4F573B2B">
                  <w:pPr>
                    <w:pStyle w:val="30"/>
                    <w:bidi w:val="0"/>
                    <w:rPr>
                      <w:rFonts w:hint="eastAsia" w:ascii="Times New Roman" w:hAnsi="Times New Roman" w:cs="Times New Roman"/>
                      <w:color w:val="auto"/>
                      <w:sz w:val="21"/>
                      <w:szCs w:val="21"/>
                      <w:lang w:val="en-US" w:eastAsia="zh-CN"/>
                    </w:rPr>
                  </w:pPr>
                </w:p>
              </w:tc>
              <w:tc>
                <w:tcPr>
                  <w:tcW w:w="3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05E0F45">
                  <w:pPr>
                    <w:pStyle w:val="30"/>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非甲烷总烃</w:t>
                  </w:r>
                </w:p>
              </w:tc>
              <w:tc>
                <w:tcPr>
                  <w:tcW w:w="272" w:type="pct"/>
                  <w:vMerge w:val="continue"/>
                  <w:tcBorders>
                    <w:left w:val="single" w:color="auto" w:sz="4" w:space="0"/>
                    <w:right w:val="single" w:color="auto" w:sz="4" w:space="0"/>
                    <w:tl2br w:val="nil"/>
                    <w:tr2bl w:val="nil"/>
                  </w:tcBorders>
                  <w:shd w:val="clear" w:color="auto" w:fill="auto"/>
                  <w:noWrap w:val="0"/>
                  <w:vAlign w:val="center"/>
                </w:tcPr>
                <w:p w14:paraId="6B671A51">
                  <w:pPr>
                    <w:pStyle w:val="30"/>
                    <w:bidi w:val="0"/>
                    <w:ind w:firstLine="0" w:firstLineChars="0"/>
                    <w:rPr>
                      <w:rFonts w:hint="eastAsia" w:ascii="Times New Roman" w:hAnsi="Times New Roman" w:eastAsia="宋体" w:cs="Times New Roman"/>
                      <w:color w:val="auto"/>
                      <w:kern w:val="2"/>
                      <w:sz w:val="21"/>
                      <w:szCs w:val="21"/>
                      <w:lang w:val="en-US" w:eastAsia="zh-CN" w:bidi="ar-SA"/>
                    </w:rPr>
                  </w:pPr>
                </w:p>
              </w:tc>
              <w:tc>
                <w:tcPr>
                  <w:tcW w:w="3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28AB72">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3.87</w:t>
                  </w:r>
                </w:p>
              </w:tc>
              <w:tc>
                <w:tcPr>
                  <w:tcW w:w="32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C5A267">
                  <w:pPr>
                    <w:pStyle w:val="30"/>
                    <w:bidi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1.6125</w:t>
                  </w:r>
                </w:p>
              </w:tc>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04EB560">
                  <w:pPr>
                    <w:pStyle w:val="30"/>
                    <w:bidi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53.75</w:t>
                  </w:r>
                </w:p>
              </w:tc>
              <w:tc>
                <w:tcPr>
                  <w:tcW w:w="369" w:type="pct"/>
                  <w:vMerge w:val="restart"/>
                  <w:tcBorders>
                    <w:left w:val="single" w:color="auto" w:sz="4" w:space="0"/>
                    <w:right w:val="single" w:color="auto" w:sz="4" w:space="0"/>
                    <w:tl2br w:val="nil"/>
                    <w:tr2bl w:val="nil"/>
                  </w:tcBorders>
                  <w:shd w:val="clear" w:color="auto" w:fill="auto"/>
                  <w:noWrap w:val="0"/>
                  <w:vAlign w:val="center"/>
                </w:tcPr>
                <w:p w14:paraId="55410A8B">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活性炭吸附脱附+催化燃烧</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49CD9D2">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40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84CE132">
                  <w:pPr>
                    <w:pStyle w:val="30"/>
                    <w:bidi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0.581</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D745B0A">
                  <w:pPr>
                    <w:pStyle w:val="30"/>
                    <w:bidi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0.242</w:t>
                  </w:r>
                </w:p>
              </w:tc>
              <w:tc>
                <w:tcPr>
                  <w:tcW w:w="37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38229B7">
                  <w:pPr>
                    <w:pStyle w:val="30"/>
                    <w:bidi w:val="0"/>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8.063</w:t>
                  </w:r>
                </w:p>
              </w:tc>
              <w:tc>
                <w:tcPr>
                  <w:tcW w:w="379" w:type="pct"/>
                  <w:tcBorders>
                    <w:left w:val="single" w:color="auto" w:sz="4" w:space="0"/>
                    <w:right w:val="nil"/>
                    <w:tl2br w:val="nil"/>
                    <w:tr2bl w:val="nil"/>
                  </w:tcBorders>
                  <w:shd w:val="clear" w:color="auto" w:fill="auto"/>
                  <w:noWrap w:val="0"/>
                  <w:vAlign w:val="center"/>
                </w:tcPr>
                <w:p w14:paraId="6774D845">
                  <w:pPr>
                    <w:pStyle w:val="30"/>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40</w:t>
                  </w:r>
                </w:p>
              </w:tc>
              <w:tc>
                <w:tcPr>
                  <w:tcW w:w="265" w:type="pct"/>
                  <w:tcBorders>
                    <w:left w:val="single" w:color="auto" w:sz="4" w:space="0"/>
                    <w:right w:val="nil"/>
                    <w:tl2br w:val="nil"/>
                    <w:tr2bl w:val="nil"/>
                  </w:tcBorders>
                  <w:shd w:val="clear" w:color="auto" w:fill="auto"/>
                  <w:noWrap w:val="0"/>
                  <w:vAlign w:val="center"/>
                </w:tcPr>
                <w:p w14:paraId="297E40B3">
                  <w:pPr>
                    <w:pStyle w:val="30"/>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c>
                <w:tcPr>
                  <w:tcW w:w="430" w:type="pct"/>
                  <w:vMerge w:val="continue"/>
                  <w:tcBorders>
                    <w:left w:val="single" w:color="auto" w:sz="4" w:space="0"/>
                    <w:right w:val="nil"/>
                    <w:tl2br w:val="nil"/>
                    <w:tr2bl w:val="nil"/>
                  </w:tcBorders>
                  <w:noWrap w:val="0"/>
                  <w:vAlign w:val="center"/>
                </w:tcPr>
                <w:p w14:paraId="0445F91C">
                  <w:pPr>
                    <w:pStyle w:val="30"/>
                    <w:bidi w:val="0"/>
                    <w:rPr>
                      <w:rFonts w:hint="default" w:ascii="Times New Roman" w:hAnsi="Times New Roman" w:cs="Times New Roman"/>
                      <w:color w:val="auto"/>
                      <w:sz w:val="21"/>
                      <w:szCs w:val="21"/>
                      <w:lang w:val="en-US" w:eastAsia="zh-CN"/>
                    </w:rPr>
                  </w:pPr>
                </w:p>
              </w:tc>
            </w:tr>
            <w:tr w14:paraId="29FAC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74" w:hRule="atLeast"/>
                <w:jc w:val="center"/>
              </w:trPr>
              <w:tc>
                <w:tcPr>
                  <w:tcW w:w="161" w:type="pct"/>
                  <w:vMerge w:val="continue"/>
                  <w:tcBorders>
                    <w:left w:val="nil"/>
                    <w:right w:val="single" w:color="auto" w:sz="4" w:space="0"/>
                    <w:tl2br w:val="nil"/>
                    <w:tr2bl w:val="nil"/>
                  </w:tcBorders>
                  <w:noWrap w:val="0"/>
                  <w:vAlign w:val="center"/>
                </w:tcPr>
                <w:p w14:paraId="217B954B">
                  <w:pPr>
                    <w:pStyle w:val="30"/>
                    <w:bidi w:val="0"/>
                    <w:rPr>
                      <w:rFonts w:hint="eastAsia" w:ascii="Times New Roman" w:hAnsi="Times New Roman" w:cs="Times New Roman"/>
                      <w:color w:val="auto"/>
                      <w:sz w:val="21"/>
                      <w:szCs w:val="21"/>
                      <w:lang w:val="en-US" w:eastAsia="zh-CN"/>
                    </w:rPr>
                  </w:pPr>
                </w:p>
              </w:tc>
              <w:tc>
                <w:tcPr>
                  <w:tcW w:w="207" w:type="pct"/>
                  <w:vMerge w:val="continue"/>
                  <w:tcBorders>
                    <w:left w:val="nil"/>
                    <w:right w:val="single" w:color="auto" w:sz="4" w:space="0"/>
                    <w:tl2br w:val="nil"/>
                    <w:tr2bl w:val="nil"/>
                  </w:tcBorders>
                  <w:noWrap w:val="0"/>
                  <w:vAlign w:val="center"/>
                </w:tcPr>
                <w:p w14:paraId="58BB666D">
                  <w:pPr>
                    <w:pStyle w:val="30"/>
                    <w:bidi w:val="0"/>
                    <w:rPr>
                      <w:rFonts w:hint="eastAsia" w:ascii="Times New Roman" w:hAnsi="Times New Roman" w:cs="Times New Roman"/>
                      <w:color w:val="auto"/>
                      <w:sz w:val="21"/>
                      <w:szCs w:val="21"/>
                      <w:lang w:val="en-US" w:eastAsia="zh-CN"/>
                    </w:rPr>
                  </w:pPr>
                </w:p>
              </w:tc>
              <w:tc>
                <w:tcPr>
                  <w:tcW w:w="3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2907CF1">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二甲苯</w:t>
                  </w:r>
                </w:p>
              </w:tc>
              <w:tc>
                <w:tcPr>
                  <w:tcW w:w="272" w:type="pct"/>
                  <w:vMerge w:val="continue"/>
                  <w:tcBorders>
                    <w:left w:val="single" w:color="auto" w:sz="4" w:space="0"/>
                    <w:right w:val="single" w:color="auto" w:sz="4" w:space="0"/>
                    <w:tl2br w:val="nil"/>
                    <w:tr2bl w:val="nil"/>
                  </w:tcBorders>
                  <w:noWrap w:val="0"/>
                  <w:vAlign w:val="center"/>
                </w:tcPr>
                <w:p w14:paraId="532A64C7">
                  <w:pPr>
                    <w:pStyle w:val="30"/>
                    <w:bidi w:val="0"/>
                    <w:rPr>
                      <w:rFonts w:hint="default" w:ascii="Times New Roman" w:hAnsi="Times New Roman" w:cs="Times New Roman"/>
                      <w:color w:val="auto"/>
                      <w:sz w:val="21"/>
                      <w:szCs w:val="21"/>
                      <w:lang w:val="en-US" w:eastAsia="zh-CN"/>
                    </w:rPr>
                  </w:pPr>
                </w:p>
              </w:tc>
              <w:tc>
                <w:tcPr>
                  <w:tcW w:w="3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92013F4">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2.061</w:t>
                  </w:r>
                </w:p>
              </w:tc>
              <w:tc>
                <w:tcPr>
                  <w:tcW w:w="32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7E80120">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0.85875</w:t>
                  </w:r>
                </w:p>
              </w:tc>
              <w:tc>
                <w:tcPr>
                  <w:tcW w:w="3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51BE67">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28.625</w:t>
                  </w:r>
                </w:p>
              </w:tc>
              <w:tc>
                <w:tcPr>
                  <w:tcW w:w="369" w:type="pct"/>
                  <w:vMerge w:val="continue"/>
                  <w:tcBorders>
                    <w:left w:val="single" w:color="auto" w:sz="4" w:space="0"/>
                    <w:right w:val="single" w:color="auto" w:sz="4" w:space="0"/>
                    <w:tl2br w:val="nil"/>
                    <w:tr2bl w:val="nil"/>
                  </w:tcBorders>
                  <w:noWrap w:val="0"/>
                  <w:vAlign w:val="center"/>
                </w:tcPr>
                <w:p w14:paraId="0680F62A">
                  <w:pPr>
                    <w:pStyle w:val="30"/>
                    <w:bidi w:val="0"/>
                    <w:rPr>
                      <w:rFonts w:hint="eastAsia" w:ascii="Times New Roman" w:hAnsi="Times New Roman" w:cs="Times New Roman"/>
                      <w:color w:val="auto"/>
                      <w:sz w:val="21"/>
                      <w:szCs w:val="21"/>
                      <w:lang w:val="en-US" w:eastAsia="zh-CN"/>
                    </w:rPr>
                  </w:pPr>
                </w:p>
              </w:tc>
              <w:tc>
                <w:tcPr>
                  <w:tcW w:w="2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BD9FC8">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40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A9B14D">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 xml:space="preserve">0.309 </w:t>
                  </w:r>
                </w:p>
              </w:tc>
              <w:tc>
                <w:tcPr>
                  <w:tcW w:w="43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337B35F">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0.129</w:t>
                  </w:r>
                </w:p>
              </w:tc>
              <w:tc>
                <w:tcPr>
                  <w:tcW w:w="37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CE2F8E1">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4.294</w:t>
                  </w:r>
                </w:p>
              </w:tc>
              <w:tc>
                <w:tcPr>
                  <w:tcW w:w="379" w:type="pct"/>
                  <w:tcBorders>
                    <w:left w:val="single" w:color="auto" w:sz="4" w:space="0"/>
                    <w:right w:val="nil"/>
                    <w:tl2br w:val="nil"/>
                    <w:tr2bl w:val="nil"/>
                  </w:tcBorders>
                  <w:noWrap w:val="0"/>
                  <w:vAlign w:val="center"/>
                </w:tcPr>
                <w:p w14:paraId="65A990B5">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w:t>
                  </w:r>
                </w:p>
              </w:tc>
              <w:tc>
                <w:tcPr>
                  <w:tcW w:w="265" w:type="pct"/>
                  <w:tcBorders>
                    <w:left w:val="single" w:color="auto" w:sz="4" w:space="0"/>
                    <w:right w:val="nil"/>
                    <w:tl2br w:val="nil"/>
                    <w:tr2bl w:val="nil"/>
                  </w:tcBorders>
                  <w:noWrap w:val="0"/>
                  <w:vAlign w:val="center"/>
                </w:tcPr>
                <w:p w14:paraId="6D01520B">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430" w:type="pct"/>
                  <w:vMerge w:val="continue"/>
                  <w:tcBorders>
                    <w:left w:val="single" w:color="auto" w:sz="4" w:space="0"/>
                    <w:right w:val="nil"/>
                    <w:tl2br w:val="nil"/>
                    <w:tr2bl w:val="nil"/>
                  </w:tcBorders>
                  <w:noWrap w:val="0"/>
                  <w:vAlign w:val="center"/>
                </w:tcPr>
                <w:p w14:paraId="05575A65">
                  <w:pPr>
                    <w:pStyle w:val="30"/>
                    <w:bidi w:val="0"/>
                    <w:rPr>
                      <w:rFonts w:hint="default" w:ascii="Times New Roman" w:hAnsi="Times New Roman" w:cs="Times New Roman"/>
                      <w:color w:val="auto"/>
                      <w:sz w:val="21"/>
                      <w:szCs w:val="21"/>
                      <w:lang w:val="en-US" w:eastAsia="zh-CN"/>
                    </w:rPr>
                  </w:pPr>
                </w:p>
              </w:tc>
            </w:tr>
            <w:tr w14:paraId="5A850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74" w:hRule="atLeast"/>
                <w:jc w:val="center"/>
              </w:trPr>
              <w:tc>
                <w:tcPr>
                  <w:tcW w:w="161" w:type="pct"/>
                  <w:vMerge w:val="continue"/>
                  <w:tcBorders>
                    <w:left w:val="nil"/>
                    <w:right w:val="single" w:color="auto" w:sz="4" w:space="0"/>
                    <w:tl2br w:val="nil"/>
                    <w:tr2bl w:val="nil"/>
                  </w:tcBorders>
                  <w:noWrap w:val="0"/>
                  <w:vAlign w:val="center"/>
                </w:tcPr>
                <w:p w14:paraId="129CDAF3">
                  <w:pPr>
                    <w:pStyle w:val="30"/>
                    <w:bidi w:val="0"/>
                    <w:rPr>
                      <w:rFonts w:hint="eastAsia" w:ascii="Times New Roman" w:hAnsi="Times New Roman" w:cs="Times New Roman"/>
                      <w:color w:val="auto"/>
                      <w:sz w:val="21"/>
                      <w:szCs w:val="21"/>
                      <w:lang w:val="en-US" w:eastAsia="zh-CN"/>
                    </w:rPr>
                  </w:pPr>
                </w:p>
              </w:tc>
              <w:tc>
                <w:tcPr>
                  <w:tcW w:w="207" w:type="pct"/>
                  <w:vMerge w:val="continue"/>
                  <w:tcBorders>
                    <w:left w:val="nil"/>
                    <w:bottom w:val="single" w:color="auto" w:sz="4" w:space="0"/>
                    <w:right w:val="single" w:color="auto" w:sz="4" w:space="0"/>
                    <w:tl2br w:val="nil"/>
                    <w:tr2bl w:val="nil"/>
                  </w:tcBorders>
                  <w:noWrap w:val="0"/>
                  <w:vAlign w:val="center"/>
                </w:tcPr>
                <w:p w14:paraId="2C42B909">
                  <w:pPr>
                    <w:pStyle w:val="30"/>
                    <w:bidi w:val="0"/>
                    <w:rPr>
                      <w:rFonts w:hint="eastAsia" w:ascii="Times New Roman" w:hAnsi="Times New Roman" w:cs="Times New Roman"/>
                      <w:color w:val="auto"/>
                      <w:sz w:val="21"/>
                      <w:szCs w:val="21"/>
                      <w:lang w:val="en-US" w:eastAsia="zh-CN"/>
                    </w:rPr>
                  </w:pPr>
                </w:p>
              </w:tc>
              <w:tc>
                <w:tcPr>
                  <w:tcW w:w="3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3B6CC0D">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臭气浓度</w:t>
                  </w:r>
                </w:p>
              </w:tc>
              <w:tc>
                <w:tcPr>
                  <w:tcW w:w="272" w:type="pct"/>
                  <w:vMerge w:val="continue"/>
                  <w:tcBorders>
                    <w:left w:val="single" w:color="auto" w:sz="4" w:space="0"/>
                    <w:bottom w:val="single" w:color="auto" w:sz="4" w:space="0"/>
                    <w:right w:val="single" w:color="auto" w:sz="4" w:space="0"/>
                    <w:tl2br w:val="nil"/>
                    <w:tr2bl w:val="nil"/>
                  </w:tcBorders>
                  <w:noWrap w:val="0"/>
                  <w:vAlign w:val="center"/>
                </w:tcPr>
                <w:p w14:paraId="62230E0A">
                  <w:pPr>
                    <w:pStyle w:val="30"/>
                    <w:bidi w:val="0"/>
                    <w:rPr>
                      <w:rFonts w:hint="default" w:ascii="Times New Roman" w:hAnsi="Times New Roman" w:cs="Times New Roman"/>
                      <w:color w:val="auto"/>
                      <w:sz w:val="21"/>
                      <w:szCs w:val="21"/>
                      <w:lang w:val="en-US" w:eastAsia="zh-CN"/>
                    </w:rPr>
                  </w:pPr>
                </w:p>
              </w:tc>
              <w:tc>
                <w:tcPr>
                  <w:tcW w:w="1069"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0EE01027">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少量</w:t>
                  </w:r>
                </w:p>
              </w:tc>
              <w:tc>
                <w:tcPr>
                  <w:tcW w:w="369" w:type="pct"/>
                  <w:vMerge w:val="continue"/>
                  <w:tcBorders>
                    <w:left w:val="single" w:color="auto" w:sz="4" w:space="0"/>
                    <w:bottom w:val="single" w:color="auto" w:sz="4" w:space="0"/>
                    <w:right w:val="single" w:color="auto" w:sz="4" w:space="0"/>
                    <w:tl2br w:val="nil"/>
                    <w:tr2bl w:val="nil"/>
                  </w:tcBorders>
                  <w:noWrap w:val="0"/>
                  <w:vAlign w:val="center"/>
                </w:tcPr>
                <w:p w14:paraId="7921017C">
                  <w:pPr>
                    <w:pStyle w:val="30"/>
                    <w:bidi w:val="0"/>
                    <w:rPr>
                      <w:rFonts w:hint="eastAsia" w:ascii="Times New Roman" w:hAnsi="Times New Roman" w:cs="Times New Roman"/>
                      <w:color w:val="auto"/>
                      <w:sz w:val="21"/>
                      <w:szCs w:val="21"/>
                      <w:lang w:val="en-US" w:eastAsia="zh-CN"/>
                    </w:rPr>
                  </w:pPr>
                </w:p>
              </w:tc>
              <w:tc>
                <w:tcPr>
                  <w:tcW w:w="2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22B34F5">
                  <w:pPr>
                    <w:pStyle w:val="30"/>
                    <w:bidi w:val="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19"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71D6DB7E">
                  <w:pPr>
                    <w:pStyle w:val="30"/>
                    <w:bidi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少量</w:t>
                  </w:r>
                </w:p>
              </w:tc>
              <w:tc>
                <w:tcPr>
                  <w:tcW w:w="644" w:type="pct"/>
                  <w:gridSpan w:val="2"/>
                  <w:tcBorders>
                    <w:left w:val="single" w:color="auto" w:sz="4" w:space="0"/>
                    <w:right w:val="nil"/>
                    <w:tl2br w:val="nil"/>
                    <w:tr2bl w:val="nil"/>
                  </w:tcBorders>
                  <w:noWrap w:val="0"/>
                  <w:vAlign w:val="center"/>
                </w:tcPr>
                <w:p w14:paraId="65F4BAEA">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2000（无量纲）</w:t>
                  </w:r>
                </w:p>
              </w:tc>
              <w:tc>
                <w:tcPr>
                  <w:tcW w:w="430" w:type="pct"/>
                  <w:vMerge w:val="continue"/>
                  <w:tcBorders>
                    <w:left w:val="single" w:color="auto" w:sz="4" w:space="0"/>
                    <w:right w:val="nil"/>
                    <w:tl2br w:val="nil"/>
                    <w:tr2bl w:val="nil"/>
                  </w:tcBorders>
                  <w:noWrap w:val="0"/>
                  <w:vAlign w:val="center"/>
                </w:tcPr>
                <w:p w14:paraId="16860390">
                  <w:pPr>
                    <w:pStyle w:val="30"/>
                    <w:bidi w:val="0"/>
                    <w:rPr>
                      <w:rFonts w:hint="default" w:ascii="Times New Roman" w:hAnsi="Times New Roman" w:cs="Times New Roman"/>
                      <w:color w:val="auto"/>
                      <w:sz w:val="21"/>
                      <w:szCs w:val="21"/>
                      <w:lang w:val="en-US" w:eastAsia="zh-CN"/>
                    </w:rPr>
                  </w:pPr>
                </w:p>
              </w:tc>
            </w:tr>
            <w:tr w14:paraId="2A620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3" w:hRule="atLeast"/>
                <w:jc w:val="center"/>
              </w:trPr>
              <w:tc>
                <w:tcPr>
                  <w:tcW w:w="161" w:type="pct"/>
                  <w:vMerge w:val="restart"/>
                  <w:tcBorders>
                    <w:top w:val="single" w:color="auto" w:sz="4" w:space="0"/>
                    <w:left w:val="nil"/>
                    <w:right w:val="single" w:color="auto" w:sz="4" w:space="0"/>
                    <w:tl2br w:val="nil"/>
                    <w:tr2bl w:val="nil"/>
                  </w:tcBorders>
                  <w:noWrap w:val="0"/>
                  <w:vAlign w:val="center"/>
                </w:tcPr>
                <w:p w14:paraId="51C5881F">
                  <w:pPr>
                    <w:pStyle w:val="30"/>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合计</w:t>
                  </w:r>
                </w:p>
              </w:tc>
              <w:tc>
                <w:tcPr>
                  <w:tcW w:w="534" w:type="pct"/>
                  <w:gridSpan w:val="2"/>
                  <w:tcBorders>
                    <w:top w:val="single" w:color="auto" w:sz="4" w:space="0"/>
                    <w:left w:val="nil"/>
                    <w:right w:val="single" w:color="auto" w:sz="4" w:space="0"/>
                    <w:tl2br w:val="nil"/>
                    <w:tr2bl w:val="nil"/>
                  </w:tcBorders>
                  <w:noWrap w:val="0"/>
                  <w:vAlign w:val="center"/>
                </w:tcPr>
                <w:p w14:paraId="36F8C399">
                  <w:pPr>
                    <w:pStyle w:val="30"/>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272"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20117536">
                  <w:pPr>
                    <w:bidi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c>
                <w:tcPr>
                  <w:tcW w:w="3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1C220F9">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0.6836</w:t>
                  </w:r>
                </w:p>
              </w:tc>
              <w:tc>
                <w:tcPr>
                  <w:tcW w:w="32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86E1321">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0.285</w:t>
                  </w:r>
                </w:p>
              </w:tc>
              <w:tc>
                <w:tcPr>
                  <w:tcW w:w="3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624F064">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12.2</w:t>
                  </w:r>
                </w:p>
              </w:tc>
              <w:tc>
                <w:tcPr>
                  <w:tcW w:w="369" w:type="pct"/>
                  <w:tcBorders>
                    <w:left w:val="single" w:color="auto" w:sz="4" w:space="0"/>
                    <w:bottom w:val="single" w:color="auto" w:sz="4" w:space="0"/>
                    <w:right w:val="single" w:color="auto" w:sz="4" w:space="0"/>
                    <w:tl2br w:val="nil"/>
                    <w:tr2bl w:val="nil"/>
                  </w:tcBorders>
                  <w:noWrap w:val="0"/>
                  <w:vAlign w:val="center"/>
                </w:tcPr>
                <w:p w14:paraId="2CF4278A">
                  <w:pPr>
                    <w:bidi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99" w:type="pct"/>
                  <w:tcBorders>
                    <w:left w:val="single" w:color="auto" w:sz="4" w:space="0"/>
                    <w:bottom w:val="single" w:color="auto" w:sz="4" w:space="0"/>
                    <w:right w:val="single" w:color="auto" w:sz="4" w:space="0"/>
                    <w:tl2br w:val="nil"/>
                    <w:tr2bl w:val="nil"/>
                  </w:tcBorders>
                  <w:noWrap w:val="0"/>
                  <w:vAlign w:val="center"/>
                </w:tcPr>
                <w:p w14:paraId="215A7835">
                  <w:pPr>
                    <w:bidi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40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D6A6530">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0.0684</w:t>
                  </w:r>
                </w:p>
              </w:tc>
              <w:tc>
                <w:tcPr>
                  <w:tcW w:w="43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8779DE">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0.0285</w:t>
                  </w:r>
                </w:p>
              </w:tc>
              <w:tc>
                <w:tcPr>
                  <w:tcW w:w="37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B451ED">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379" w:type="pct"/>
                  <w:tcBorders>
                    <w:left w:val="single" w:color="auto" w:sz="4" w:space="0"/>
                    <w:right w:val="nil"/>
                    <w:tl2br w:val="nil"/>
                    <w:tr2bl w:val="nil"/>
                  </w:tcBorders>
                  <w:noWrap w:val="0"/>
                  <w:vAlign w:val="center"/>
                </w:tcPr>
                <w:p w14:paraId="29E154D6">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18</w:t>
                  </w:r>
                </w:p>
              </w:tc>
              <w:tc>
                <w:tcPr>
                  <w:tcW w:w="265" w:type="pct"/>
                  <w:tcBorders>
                    <w:left w:val="single" w:color="auto" w:sz="4" w:space="0"/>
                    <w:right w:val="nil"/>
                    <w:tl2br w:val="nil"/>
                    <w:tr2bl w:val="nil"/>
                  </w:tcBorders>
                  <w:noWrap w:val="0"/>
                  <w:vAlign w:val="center"/>
                </w:tcPr>
                <w:p w14:paraId="7DB3F679">
                  <w:pPr>
                    <w:pStyle w:val="30"/>
                    <w:bidi w:val="0"/>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0.15</w:t>
                  </w:r>
                </w:p>
              </w:tc>
              <w:tc>
                <w:tcPr>
                  <w:tcW w:w="430" w:type="pct"/>
                  <w:vMerge w:val="restart"/>
                  <w:tcBorders>
                    <w:left w:val="single" w:color="auto" w:sz="4" w:space="0"/>
                    <w:right w:val="nil"/>
                    <w:tl2br w:val="nil"/>
                    <w:tr2bl w:val="nil"/>
                  </w:tcBorders>
                  <w:noWrap w:val="0"/>
                  <w:vAlign w:val="center"/>
                </w:tcPr>
                <w:p w14:paraId="6A8405EB">
                  <w:pPr>
                    <w:pStyle w:val="30"/>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DA00</w:t>
                  </w:r>
                  <w:r>
                    <w:rPr>
                      <w:rFonts w:hint="eastAsia" w:ascii="Times New Roman" w:hAnsi="Times New Roman" w:cs="Times New Roman"/>
                      <w:color w:val="auto"/>
                      <w:sz w:val="21"/>
                      <w:szCs w:val="21"/>
                      <w:lang w:val="en-US" w:eastAsia="zh-CN"/>
                    </w:rPr>
                    <w:t>1</w:t>
                  </w:r>
                </w:p>
              </w:tc>
            </w:tr>
            <w:tr w14:paraId="594C3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77" w:hRule="atLeast"/>
                <w:jc w:val="center"/>
              </w:trPr>
              <w:tc>
                <w:tcPr>
                  <w:tcW w:w="161" w:type="pct"/>
                  <w:vMerge w:val="continue"/>
                  <w:tcBorders>
                    <w:left w:val="nil"/>
                    <w:right w:val="single" w:color="auto" w:sz="4" w:space="0"/>
                    <w:tl2br w:val="nil"/>
                    <w:tr2bl w:val="nil"/>
                  </w:tcBorders>
                  <w:noWrap w:val="0"/>
                  <w:vAlign w:val="center"/>
                </w:tcPr>
                <w:p w14:paraId="5C47BD85">
                  <w:pPr>
                    <w:pStyle w:val="30"/>
                    <w:bidi w:val="0"/>
                    <w:rPr>
                      <w:rFonts w:hint="default" w:ascii="Times New Roman" w:hAnsi="Times New Roman" w:cs="Times New Roman"/>
                      <w:color w:val="auto"/>
                      <w:sz w:val="21"/>
                      <w:szCs w:val="21"/>
                    </w:rPr>
                  </w:pPr>
                </w:p>
              </w:tc>
              <w:tc>
                <w:tcPr>
                  <w:tcW w:w="534" w:type="pct"/>
                  <w:gridSpan w:val="2"/>
                  <w:tcBorders>
                    <w:top w:val="single" w:color="auto" w:sz="4" w:space="0"/>
                    <w:left w:val="nil"/>
                    <w:right w:val="single" w:color="auto" w:sz="4" w:space="0"/>
                    <w:tl2br w:val="nil"/>
                    <w:tr2bl w:val="nil"/>
                  </w:tcBorders>
                  <w:noWrap w:val="0"/>
                  <w:vAlign w:val="center"/>
                </w:tcPr>
                <w:p w14:paraId="2187E3A4">
                  <w:pPr>
                    <w:pStyle w:val="30"/>
                    <w:bidi w:val="0"/>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非甲烷总烃</w:t>
                  </w:r>
                </w:p>
              </w:tc>
              <w:tc>
                <w:tcPr>
                  <w:tcW w:w="272" w:type="pct"/>
                  <w:vMerge w:val="continue"/>
                  <w:tcBorders>
                    <w:left w:val="single" w:color="auto" w:sz="4" w:space="0"/>
                    <w:right w:val="single" w:color="auto" w:sz="4" w:space="0"/>
                    <w:tl2br w:val="nil"/>
                    <w:tr2bl w:val="nil"/>
                  </w:tcBorders>
                  <w:noWrap w:val="0"/>
                  <w:vAlign w:val="center"/>
                </w:tcPr>
                <w:p w14:paraId="06A637A6">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p>
              </w:tc>
              <w:tc>
                <w:tcPr>
                  <w:tcW w:w="3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B33B3C">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3.87</w:t>
                  </w:r>
                </w:p>
              </w:tc>
              <w:tc>
                <w:tcPr>
                  <w:tcW w:w="32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753F606">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1.6125</w:t>
                  </w:r>
                </w:p>
              </w:tc>
              <w:tc>
                <w:tcPr>
                  <w:tcW w:w="3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3C50C14">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53.75</w:t>
                  </w:r>
                </w:p>
              </w:tc>
              <w:tc>
                <w:tcPr>
                  <w:tcW w:w="369" w:type="pct"/>
                  <w:tcBorders>
                    <w:left w:val="single" w:color="auto" w:sz="4" w:space="0"/>
                    <w:bottom w:val="single" w:color="auto" w:sz="4" w:space="0"/>
                    <w:right w:val="single" w:color="auto" w:sz="4" w:space="0"/>
                    <w:tl2br w:val="nil"/>
                    <w:tr2bl w:val="nil"/>
                  </w:tcBorders>
                  <w:noWrap w:val="0"/>
                  <w:vAlign w:val="center"/>
                </w:tcPr>
                <w:p w14:paraId="5A18F922">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99" w:type="pct"/>
                  <w:tcBorders>
                    <w:left w:val="single" w:color="auto" w:sz="4" w:space="0"/>
                    <w:bottom w:val="single" w:color="auto" w:sz="4" w:space="0"/>
                    <w:right w:val="single" w:color="auto" w:sz="4" w:space="0"/>
                    <w:tl2br w:val="nil"/>
                    <w:tr2bl w:val="nil"/>
                  </w:tcBorders>
                  <w:noWrap w:val="0"/>
                  <w:vAlign w:val="center"/>
                </w:tcPr>
                <w:p w14:paraId="729E0198">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40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36FEF2">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0.581</w:t>
                  </w:r>
                </w:p>
              </w:tc>
              <w:tc>
                <w:tcPr>
                  <w:tcW w:w="43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39A5C78">
                  <w:pPr>
                    <w:pStyle w:val="30"/>
                    <w:bidi w:val="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0.242</w:t>
                  </w:r>
                </w:p>
              </w:tc>
              <w:tc>
                <w:tcPr>
                  <w:tcW w:w="37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49763B">
                  <w:pPr>
                    <w:pStyle w:val="30"/>
                    <w:bidi w:val="0"/>
                    <w:ind w:firstLine="0" w:firstLineChars="0"/>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8.063</w:t>
                  </w:r>
                </w:p>
              </w:tc>
              <w:tc>
                <w:tcPr>
                  <w:tcW w:w="379" w:type="pct"/>
                  <w:tcBorders>
                    <w:left w:val="single" w:color="auto" w:sz="4" w:space="0"/>
                    <w:right w:val="nil"/>
                    <w:tl2br w:val="nil"/>
                    <w:tr2bl w:val="nil"/>
                  </w:tcBorders>
                  <w:noWrap w:val="0"/>
                  <w:vAlign w:val="center"/>
                </w:tcPr>
                <w:p w14:paraId="1961FAA0">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40</w:t>
                  </w:r>
                </w:p>
              </w:tc>
              <w:tc>
                <w:tcPr>
                  <w:tcW w:w="265" w:type="pct"/>
                  <w:tcBorders>
                    <w:left w:val="single" w:color="auto" w:sz="4" w:space="0"/>
                    <w:right w:val="nil"/>
                    <w:tl2br w:val="nil"/>
                    <w:tr2bl w:val="nil"/>
                  </w:tcBorders>
                  <w:noWrap w:val="0"/>
                  <w:vAlign w:val="center"/>
                </w:tcPr>
                <w:p w14:paraId="5321414F">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w:t>
                  </w:r>
                </w:p>
              </w:tc>
              <w:tc>
                <w:tcPr>
                  <w:tcW w:w="430" w:type="pct"/>
                  <w:vMerge w:val="continue"/>
                  <w:tcBorders>
                    <w:left w:val="single" w:color="auto" w:sz="4" w:space="0"/>
                    <w:right w:val="nil"/>
                    <w:tl2br w:val="nil"/>
                    <w:tr2bl w:val="nil"/>
                  </w:tcBorders>
                  <w:noWrap w:val="0"/>
                  <w:vAlign w:val="center"/>
                </w:tcPr>
                <w:p w14:paraId="0123B419">
                  <w:pPr>
                    <w:pStyle w:val="30"/>
                    <w:bidi w:val="0"/>
                    <w:rPr>
                      <w:rFonts w:hint="default" w:ascii="Times New Roman" w:hAnsi="Times New Roman" w:cs="Times New Roman"/>
                      <w:color w:val="auto"/>
                      <w:sz w:val="21"/>
                      <w:szCs w:val="21"/>
                    </w:rPr>
                  </w:pPr>
                </w:p>
              </w:tc>
            </w:tr>
            <w:tr w14:paraId="1CD5C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61" w:type="pct"/>
                  <w:vMerge w:val="continue"/>
                  <w:tcBorders>
                    <w:left w:val="nil"/>
                    <w:right w:val="single" w:color="auto" w:sz="4" w:space="0"/>
                    <w:tl2br w:val="nil"/>
                    <w:tr2bl w:val="nil"/>
                  </w:tcBorders>
                  <w:noWrap w:val="0"/>
                  <w:vAlign w:val="center"/>
                </w:tcPr>
                <w:p w14:paraId="3CDA6A7F">
                  <w:pPr>
                    <w:pStyle w:val="30"/>
                    <w:bidi w:val="0"/>
                    <w:rPr>
                      <w:rFonts w:hint="default" w:ascii="Times New Roman" w:hAnsi="Times New Roman" w:cs="Times New Roman"/>
                      <w:color w:val="auto"/>
                      <w:sz w:val="21"/>
                      <w:szCs w:val="21"/>
                    </w:rPr>
                  </w:pPr>
                </w:p>
              </w:tc>
              <w:tc>
                <w:tcPr>
                  <w:tcW w:w="534" w:type="pct"/>
                  <w:gridSpan w:val="2"/>
                  <w:tcBorders>
                    <w:left w:val="nil"/>
                    <w:bottom w:val="single" w:color="auto" w:sz="4" w:space="0"/>
                    <w:right w:val="single" w:color="auto" w:sz="4" w:space="0"/>
                    <w:tl2br w:val="nil"/>
                    <w:tr2bl w:val="nil"/>
                  </w:tcBorders>
                  <w:noWrap w:val="0"/>
                  <w:vAlign w:val="center"/>
                </w:tcPr>
                <w:p w14:paraId="2F73F36A">
                  <w:pPr>
                    <w:pStyle w:val="30"/>
                    <w:bidi w:val="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二甲苯</w:t>
                  </w:r>
                </w:p>
              </w:tc>
              <w:tc>
                <w:tcPr>
                  <w:tcW w:w="272"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01F434E0">
                  <w:pPr>
                    <w:pStyle w:val="30"/>
                    <w:bidi w:val="0"/>
                    <w:ind w:firstLine="0" w:firstLineChars="0"/>
                    <w:rPr>
                      <w:rFonts w:hint="default" w:ascii="Times New Roman" w:hAnsi="Times New Roman" w:eastAsia="宋体" w:cs="Times New Roman"/>
                      <w:color w:val="auto"/>
                      <w:kern w:val="2"/>
                      <w:sz w:val="21"/>
                      <w:szCs w:val="21"/>
                      <w:lang w:val="en-US" w:eastAsia="zh-CN" w:bidi="ar-SA"/>
                    </w:rPr>
                  </w:pPr>
                </w:p>
              </w:tc>
              <w:tc>
                <w:tcPr>
                  <w:tcW w:w="3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AA4CBA6">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2.061</w:t>
                  </w:r>
                </w:p>
              </w:tc>
              <w:tc>
                <w:tcPr>
                  <w:tcW w:w="32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ABEFCF3">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0.85875</w:t>
                  </w:r>
                </w:p>
              </w:tc>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A1BAB6">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28.625</w:t>
                  </w:r>
                </w:p>
              </w:tc>
              <w:tc>
                <w:tcPr>
                  <w:tcW w:w="369" w:type="pct"/>
                  <w:tcBorders>
                    <w:left w:val="single" w:color="auto" w:sz="4" w:space="0"/>
                    <w:bottom w:val="single" w:color="auto" w:sz="4" w:space="0"/>
                    <w:right w:val="single" w:color="auto" w:sz="4" w:space="0"/>
                    <w:tl2br w:val="nil"/>
                    <w:tr2bl w:val="nil"/>
                  </w:tcBorders>
                  <w:noWrap w:val="0"/>
                  <w:vAlign w:val="center"/>
                </w:tcPr>
                <w:p w14:paraId="2FBF744E">
                  <w:pPr>
                    <w:bidi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99" w:type="pct"/>
                  <w:tcBorders>
                    <w:left w:val="single" w:color="auto" w:sz="4" w:space="0"/>
                    <w:bottom w:val="single" w:color="auto" w:sz="4" w:space="0"/>
                    <w:right w:val="single" w:color="auto" w:sz="4" w:space="0"/>
                    <w:tl2br w:val="nil"/>
                    <w:tr2bl w:val="nil"/>
                  </w:tcBorders>
                  <w:noWrap w:val="0"/>
                  <w:vAlign w:val="center"/>
                </w:tcPr>
                <w:p w14:paraId="1762F1EF">
                  <w:pPr>
                    <w:bidi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40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0D6A09">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 xml:space="preserve">0.309 </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89FEF53">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0.129</w:t>
                  </w:r>
                </w:p>
              </w:tc>
              <w:tc>
                <w:tcPr>
                  <w:tcW w:w="37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25C757">
                  <w:pPr>
                    <w:pStyle w:val="30"/>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4.294</w:t>
                  </w:r>
                </w:p>
              </w:tc>
              <w:tc>
                <w:tcPr>
                  <w:tcW w:w="379" w:type="pct"/>
                  <w:tcBorders>
                    <w:left w:val="single" w:color="auto" w:sz="4" w:space="0"/>
                    <w:bottom w:val="single" w:color="auto" w:sz="4" w:space="0"/>
                    <w:right w:val="nil"/>
                    <w:tl2br w:val="nil"/>
                    <w:tr2bl w:val="nil"/>
                  </w:tcBorders>
                  <w:noWrap w:val="0"/>
                  <w:vAlign w:val="center"/>
                </w:tcPr>
                <w:p w14:paraId="1C01DC1E">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17</w:t>
                  </w:r>
                </w:p>
              </w:tc>
              <w:tc>
                <w:tcPr>
                  <w:tcW w:w="265" w:type="pct"/>
                  <w:tcBorders>
                    <w:left w:val="single" w:color="auto" w:sz="4" w:space="0"/>
                    <w:bottom w:val="single" w:color="auto" w:sz="4" w:space="0"/>
                    <w:right w:val="nil"/>
                    <w:tl2br w:val="nil"/>
                    <w:tr2bl w:val="nil"/>
                  </w:tcBorders>
                  <w:noWrap w:val="0"/>
                  <w:vAlign w:val="center"/>
                </w:tcPr>
                <w:p w14:paraId="2D31D35E">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w:t>
                  </w:r>
                </w:p>
              </w:tc>
              <w:tc>
                <w:tcPr>
                  <w:tcW w:w="430" w:type="pct"/>
                  <w:vMerge w:val="continue"/>
                  <w:tcBorders>
                    <w:left w:val="single" w:color="auto" w:sz="4" w:space="0"/>
                    <w:bottom w:val="single" w:color="auto" w:sz="4" w:space="0"/>
                    <w:right w:val="nil"/>
                    <w:tl2br w:val="nil"/>
                    <w:tr2bl w:val="nil"/>
                  </w:tcBorders>
                  <w:noWrap w:val="0"/>
                  <w:vAlign w:val="center"/>
                </w:tcPr>
                <w:p w14:paraId="70DC5DE3">
                  <w:pPr>
                    <w:pStyle w:val="30"/>
                    <w:bidi w:val="0"/>
                    <w:rPr>
                      <w:rFonts w:hint="default" w:ascii="Times New Roman" w:hAnsi="Times New Roman" w:cs="Times New Roman"/>
                      <w:color w:val="auto"/>
                      <w:sz w:val="21"/>
                      <w:szCs w:val="21"/>
                    </w:rPr>
                  </w:pPr>
                </w:p>
              </w:tc>
            </w:tr>
            <w:tr w14:paraId="03E37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5000" w:type="pct"/>
                  <w:gridSpan w:val="15"/>
                  <w:tcBorders>
                    <w:top w:val="single" w:color="auto" w:sz="4" w:space="0"/>
                    <w:left w:val="nil"/>
                    <w:bottom w:val="single" w:color="auto" w:sz="12" w:space="0"/>
                    <w:right w:val="nil"/>
                    <w:tl2br w:val="nil"/>
                    <w:tr2bl w:val="nil"/>
                  </w:tcBorders>
                  <w:noWrap w:val="0"/>
                  <w:vAlign w:val="top"/>
                </w:tcPr>
                <w:p w14:paraId="25CC299C">
                  <w:pPr>
                    <w:pStyle w:val="30"/>
                    <w:bidi w:val="0"/>
                    <w:jc w:val="both"/>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备注：表中产生量为</w:t>
                  </w:r>
                  <w:r>
                    <w:rPr>
                      <w:rFonts w:hint="eastAsia" w:ascii="Times New Roman" w:hAnsi="Times New Roman" w:cs="Times New Roman"/>
                      <w:color w:val="auto"/>
                      <w:sz w:val="21"/>
                      <w:szCs w:val="21"/>
                      <w:lang w:val="en-US" w:eastAsia="zh-CN"/>
                    </w:rPr>
                    <w:t>有组织</w:t>
                  </w:r>
                </w:p>
              </w:tc>
            </w:tr>
          </w:tbl>
          <w:p w14:paraId="210EA9DE">
            <w:pPr>
              <w:pStyle w:val="31"/>
              <w:bidi w:val="0"/>
              <w:rPr>
                <w:rFonts w:hint="default" w:ascii="Times New Roman" w:hAnsi="Times New Roman" w:cs="Times New Roman"/>
                <w:color w:val="FF0000"/>
              </w:rPr>
            </w:pPr>
          </w:p>
          <w:p w14:paraId="0143C099">
            <w:pPr>
              <w:pStyle w:val="31"/>
              <w:bidi w:val="0"/>
              <w:rPr>
                <w:rFonts w:hint="default" w:ascii="Times New Roman" w:hAnsi="Times New Roman" w:cs="Times New Roman"/>
                <w:color w:val="auto"/>
              </w:rPr>
            </w:pPr>
            <w:r>
              <w:rPr>
                <w:rFonts w:hint="default" w:ascii="Times New Roman" w:hAnsi="Times New Roman" w:cs="Times New Roman"/>
                <w:color w:val="auto"/>
              </w:rPr>
              <w:t>表4-</w:t>
            </w:r>
            <w:r>
              <w:rPr>
                <w:rFonts w:hint="eastAsia" w:ascii="Times New Roman" w:hAnsi="Times New Roman" w:cs="Times New Roman"/>
                <w:color w:val="auto"/>
                <w:lang w:val="en-US" w:eastAsia="zh-CN"/>
              </w:rPr>
              <w:t>2</w:t>
            </w:r>
            <w:r>
              <w:rPr>
                <w:rFonts w:hint="default" w:ascii="Times New Roman" w:hAnsi="Times New Roman" w:cs="Times New Roman"/>
                <w:color w:val="auto"/>
              </w:rPr>
              <w:t xml:space="preserve">  无组织排放情况</w:t>
            </w:r>
          </w:p>
          <w:tbl>
            <w:tblPr>
              <w:tblStyle w:val="18"/>
              <w:tblW w:w="7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907"/>
              <w:gridCol w:w="1353"/>
              <w:gridCol w:w="985"/>
              <w:gridCol w:w="1412"/>
              <w:gridCol w:w="900"/>
              <w:gridCol w:w="970"/>
            </w:tblGrid>
            <w:tr w14:paraId="729A1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9" w:type="dxa"/>
                  <w:tcBorders>
                    <w:tl2br w:val="nil"/>
                    <w:tr2bl w:val="nil"/>
                  </w:tcBorders>
                  <w:noWrap w:val="0"/>
                  <w:vAlign w:val="center"/>
                </w:tcPr>
                <w:p w14:paraId="5947F75B">
                  <w:pPr>
                    <w:pStyle w:val="30"/>
                    <w:spacing w:beforeLines="0" w:afterLines="0"/>
                    <w:rPr>
                      <w:rFonts w:hint="default" w:ascii="Times New Roman" w:hAnsi="Times New Roman" w:eastAsia="宋体" w:cs="Times New Roman"/>
                      <w:b/>
                      <w:bCs/>
                      <w:color w:val="auto"/>
                      <w:sz w:val="21"/>
                      <w:szCs w:val="24"/>
                      <w:lang w:val="en-US" w:eastAsia="zh-CN"/>
                    </w:rPr>
                  </w:pPr>
                  <w:r>
                    <w:rPr>
                      <w:rFonts w:hint="eastAsia" w:ascii="Times New Roman" w:hAnsi="Times New Roman" w:cs="Times New Roman"/>
                      <w:b/>
                      <w:bCs/>
                      <w:color w:val="auto"/>
                      <w:sz w:val="21"/>
                      <w:szCs w:val="24"/>
                      <w:lang w:val="en-US" w:eastAsia="zh-CN"/>
                    </w:rPr>
                    <w:t>产生位置</w:t>
                  </w:r>
                </w:p>
              </w:tc>
              <w:tc>
                <w:tcPr>
                  <w:tcW w:w="907" w:type="dxa"/>
                  <w:tcBorders>
                    <w:tl2br w:val="nil"/>
                    <w:tr2bl w:val="nil"/>
                  </w:tcBorders>
                  <w:noWrap w:val="0"/>
                  <w:vAlign w:val="center"/>
                </w:tcPr>
                <w:p w14:paraId="4AB049C5">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污染源</w:t>
                  </w:r>
                </w:p>
              </w:tc>
              <w:tc>
                <w:tcPr>
                  <w:tcW w:w="1353" w:type="dxa"/>
                  <w:tcBorders>
                    <w:tl2br w:val="nil"/>
                    <w:tr2bl w:val="nil"/>
                  </w:tcBorders>
                  <w:noWrap w:val="0"/>
                  <w:vAlign w:val="center"/>
                </w:tcPr>
                <w:p w14:paraId="0A17EC95">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污染物</w:t>
                  </w:r>
                </w:p>
              </w:tc>
              <w:tc>
                <w:tcPr>
                  <w:tcW w:w="985" w:type="dxa"/>
                  <w:tcBorders>
                    <w:tl2br w:val="nil"/>
                    <w:tr2bl w:val="nil"/>
                  </w:tcBorders>
                  <w:noWrap w:val="0"/>
                  <w:vAlign w:val="center"/>
                </w:tcPr>
                <w:p w14:paraId="03093360">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产生量（t/a）</w:t>
                  </w:r>
                </w:p>
              </w:tc>
              <w:tc>
                <w:tcPr>
                  <w:tcW w:w="1412" w:type="dxa"/>
                  <w:tcBorders>
                    <w:tl2br w:val="nil"/>
                    <w:tr2bl w:val="nil"/>
                  </w:tcBorders>
                  <w:noWrap w:val="0"/>
                  <w:vAlign w:val="center"/>
                </w:tcPr>
                <w:p w14:paraId="2563EFB3">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环保措施</w:t>
                  </w:r>
                </w:p>
              </w:tc>
              <w:tc>
                <w:tcPr>
                  <w:tcW w:w="900" w:type="dxa"/>
                  <w:tcBorders>
                    <w:tl2br w:val="nil"/>
                    <w:tr2bl w:val="nil"/>
                  </w:tcBorders>
                  <w:noWrap w:val="0"/>
                  <w:vAlign w:val="center"/>
                </w:tcPr>
                <w:p w14:paraId="65D4AA21">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处理效率（%）</w:t>
                  </w:r>
                </w:p>
              </w:tc>
              <w:tc>
                <w:tcPr>
                  <w:tcW w:w="970" w:type="dxa"/>
                  <w:tcBorders>
                    <w:tl2br w:val="nil"/>
                    <w:tr2bl w:val="nil"/>
                  </w:tcBorders>
                  <w:noWrap w:val="0"/>
                  <w:vAlign w:val="center"/>
                </w:tcPr>
                <w:p w14:paraId="2CED2F90">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排放量（t/a）</w:t>
                  </w:r>
                </w:p>
              </w:tc>
            </w:tr>
            <w:tr w14:paraId="4D830E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9" w:type="dxa"/>
                  <w:vMerge w:val="restart"/>
                  <w:tcBorders>
                    <w:tl2br w:val="nil"/>
                    <w:tr2bl w:val="nil"/>
                  </w:tcBorders>
                  <w:noWrap w:val="0"/>
                  <w:vAlign w:val="center"/>
                </w:tcPr>
                <w:p w14:paraId="5D9D083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生产车间</w:t>
                  </w:r>
                </w:p>
              </w:tc>
              <w:tc>
                <w:tcPr>
                  <w:tcW w:w="907" w:type="dxa"/>
                  <w:tcBorders>
                    <w:tl2br w:val="nil"/>
                    <w:tr2bl w:val="nil"/>
                  </w:tcBorders>
                  <w:noWrap w:val="0"/>
                  <w:vAlign w:val="center"/>
                </w:tcPr>
                <w:p w14:paraId="27360AA6">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打磨</w:t>
                  </w:r>
                </w:p>
              </w:tc>
              <w:tc>
                <w:tcPr>
                  <w:tcW w:w="1353" w:type="dxa"/>
                  <w:tcBorders>
                    <w:tl2br w:val="nil"/>
                    <w:tr2bl w:val="nil"/>
                  </w:tcBorders>
                  <w:noWrap w:val="0"/>
                  <w:vAlign w:val="center"/>
                </w:tcPr>
                <w:p w14:paraId="36BD3E81">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颗粒物</w:t>
                  </w:r>
                </w:p>
              </w:tc>
              <w:tc>
                <w:tcPr>
                  <w:tcW w:w="985" w:type="dxa"/>
                  <w:tcBorders>
                    <w:tl2br w:val="nil"/>
                    <w:tr2bl w:val="nil"/>
                  </w:tcBorders>
                  <w:noWrap w:val="0"/>
                  <w:vAlign w:val="center"/>
                </w:tcPr>
                <w:p w14:paraId="2027F7EC">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0.334</w:t>
                  </w:r>
                </w:p>
              </w:tc>
              <w:tc>
                <w:tcPr>
                  <w:tcW w:w="1412" w:type="dxa"/>
                  <w:tcBorders>
                    <w:tl2br w:val="nil"/>
                    <w:tr2bl w:val="nil"/>
                  </w:tcBorders>
                  <w:noWrap w:val="0"/>
                  <w:vAlign w:val="center"/>
                </w:tcPr>
                <w:p w14:paraId="46E9802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封闭式厂房</w:t>
                  </w:r>
                  <w:r>
                    <w:rPr>
                      <w:rFonts w:hint="eastAsia" w:ascii="Times New Roman" w:hAnsi="Times New Roman" w:cs="Times New Roman"/>
                      <w:color w:val="auto"/>
                      <w:sz w:val="21"/>
                      <w:szCs w:val="24"/>
                      <w:lang w:val="en-US" w:eastAsia="zh-CN"/>
                    </w:rPr>
                    <w:t>+</w:t>
                  </w:r>
                  <w:r>
                    <w:rPr>
                      <w:rFonts w:hint="eastAsia" w:ascii="Times New Roman" w:hAnsi="Times New Roman" w:eastAsia="宋体" w:cs="Times New Roman"/>
                      <w:color w:val="auto"/>
                      <w:sz w:val="21"/>
                      <w:szCs w:val="24"/>
                      <w:lang w:val="en-US" w:eastAsia="zh-CN"/>
                    </w:rPr>
                    <w:t>水帘</w:t>
                  </w:r>
                  <w:r>
                    <w:rPr>
                      <w:rFonts w:hint="eastAsia" w:ascii="Times New Roman" w:hAnsi="Times New Roman" w:cs="Times New Roman"/>
                      <w:color w:val="auto"/>
                      <w:sz w:val="21"/>
                      <w:szCs w:val="24"/>
                      <w:lang w:val="en-US" w:eastAsia="zh-CN"/>
                    </w:rPr>
                    <w:t>+布袋</w:t>
                  </w:r>
                  <w:r>
                    <w:rPr>
                      <w:rFonts w:hint="eastAsia" w:ascii="Times New Roman" w:hAnsi="Times New Roman" w:eastAsia="宋体" w:cs="Times New Roman"/>
                      <w:color w:val="auto"/>
                      <w:sz w:val="21"/>
                      <w:szCs w:val="24"/>
                      <w:lang w:val="en-US" w:eastAsia="zh-CN"/>
                    </w:rPr>
                    <w:t>除尘、加强车间通风</w:t>
                  </w:r>
                </w:p>
              </w:tc>
              <w:tc>
                <w:tcPr>
                  <w:tcW w:w="900" w:type="dxa"/>
                  <w:tcBorders>
                    <w:tl2br w:val="nil"/>
                    <w:tr2bl w:val="nil"/>
                  </w:tcBorders>
                  <w:noWrap w:val="0"/>
                  <w:vAlign w:val="center"/>
                </w:tcPr>
                <w:p w14:paraId="7F37803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81</w:t>
                  </w:r>
                </w:p>
              </w:tc>
              <w:tc>
                <w:tcPr>
                  <w:tcW w:w="970" w:type="dxa"/>
                  <w:tcBorders>
                    <w:tl2br w:val="nil"/>
                    <w:tr2bl w:val="nil"/>
                  </w:tcBorders>
                  <w:noWrap w:val="0"/>
                  <w:vAlign w:val="center"/>
                </w:tcPr>
                <w:p w14:paraId="1EBEDE2C">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0.0</w:t>
                  </w:r>
                  <w:r>
                    <w:rPr>
                      <w:rFonts w:hint="eastAsia" w:ascii="Times New Roman" w:hAnsi="Times New Roman" w:cs="Times New Roman"/>
                      <w:color w:val="auto"/>
                      <w:sz w:val="21"/>
                      <w:szCs w:val="24"/>
                      <w:lang w:val="en-US" w:eastAsia="zh-CN"/>
                    </w:rPr>
                    <w:t>63</w:t>
                  </w:r>
                </w:p>
              </w:tc>
            </w:tr>
            <w:tr w14:paraId="5A0AD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9" w:type="dxa"/>
                  <w:vMerge w:val="continue"/>
                  <w:tcBorders>
                    <w:tl2br w:val="nil"/>
                    <w:tr2bl w:val="nil"/>
                  </w:tcBorders>
                  <w:noWrap w:val="0"/>
                  <w:vAlign w:val="center"/>
                </w:tcPr>
                <w:p w14:paraId="26183B92">
                  <w:pPr>
                    <w:pStyle w:val="30"/>
                    <w:spacing w:beforeLines="0" w:afterLines="0"/>
                    <w:rPr>
                      <w:rFonts w:hint="eastAsia" w:ascii="Times New Roman" w:hAnsi="Times New Roman" w:cs="Times New Roman"/>
                      <w:color w:val="FF0000"/>
                      <w:sz w:val="21"/>
                      <w:szCs w:val="24"/>
                      <w:lang w:val="en-US" w:eastAsia="zh-CN"/>
                    </w:rPr>
                  </w:pPr>
                </w:p>
              </w:tc>
              <w:tc>
                <w:tcPr>
                  <w:tcW w:w="907" w:type="dxa"/>
                  <w:vMerge w:val="restart"/>
                  <w:tcBorders>
                    <w:tl2br w:val="nil"/>
                    <w:tr2bl w:val="nil"/>
                  </w:tcBorders>
                  <w:noWrap w:val="0"/>
                  <w:vAlign w:val="center"/>
                </w:tcPr>
                <w:p w14:paraId="36F11D0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调漆、喷漆、烤漆</w:t>
                  </w:r>
                </w:p>
              </w:tc>
              <w:tc>
                <w:tcPr>
                  <w:tcW w:w="1353" w:type="dxa"/>
                  <w:tcBorders>
                    <w:tl2br w:val="nil"/>
                    <w:tr2bl w:val="nil"/>
                  </w:tcBorders>
                  <w:noWrap w:val="0"/>
                  <w:vAlign w:val="center"/>
                </w:tcPr>
                <w:p w14:paraId="5AE4C7DF">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颗粒物</w:t>
                  </w:r>
                </w:p>
              </w:tc>
              <w:tc>
                <w:tcPr>
                  <w:tcW w:w="985" w:type="dxa"/>
                  <w:tcBorders>
                    <w:tl2br w:val="nil"/>
                    <w:tr2bl w:val="nil"/>
                  </w:tcBorders>
                  <w:noWrap w:val="0"/>
                  <w:vAlign w:val="center"/>
                </w:tcPr>
                <w:p w14:paraId="106B7B3C">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0.07595</w:t>
                  </w:r>
                </w:p>
              </w:tc>
              <w:tc>
                <w:tcPr>
                  <w:tcW w:w="1412" w:type="dxa"/>
                  <w:vMerge w:val="restart"/>
                  <w:tcBorders>
                    <w:tl2br w:val="nil"/>
                    <w:tr2bl w:val="nil"/>
                  </w:tcBorders>
                  <w:noWrap w:val="0"/>
                  <w:vAlign w:val="center"/>
                </w:tcPr>
                <w:p w14:paraId="469AEDD1">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封闭式厂房，加强车间通风</w:t>
                  </w:r>
                </w:p>
              </w:tc>
              <w:tc>
                <w:tcPr>
                  <w:tcW w:w="900" w:type="dxa"/>
                  <w:tcBorders>
                    <w:tl2br w:val="nil"/>
                    <w:tr2bl w:val="nil"/>
                  </w:tcBorders>
                  <w:noWrap w:val="0"/>
                  <w:vAlign w:val="center"/>
                </w:tcPr>
                <w:p w14:paraId="7AEB1D33">
                  <w:pPr>
                    <w:pStyle w:val="30"/>
                    <w:spacing w:beforeLines="0" w:afterLines="0"/>
                    <w:rPr>
                      <w:rFonts w:hint="default" w:ascii="Times New Roman" w:hAnsi="Times New Roman" w:eastAsia="宋体" w:cs="Times New Roman"/>
                      <w:color w:val="auto"/>
                      <w:sz w:val="21"/>
                      <w:szCs w:val="24"/>
                      <w:lang w:val="en-US" w:eastAsia="zh-CN"/>
                    </w:rPr>
                  </w:pPr>
                  <w:r>
                    <w:rPr>
                      <w:rFonts w:hint="default" w:ascii="Times New Roman" w:hAnsi="Times New Roman" w:eastAsia="宋体" w:cs="Times New Roman"/>
                      <w:color w:val="auto"/>
                      <w:sz w:val="21"/>
                      <w:szCs w:val="24"/>
                      <w:lang w:val="en-US" w:eastAsia="zh-CN"/>
                    </w:rPr>
                    <w:t>/</w:t>
                  </w:r>
                </w:p>
              </w:tc>
              <w:tc>
                <w:tcPr>
                  <w:tcW w:w="970" w:type="dxa"/>
                  <w:tcBorders>
                    <w:tl2br w:val="nil"/>
                    <w:tr2bl w:val="nil"/>
                  </w:tcBorders>
                  <w:noWrap w:val="0"/>
                  <w:vAlign w:val="center"/>
                </w:tcPr>
                <w:p w14:paraId="2332CCA0">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0.07595</w:t>
                  </w:r>
                </w:p>
              </w:tc>
            </w:tr>
            <w:tr w14:paraId="5CB7B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9" w:type="dxa"/>
                  <w:vMerge w:val="continue"/>
                  <w:tcBorders>
                    <w:tl2br w:val="nil"/>
                    <w:tr2bl w:val="nil"/>
                  </w:tcBorders>
                  <w:noWrap w:val="0"/>
                  <w:vAlign w:val="center"/>
                </w:tcPr>
                <w:p w14:paraId="332879F7">
                  <w:pPr>
                    <w:pStyle w:val="30"/>
                    <w:spacing w:beforeLines="0" w:afterLines="0"/>
                    <w:rPr>
                      <w:rFonts w:hint="eastAsia" w:ascii="Times New Roman" w:hAnsi="Times New Roman" w:cs="Times New Roman"/>
                      <w:color w:val="FF0000"/>
                      <w:sz w:val="21"/>
                      <w:szCs w:val="24"/>
                      <w:lang w:val="en-US" w:eastAsia="zh-CN"/>
                    </w:rPr>
                  </w:pPr>
                </w:p>
              </w:tc>
              <w:tc>
                <w:tcPr>
                  <w:tcW w:w="907" w:type="dxa"/>
                  <w:vMerge w:val="continue"/>
                  <w:tcBorders>
                    <w:tl2br w:val="nil"/>
                    <w:tr2bl w:val="nil"/>
                  </w:tcBorders>
                  <w:noWrap w:val="0"/>
                  <w:vAlign w:val="center"/>
                </w:tcPr>
                <w:p w14:paraId="5DB06138">
                  <w:pPr>
                    <w:pStyle w:val="30"/>
                    <w:spacing w:beforeLines="0" w:afterLines="0"/>
                    <w:rPr>
                      <w:rFonts w:hint="default" w:ascii="Times New Roman" w:hAnsi="Times New Roman" w:eastAsia="宋体" w:cs="Times New Roman"/>
                      <w:color w:val="auto"/>
                      <w:sz w:val="21"/>
                      <w:szCs w:val="24"/>
                      <w:lang w:val="en-US" w:eastAsia="zh-CN"/>
                    </w:rPr>
                  </w:pPr>
                </w:p>
              </w:tc>
              <w:tc>
                <w:tcPr>
                  <w:tcW w:w="1353" w:type="dxa"/>
                  <w:tcBorders>
                    <w:tl2br w:val="nil"/>
                    <w:tr2bl w:val="nil"/>
                  </w:tcBorders>
                  <w:shd w:val="clear" w:color="auto" w:fill="auto"/>
                  <w:noWrap w:val="0"/>
                  <w:vAlign w:val="center"/>
                </w:tcPr>
                <w:p w14:paraId="2FEB75C0">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非甲烷总烃</w:t>
                  </w:r>
                </w:p>
              </w:tc>
              <w:tc>
                <w:tcPr>
                  <w:tcW w:w="985" w:type="dxa"/>
                  <w:tcBorders>
                    <w:tl2br w:val="nil"/>
                    <w:tr2bl w:val="nil"/>
                  </w:tcBorders>
                  <w:noWrap w:val="0"/>
                  <w:vAlign w:val="center"/>
                </w:tcPr>
                <w:p w14:paraId="61208CB4">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0.43</w:t>
                  </w:r>
                </w:p>
              </w:tc>
              <w:tc>
                <w:tcPr>
                  <w:tcW w:w="1412" w:type="dxa"/>
                  <w:vMerge w:val="continue"/>
                  <w:tcBorders>
                    <w:tl2br w:val="nil"/>
                    <w:tr2bl w:val="nil"/>
                  </w:tcBorders>
                  <w:shd w:val="clear" w:color="auto" w:fill="auto"/>
                  <w:noWrap w:val="0"/>
                  <w:vAlign w:val="center"/>
                </w:tcPr>
                <w:p w14:paraId="32DCFF07">
                  <w:pPr>
                    <w:pStyle w:val="30"/>
                    <w:spacing w:beforeLines="0" w:afterLines="0"/>
                    <w:rPr>
                      <w:rFonts w:hint="default" w:ascii="Times New Roman" w:hAnsi="Times New Roman" w:eastAsia="宋体" w:cs="Times New Roman"/>
                      <w:color w:val="auto"/>
                      <w:sz w:val="21"/>
                      <w:szCs w:val="24"/>
                      <w:lang w:val="en-US" w:eastAsia="zh-CN"/>
                    </w:rPr>
                  </w:pPr>
                </w:p>
              </w:tc>
              <w:tc>
                <w:tcPr>
                  <w:tcW w:w="900" w:type="dxa"/>
                  <w:tcBorders>
                    <w:tl2br w:val="nil"/>
                    <w:tr2bl w:val="nil"/>
                  </w:tcBorders>
                  <w:noWrap w:val="0"/>
                  <w:vAlign w:val="center"/>
                </w:tcPr>
                <w:p w14:paraId="5A690F9A">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w:t>
                  </w:r>
                </w:p>
              </w:tc>
              <w:tc>
                <w:tcPr>
                  <w:tcW w:w="970" w:type="dxa"/>
                  <w:tcBorders>
                    <w:tl2br w:val="nil"/>
                    <w:tr2bl w:val="nil"/>
                  </w:tcBorders>
                  <w:shd w:val="clear" w:color="auto" w:fill="auto"/>
                  <w:noWrap w:val="0"/>
                  <w:vAlign w:val="center"/>
                </w:tcPr>
                <w:p w14:paraId="71510FD8">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0.43</w:t>
                  </w:r>
                </w:p>
              </w:tc>
            </w:tr>
            <w:tr w14:paraId="6132C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9" w:type="dxa"/>
                  <w:vMerge w:val="continue"/>
                  <w:tcBorders>
                    <w:tl2br w:val="nil"/>
                    <w:tr2bl w:val="nil"/>
                  </w:tcBorders>
                  <w:noWrap w:val="0"/>
                  <w:vAlign w:val="center"/>
                </w:tcPr>
                <w:p w14:paraId="26DC7AF0">
                  <w:pPr>
                    <w:pStyle w:val="30"/>
                    <w:spacing w:beforeLines="0" w:afterLines="0"/>
                    <w:rPr>
                      <w:rFonts w:hint="default" w:ascii="Times New Roman" w:hAnsi="Times New Roman" w:cs="Times New Roman"/>
                      <w:color w:val="FF0000"/>
                      <w:sz w:val="21"/>
                      <w:szCs w:val="24"/>
                    </w:rPr>
                  </w:pPr>
                </w:p>
              </w:tc>
              <w:tc>
                <w:tcPr>
                  <w:tcW w:w="907" w:type="dxa"/>
                  <w:vMerge w:val="continue"/>
                  <w:tcBorders>
                    <w:tl2br w:val="nil"/>
                    <w:tr2bl w:val="nil"/>
                  </w:tcBorders>
                  <w:noWrap w:val="0"/>
                  <w:vAlign w:val="center"/>
                </w:tcPr>
                <w:p w14:paraId="0702AF1E">
                  <w:pPr>
                    <w:pStyle w:val="30"/>
                    <w:spacing w:beforeLines="0" w:afterLines="0"/>
                    <w:rPr>
                      <w:rFonts w:hint="default" w:ascii="Times New Roman" w:hAnsi="Times New Roman" w:eastAsia="宋体" w:cs="Times New Roman"/>
                      <w:color w:val="auto"/>
                      <w:sz w:val="21"/>
                      <w:szCs w:val="24"/>
                      <w:lang w:val="en-US" w:eastAsia="zh-CN"/>
                    </w:rPr>
                  </w:pPr>
                </w:p>
              </w:tc>
              <w:tc>
                <w:tcPr>
                  <w:tcW w:w="1353" w:type="dxa"/>
                  <w:tcBorders>
                    <w:tl2br w:val="nil"/>
                    <w:tr2bl w:val="nil"/>
                  </w:tcBorders>
                  <w:noWrap w:val="0"/>
                  <w:vAlign w:val="center"/>
                </w:tcPr>
                <w:p w14:paraId="6817AA96">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二甲苯</w:t>
                  </w:r>
                </w:p>
              </w:tc>
              <w:tc>
                <w:tcPr>
                  <w:tcW w:w="985" w:type="dxa"/>
                  <w:tcBorders>
                    <w:tl2br w:val="nil"/>
                    <w:tr2bl w:val="nil"/>
                  </w:tcBorders>
                  <w:noWrap w:val="0"/>
                  <w:vAlign w:val="center"/>
                </w:tcPr>
                <w:p w14:paraId="70468726">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0.229</w:t>
                  </w:r>
                </w:p>
              </w:tc>
              <w:tc>
                <w:tcPr>
                  <w:tcW w:w="1412" w:type="dxa"/>
                  <w:vMerge w:val="continue"/>
                  <w:tcBorders>
                    <w:tl2br w:val="nil"/>
                    <w:tr2bl w:val="nil"/>
                  </w:tcBorders>
                  <w:noWrap w:val="0"/>
                  <w:vAlign w:val="center"/>
                </w:tcPr>
                <w:p w14:paraId="390E1585">
                  <w:pPr>
                    <w:pStyle w:val="30"/>
                    <w:spacing w:beforeLines="0" w:afterLines="0"/>
                    <w:rPr>
                      <w:rFonts w:hint="default" w:ascii="Times New Roman" w:hAnsi="Times New Roman" w:eastAsia="宋体" w:cs="Times New Roman"/>
                      <w:color w:val="auto"/>
                      <w:sz w:val="21"/>
                      <w:szCs w:val="24"/>
                      <w:lang w:val="en-US" w:eastAsia="zh-CN"/>
                    </w:rPr>
                  </w:pPr>
                </w:p>
              </w:tc>
              <w:tc>
                <w:tcPr>
                  <w:tcW w:w="900" w:type="dxa"/>
                  <w:tcBorders>
                    <w:tl2br w:val="nil"/>
                    <w:tr2bl w:val="nil"/>
                  </w:tcBorders>
                  <w:noWrap w:val="0"/>
                  <w:vAlign w:val="center"/>
                </w:tcPr>
                <w:p w14:paraId="55207E7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w:t>
                  </w:r>
                </w:p>
              </w:tc>
              <w:tc>
                <w:tcPr>
                  <w:tcW w:w="970" w:type="dxa"/>
                  <w:tcBorders>
                    <w:tl2br w:val="nil"/>
                    <w:tr2bl w:val="nil"/>
                  </w:tcBorders>
                  <w:shd w:val="clear" w:color="auto" w:fill="auto"/>
                  <w:noWrap w:val="0"/>
                  <w:vAlign w:val="center"/>
                </w:tcPr>
                <w:p w14:paraId="27645A7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0.229</w:t>
                  </w:r>
                </w:p>
              </w:tc>
            </w:tr>
            <w:tr w14:paraId="3A7DF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9" w:type="dxa"/>
                  <w:vMerge w:val="continue"/>
                  <w:tcBorders>
                    <w:tl2br w:val="nil"/>
                    <w:tr2bl w:val="nil"/>
                  </w:tcBorders>
                  <w:noWrap w:val="0"/>
                  <w:vAlign w:val="center"/>
                </w:tcPr>
                <w:p w14:paraId="05F00C8B">
                  <w:pPr>
                    <w:pStyle w:val="30"/>
                    <w:spacing w:beforeLines="0" w:afterLines="0"/>
                    <w:rPr>
                      <w:rFonts w:hint="default" w:ascii="Times New Roman" w:hAnsi="Times New Roman" w:cs="Times New Roman"/>
                      <w:color w:val="FF0000"/>
                      <w:sz w:val="21"/>
                      <w:szCs w:val="24"/>
                    </w:rPr>
                  </w:pPr>
                </w:p>
              </w:tc>
              <w:tc>
                <w:tcPr>
                  <w:tcW w:w="907" w:type="dxa"/>
                  <w:vMerge w:val="continue"/>
                  <w:tcBorders>
                    <w:tl2br w:val="nil"/>
                    <w:tr2bl w:val="nil"/>
                  </w:tcBorders>
                  <w:noWrap w:val="0"/>
                  <w:vAlign w:val="center"/>
                </w:tcPr>
                <w:p w14:paraId="2E52D4F9">
                  <w:pPr>
                    <w:pStyle w:val="30"/>
                    <w:spacing w:beforeLines="0" w:afterLines="0"/>
                    <w:rPr>
                      <w:rFonts w:hint="default" w:ascii="Times New Roman" w:hAnsi="Times New Roman" w:eastAsia="宋体" w:cs="Times New Roman"/>
                      <w:color w:val="auto"/>
                      <w:sz w:val="21"/>
                      <w:szCs w:val="24"/>
                      <w:lang w:val="en-US" w:eastAsia="zh-CN"/>
                    </w:rPr>
                  </w:pPr>
                </w:p>
              </w:tc>
              <w:tc>
                <w:tcPr>
                  <w:tcW w:w="1353" w:type="dxa"/>
                  <w:tcBorders>
                    <w:tl2br w:val="nil"/>
                    <w:tr2bl w:val="nil"/>
                  </w:tcBorders>
                  <w:noWrap w:val="0"/>
                  <w:vAlign w:val="center"/>
                </w:tcPr>
                <w:p w14:paraId="6CDF895A">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臭气浓度</w:t>
                  </w:r>
                </w:p>
              </w:tc>
              <w:tc>
                <w:tcPr>
                  <w:tcW w:w="985" w:type="dxa"/>
                  <w:tcBorders>
                    <w:tl2br w:val="nil"/>
                    <w:tr2bl w:val="nil"/>
                  </w:tcBorders>
                  <w:noWrap w:val="0"/>
                  <w:vAlign w:val="center"/>
                </w:tcPr>
                <w:p w14:paraId="18BDA43C">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少量</w:t>
                  </w:r>
                </w:p>
              </w:tc>
              <w:tc>
                <w:tcPr>
                  <w:tcW w:w="1412" w:type="dxa"/>
                  <w:vMerge w:val="continue"/>
                  <w:tcBorders>
                    <w:tl2br w:val="nil"/>
                    <w:tr2bl w:val="nil"/>
                  </w:tcBorders>
                  <w:noWrap w:val="0"/>
                  <w:vAlign w:val="center"/>
                </w:tcPr>
                <w:p w14:paraId="614DF19F">
                  <w:pPr>
                    <w:pStyle w:val="30"/>
                    <w:spacing w:beforeLines="0" w:afterLines="0"/>
                    <w:rPr>
                      <w:rFonts w:hint="default" w:ascii="Times New Roman" w:hAnsi="Times New Roman" w:eastAsia="宋体" w:cs="Times New Roman"/>
                      <w:color w:val="auto"/>
                      <w:sz w:val="21"/>
                      <w:szCs w:val="24"/>
                      <w:lang w:val="en-US" w:eastAsia="zh-CN"/>
                    </w:rPr>
                  </w:pPr>
                </w:p>
              </w:tc>
              <w:tc>
                <w:tcPr>
                  <w:tcW w:w="900" w:type="dxa"/>
                  <w:tcBorders>
                    <w:tl2br w:val="nil"/>
                    <w:tr2bl w:val="nil"/>
                  </w:tcBorders>
                  <w:shd w:val="clear" w:color="auto" w:fill="auto"/>
                  <w:noWrap w:val="0"/>
                  <w:vAlign w:val="center"/>
                </w:tcPr>
                <w:p w14:paraId="04EA3B16">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w:t>
                  </w:r>
                </w:p>
              </w:tc>
              <w:tc>
                <w:tcPr>
                  <w:tcW w:w="970" w:type="dxa"/>
                  <w:tcBorders>
                    <w:tl2br w:val="nil"/>
                    <w:tr2bl w:val="nil"/>
                  </w:tcBorders>
                  <w:shd w:val="clear" w:color="auto" w:fill="auto"/>
                  <w:noWrap w:val="0"/>
                  <w:vAlign w:val="center"/>
                </w:tcPr>
                <w:p w14:paraId="3632AA0E">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少量</w:t>
                  </w:r>
                </w:p>
              </w:tc>
            </w:tr>
            <w:tr w14:paraId="6B08C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26" w:type="dxa"/>
                  <w:gridSpan w:val="2"/>
                  <w:vMerge w:val="restart"/>
                  <w:tcBorders>
                    <w:tl2br w:val="nil"/>
                    <w:tr2bl w:val="nil"/>
                  </w:tcBorders>
                  <w:noWrap w:val="0"/>
                  <w:vAlign w:val="center"/>
                </w:tcPr>
                <w:p w14:paraId="68D445F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合计</w:t>
                  </w:r>
                </w:p>
              </w:tc>
              <w:tc>
                <w:tcPr>
                  <w:tcW w:w="1353" w:type="dxa"/>
                  <w:tcBorders>
                    <w:tl2br w:val="nil"/>
                    <w:tr2bl w:val="nil"/>
                  </w:tcBorders>
                  <w:noWrap w:val="0"/>
                  <w:vAlign w:val="center"/>
                </w:tcPr>
                <w:p w14:paraId="6AF2BBE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颗粒物</w:t>
                  </w:r>
                </w:p>
              </w:tc>
              <w:tc>
                <w:tcPr>
                  <w:tcW w:w="985" w:type="dxa"/>
                  <w:tcBorders>
                    <w:tl2br w:val="nil"/>
                    <w:tr2bl w:val="nil"/>
                  </w:tcBorders>
                  <w:noWrap w:val="0"/>
                  <w:vAlign w:val="center"/>
                </w:tcPr>
                <w:p w14:paraId="40ED2252">
                  <w:pPr>
                    <w:pStyle w:val="30"/>
                    <w:spacing w:beforeLines="0" w:afterLines="0"/>
                    <w:ind w:firstLine="0" w:firstLineChars="0"/>
                    <w:rPr>
                      <w:rFonts w:hint="default" w:ascii="Times New Roman" w:hAnsi="Times New Roman" w:cs="Times New Roman"/>
                      <w:color w:val="auto"/>
                      <w:sz w:val="21"/>
                      <w:szCs w:val="24"/>
                    </w:rPr>
                  </w:pPr>
                  <w:r>
                    <w:rPr>
                      <w:rFonts w:hint="eastAsia" w:ascii="Times New Roman" w:hAnsi="Times New Roman" w:cs="Times New Roman"/>
                      <w:color w:val="auto"/>
                      <w:sz w:val="21"/>
                      <w:szCs w:val="24"/>
                      <w:lang w:val="en-US" w:eastAsia="zh-CN"/>
                    </w:rPr>
                    <w:t>0.07595</w:t>
                  </w:r>
                </w:p>
              </w:tc>
              <w:tc>
                <w:tcPr>
                  <w:tcW w:w="1412" w:type="dxa"/>
                  <w:tcBorders>
                    <w:tl2br w:val="nil"/>
                    <w:tr2bl w:val="nil"/>
                  </w:tcBorders>
                  <w:noWrap w:val="0"/>
                  <w:vAlign w:val="center"/>
                </w:tcPr>
                <w:p w14:paraId="1C367E94">
                  <w:pPr>
                    <w:keepNext w:val="0"/>
                    <w:keepLines w:val="0"/>
                    <w:widowControl/>
                    <w:suppressLineNumbers w:val="0"/>
                    <w:jc w:val="center"/>
                    <w:textAlignment w:val="center"/>
                    <w:rPr>
                      <w:rFonts w:hint="eastAsia" w:ascii="Times New Roman" w:hAnsi="Times New Roman" w:eastAsia="宋体" w:cs="Times New Roman"/>
                      <w:color w:val="auto"/>
                      <w:sz w:val="21"/>
                      <w:szCs w:val="24"/>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00" w:type="dxa"/>
                  <w:tcBorders>
                    <w:tl2br w:val="nil"/>
                    <w:tr2bl w:val="nil"/>
                  </w:tcBorders>
                  <w:noWrap w:val="0"/>
                  <w:vAlign w:val="center"/>
                </w:tcPr>
                <w:p w14:paraId="62673DB9">
                  <w:pPr>
                    <w:keepNext w:val="0"/>
                    <w:keepLines w:val="0"/>
                    <w:widowControl/>
                    <w:suppressLineNumbers w:val="0"/>
                    <w:jc w:val="center"/>
                    <w:textAlignment w:val="center"/>
                    <w:rPr>
                      <w:rFonts w:hint="eastAsia" w:ascii="Times New Roman" w:hAnsi="Times New Roman" w:eastAsia="宋体" w:cs="Times New Roman"/>
                      <w:color w:val="auto"/>
                      <w:sz w:val="21"/>
                      <w:szCs w:val="24"/>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70" w:type="dxa"/>
                  <w:tcBorders>
                    <w:tl2br w:val="nil"/>
                    <w:tr2bl w:val="nil"/>
                  </w:tcBorders>
                  <w:noWrap w:val="0"/>
                  <w:vAlign w:val="center"/>
                </w:tcPr>
                <w:p w14:paraId="61C65817">
                  <w:pPr>
                    <w:pStyle w:val="30"/>
                    <w:spacing w:beforeLines="0" w:afterLines="0"/>
                    <w:ind w:firstLine="0" w:firstLineChars="0"/>
                    <w:rPr>
                      <w:rFonts w:hint="default" w:ascii="Times New Roman" w:hAnsi="Times New Roman" w:cs="Times New Roman"/>
                      <w:color w:val="auto"/>
                      <w:sz w:val="21"/>
                      <w:szCs w:val="24"/>
                    </w:rPr>
                  </w:pPr>
                  <w:r>
                    <w:rPr>
                      <w:rFonts w:hint="eastAsia" w:ascii="Times New Roman" w:hAnsi="Times New Roman" w:cs="Times New Roman"/>
                      <w:color w:val="auto"/>
                      <w:sz w:val="21"/>
                      <w:szCs w:val="24"/>
                      <w:lang w:val="en-US" w:eastAsia="zh-CN"/>
                    </w:rPr>
                    <w:t>0.07595</w:t>
                  </w:r>
                </w:p>
              </w:tc>
            </w:tr>
            <w:tr w14:paraId="67479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26" w:type="dxa"/>
                  <w:gridSpan w:val="2"/>
                  <w:vMerge w:val="continue"/>
                  <w:tcBorders>
                    <w:tl2br w:val="nil"/>
                    <w:tr2bl w:val="nil"/>
                  </w:tcBorders>
                  <w:noWrap w:val="0"/>
                  <w:vAlign w:val="center"/>
                </w:tcPr>
                <w:p w14:paraId="1E8318E9">
                  <w:pPr>
                    <w:pStyle w:val="30"/>
                    <w:spacing w:beforeLines="0" w:afterLines="0"/>
                    <w:rPr>
                      <w:rFonts w:hint="default" w:ascii="Times New Roman" w:hAnsi="Times New Roman" w:cs="Times New Roman"/>
                      <w:color w:val="auto"/>
                      <w:sz w:val="21"/>
                      <w:szCs w:val="24"/>
                    </w:rPr>
                  </w:pPr>
                </w:p>
              </w:tc>
              <w:tc>
                <w:tcPr>
                  <w:tcW w:w="1353" w:type="dxa"/>
                  <w:tcBorders>
                    <w:tl2br w:val="nil"/>
                    <w:tr2bl w:val="nil"/>
                  </w:tcBorders>
                  <w:noWrap w:val="0"/>
                  <w:vAlign w:val="center"/>
                </w:tcPr>
                <w:p w14:paraId="2359F82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非甲烷总烃</w:t>
                  </w:r>
                </w:p>
              </w:tc>
              <w:tc>
                <w:tcPr>
                  <w:tcW w:w="985" w:type="dxa"/>
                  <w:tcBorders>
                    <w:tl2br w:val="nil"/>
                    <w:tr2bl w:val="nil"/>
                  </w:tcBorders>
                  <w:noWrap w:val="0"/>
                  <w:vAlign w:val="center"/>
                </w:tcPr>
                <w:p w14:paraId="7A092A2D">
                  <w:pPr>
                    <w:pStyle w:val="30"/>
                    <w:spacing w:beforeLines="0" w:afterLines="0"/>
                    <w:ind w:firstLine="0" w:firstLineChars="0"/>
                    <w:rPr>
                      <w:rFonts w:hint="default" w:ascii="Times New Roman" w:hAnsi="Times New Roman" w:cs="Times New Roman"/>
                      <w:color w:val="auto"/>
                      <w:sz w:val="21"/>
                      <w:szCs w:val="24"/>
                    </w:rPr>
                  </w:pPr>
                  <w:r>
                    <w:rPr>
                      <w:rFonts w:hint="eastAsia" w:ascii="Times New Roman" w:hAnsi="Times New Roman" w:eastAsia="宋体" w:cs="Times New Roman"/>
                      <w:color w:val="auto"/>
                      <w:sz w:val="21"/>
                      <w:szCs w:val="24"/>
                      <w:lang w:val="en-US" w:eastAsia="zh-CN"/>
                    </w:rPr>
                    <w:t>0.43</w:t>
                  </w:r>
                </w:p>
              </w:tc>
              <w:tc>
                <w:tcPr>
                  <w:tcW w:w="1412" w:type="dxa"/>
                  <w:tcBorders>
                    <w:tl2br w:val="nil"/>
                    <w:tr2bl w:val="nil"/>
                  </w:tcBorders>
                  <w:noWrap w:val="0"/>
                  <w:vAlign w:val="center"/>
                </w:tcPr>
                <w:p w14:paraId="35423094">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900" w:type="dxa"/>
                  <w:tcBorders>
                    <w:tl2br w:val="nil"/>
                    <w:tr2bl w:val="nil"/>
                  </w:tcBorders>
                  <w:noWrap w:val="0"/>
                  <w:vAlign w:val="center"/>
                </w:tcPr>
                <w:p w14:paraId="4A6A6D10">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970" w:type="dxa"/>
                  <w:tcBorders>
                    <w:tl2br w:val="nil"/>
                    <w:tr2bl w:val="nil"/>
                  </w:tcBorders>
                  <w:noWrap w:val="0"/>
                  <w:vAlign w:val="center"/>
                </w:tcPr>
                <w:p w14:paraId="75742D1A">
                  <w:pPr>
                    <w:pStyle w:val="30"/>
                    <w:spacing w:beforeLines="0" w:afterLines="0"/>
                    <w:ind w:firstLine="0" w:firstLineChars="0"/>
                    <w:rPr>
                      <w:rFonts w:hint="default" w:ascii="Times New Roman" w:hAnsi="Times New Roman" w:cs="Times New Roman"/>
                      <w:color w:val="auto"/>
                      <w:sz w:val="21"/>
                      <w:szCs w:val="24"/>
                    </w:rPr>
                  </w:pPr>
                  <w:r>
                    <w:rPr>
                      <w:rFonts w:hint="eastAsia" w:ascii="Times New Roman" w:hAnsi="Times New Roman" w:eastAsia="宋体" w:cs="Times New Roman"/>
                      <w:color w:val="auto"/>
                      <w:sz w:val="21"/>
                      <w:szCs w:val="24"/>
                      <w:lang w:val="en-US" w:eastAsia="zh-CN"/>
                    </w:rPr>
                    <w:t>0.43</w:t>
                  </w:r>
                </w:p>
              </w:tc>
            </w:tr>
            <w:tr w14:paraId="6F4F2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26" w:type="dxa"/>
                  <w:gridSpan w:val="2"/>
                  <w:vMerge w:val="continue"/>
                  <w:tcBorders>
                    <w:tl2br w:val="nil"/>
                    <w:tr2bl w:val="nil"/>
                  </w:tcBorders>
                  <w:noWrap w:val="0"/>
                  <w:vAlign w:val="center"/>
                </w:tcPr>
                <w:p w14:paraId="462F405C">
                  <w:pPr>
                    <w:pStyle w:val="30"/>
                    <w:spacing w:beforeLines="0" w:afterLines="0"/>
                    <w:rPr>
                      <w:rFonts w:hint="default" w:ascii="Times New Roman" w:hAnsi="Times New Roman" w:cs="Times New Roman"/>
                      <w:color w:val="auto"/>
                      <w:sz w:val="21"/>
                      <w:szCs w:val="24"/>
                    </w:rPr>
                  </w:pPr>
                </w:p>
              </w:tc>
              <w:tc>
                <w:tcPr>
                  <w:tcW w:w="1353" w:type="dxa"/>
                  <w:tcBorders>
                    <w:tl2br w:val="nil"/>
                    <w:tr2bl w:val="nil"/>
                  </w:tcBorders>
                  <w:shd w:val="clear" w:color="auto" w:fill="auto"/>
                  <w:noWrap w:val="0"/>
                  <w:vAlign w:val="center"/>
                </w:tcPr>
                <w:p w14:paraId="41732DFF">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二甲苯</w:t>
                  </w:r>
                </w:p>
              </w:tc>
              <w:tc>
                <w:tcPr>
                  <w:tcW w:w="985" w:type="dxa"/>
                  <w:tcBorders>
                    <w:tl2br w:val="nil"/>
                    <w:tr2bl w:val="nil"/>
                  </w:tcBorders>
                  <w:shd w:val="clear" w:color="auto" w:fill="auto"/>
                  <w:noWrap w:val="0"/>
                  <w:vAlign w:val="center"/>
                </w:tcPr>
                <w:p w14:paraId="6199A533">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0.095</w:t>
                  </w:r>
                </w:p>
              </w:tc>
              <w:tc>
                <w:tcPr>
                  <w:tcW w:w="1412" w:type="dxa"/>
                  <w:tcBorders>
                    <w:tl2br w:val="nil"/>
                    <w:tr2bl w:val="nil"/>
                  </w:tcBorders>
                  <w:noWrap w:val="0"/>
                  <w:vAlign w:val="center"/>
                </w:tcPr>
                <w:p w14:paraId="2DC73F65">
                  <w:pPr>
                    <w:pStyle w:val="30"/>
                    <w:spacing w:beforeLines="0" w:afterLines="0"/>
                    <w:ind w:firstLine="0" w:firstLineChars="0"/>
                    <w:rPr>
                      <w:rFonts w:hint="eastAsia"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900" w:type="dxa"/>
                  <w:tcBorders>
                    <w:tl2br w:val="nil"/>
                    <w:tr2bl w:val="nil"/>
                  </w:tcBorders>
                  <w:noWrap w:val="0"/>
                  <w:vAlign w:val="center"/>
                </w:tcPr>
                <w:p w14:paraId="46A53C81">
                  <w:pPr>
                    <w:pStyle w:val="30"/>
                    <w:spacing w:beforeLines="0" w:afterLines="0"/>
                    <w:ind w:firstLine="0" w:firstLineChars="0"/>
                    <w:rPr>
                      <w:rFonts w:hint="eastAsia"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970" w:type="dxa"/>
                  <w:tcBorders>
                    <w:tl2br w:val="nil"/>
                    <w:tr2bl w:val="nil"/>
                  </w:tcBorders>
                  <w:shd w:val="clear" w:color="auto" w:fill="auto"/>
                  <w:noWrap w:val="0"/>
                  <w:vAlign w:val="center"/>
                </w:tcPr>
                <w:p w14:paraId="700115FB">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0.095</w:t>
                  </w:r>
                </w:p>
              </w:tc>
            </w:tr>
          </w:tbl>
          <w:p w14:paraId="5D4F8B07">
            <w:pPr>
              <w:pStyle w:val="29"/>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根据计算，本项目废气采取本环评提出的措施后，有机废气能够满足</w:t>
            </w:r>
            <w:r>
              <w:rPr>
                <w:rFonts w:hint="default" w:ascii="Times New Roman" w:hAnsi="Times New Roman" w:cs="Times New Roman"/>
                <w:color w:val="auto"/>
                <w:highlight w:val="none"/>
                <w:u w:val="single"/>
                <w:lang w:val="en-US" w:eastAsia="zh-CN"/>
              </w:rPr>
              <w:t>《表面涂装</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汽车制造及维修</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挥发性有机物、镍排放标准》</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DB43/1356-2017</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中表1</w:t>
            </w:r>
            <w:r>
              <w:rPr>
                <w:rFonts w:hint="eastAsia" w:ascii="Times New Roman" w:hAnsi="Times New Roman" w:cs="Times New Roman"/>
                <w:color w:val="auto"/>
                <w:highlight w:val="none"/>
                <w:u w:val="single"/>
                <w:lang w:val="en-US" w:eastAsia="zh-CN"/>
              </w:rPr>
              <w:t>要求限值，喷漆房漆雾</w:t>
            </w:r>
            <w:r>
              <w:rPr>
                <w:rFonts w:hint="default" w:ascii="Times New Roman" w:hAnsi="Times New Roman" w:cs="Times New Roman"/>
                <w:color w:val="auto"/>
                <w:highlight w:val="none"/>
                <w:u w:val="single"/>
                <w:lang w:val="en-US" w:eastAsia="zh-CN"/>
              </w:rPr>
              <w:t>颗粒物</w:t>
            </w:r>
            <w:r>
              <w:rPr>
                <w:rFonts w:hint="eastAsia" w:ascii="Times New Roman" w:hAnsi="Times New Roman" w:eastAsia="宋体" w:cs="Times New Roman"/>
                <w:color w:val="auto"/>
                <w:lang w:val="en-US" w:eastAsia="zh-CN"/>
              </w:rPr>
              <w:t>满足</w:t>
            </w:r>
            <w:r>
              <w:rPr>
                <w:rFonts w:hint="default" w:ascii="Times New Roman" w:hAnsi="Times New Roman" w:cs="Times New Roman"/>
                <w:color w:val="auto"/>
                <w:highlight w:val="none"/>
                <w:u w:val="single"/>
                <w:lang w:val="en-US" w:eastAsia="zh-CN"/>
              </w:rPr>
              <w:t>《大气污染物综合排放标准》(GB16297-1996)表2</w:t>
            </w:r>
            <w:r>
              <w:rPr>
                <w:rFonts w:hint="eastAsia" w:ascii="Times New Roman" w:hAnsi="Times New Roman" w:cs="Times New Roman"/>
                <w:color w:val="auto"/>
                <w:highlight w:val="none"/>
                <w:u w:val="single"/>
                <w:lang w:val="en-US" w:eastAsia="zh-CN"/>
              </w:rPr>
              <w:t>要求限值。</w:t>
            </w:r>
          </w:p>
          <w:p w14:paraId="21B6064B">
            <w:pPr>
              <w:pStyle w:val="29"/>
              <w:bidi w:val="0"/>
              <w:rPr>
                <w:rFonts w:hint="default" w:ascii="Times New Roman" w:hAnsi="Times New Roman" w:cs="Times New Roman"/>
                <w:b/>
                <w:bCs/>
                <w:color w:val="auto"/>
              </w:rPr>
            </w:pPr>
          </w:p>
          <w:p w14:paraId="7A5577FB">
            <w:pPr>
              <w:pStyle w:val="29"/>
              <w:bidi w:val="0"/>
              <w:rPr>
                <w:rFonts w:hint="default" w:ascii="Times New Roman" w:hAnsi="Times New Roman" w:cs="Times New Roman"/>
                <w:color w:val="auto"/>
              </w:rPr>
            </w:pPr>
            <w:r>
              <w:rPr>
                <w:rFonts w:hint="default" w:ascii="Times New Roman" w:hAnsi="Times New Roman" w:cs="Times New Roman"/>
                <w:b/>
                <w:bCs/>
                <w:color w:val="auto"/>
              </w:rPr>
              <w:t>1.3 排放口基本情况</w:t>
            </w:r>
          </w:p>
          <w:p w14:paraId="2EB2077D">
            <w:pPr>
              <w:pStyle w:val="29"/>
              <w:bidi w:val="0"/>
              <w:rPr>
                <w:rFonts w:hint="default" w:ascii="Times New Roman" w:hAnsi="Times New Roman" w:cs="Times New Roman"/>
                <w:color w:val="auto"/>
              </w:rPr>
            </w:pPr>
            <w:r>
              <w:rPr>
                <w:rFonts w:hint="default" w:ascii="Times New Roman" w:hAnsi="Times New Roman" w:cs="Times New Roman"/>
                <w:color w:val="auto"/>
              </w:rPr>
              <w:t>本项目</w:t>
            </w:r>
            <w:r>
              <w:rPr>
                <w:rFonts w:hint="eastAsia" w:ascii="Times New Roman" w:hAnsi="Times New Roman" w:cs="Times New Roman"/>
                <w:color w:val="auto"/>
                <w:lang w:val="en-US" w:eastAsia="zh-CN"/>
              </w:rPr>
              <w:t>废气</w:t>
            </w:r>
            <w:r>
              <w:rPr>
                <w:rFonts w:hint="default" w:ascii="Times New Roman" w:hAnsi="Times New Roman" w:cs="Times New Roman"/>
                <w:color w:val="auto"/>
              </w:rPr>
              <w:t>排放口基本情况见表4-</w:t>
            </w:r>
            <w:r>
              <w:rPr>
                <w:rFonts w:hint="eastAsia" w:ascii="Times New Roman" w:hAnsi="Times New Roman" w:cs="Times New Roman"/>
                <w:color w:val="auto"/>
                <w:lang w:val="en-US" w:eastAsia="zh-CN"/>
              </w:rPr>
              <w:t>3</w:t>
            </w:r>
            <w:r>
              <w:rPr>
                <w:rFonts w:hint="default" w:ascii="Times New Roman" w:hAnsi="Times New Roman" w:cs="Times New Roman"/>
                <w:color w:val="auto"/>
              </w:rPr>
              <w:t>。</w:t>
            </w:r>
          </w:p>
          <w:p w14:paraId="26054940">
            <w:pPr>
              <w:pStyle w:val="31"/>
              <w:bidi w:val="0"/>
              <w:rPr>
                <w:rFonts w:hint="default" w:ascii="Times New Roman" w:hAnsi="Times New Roman" w:cs="Times New Roman"/>
                <w:color w:val="auto"/>
              </w:rPr>
            </w:pPr>
            <w:r>
              <w:rPr>
                <w:rFonts w:hint="default" w:ascii="Times New Roman" w:hAnsi="Times New Roman" w:cs="Times New Roman"/>
                <w:color w:val="auto"/>
              </w:rPr>
              <w:t>表4-</w:t>
            </w:r>
            <w:r>
              <w:rPr>
                <w:rFonts w:hint="eastAsia" w:ascii="Times New Roman" w:hAnsi="Times New Roman" w:cs="Times New Roman"/>
                <w:color w:val="auto"/>
                <w:lang w:val="en-US" w:eastAsia="zh-CN"/>
              </w:rPr>
              <w:t>3</w:t>
            </w:r>
            <w:r>
              <w:rPr>
                <w:rFonts w:hint="default" w:ascii="Times New Roman" w:hAnsi="Times New Roman" w:cs="Times New Roman"/>
                <w:color w:val="auto"/>
              </w:rPr>
              <w:t xml:space="preserve">  废气排放口基本情况</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2"/>
              <w:gridCol w:w="1264"/>
              <w:gridCol w:w="1792"/>
              <w:gridCol w:w="898"/>
              <w:gridCol w:w="1148"/>
              <w:gridCol w:w="1210"/>
              <w:gridCol w:w="1049"/>
            </w:tblGrid>
            <w:tr w14:paraId="053FF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6" w:type="pct"/>
                  <w:tcBorders>
                    <w:top w:val="single" w:color="auto" w:sz="12" w:space="0"/>
                    <w:left w:val="nil"/>
                    <w:bottom w:val="single" w:color="auto" w:sz="4" w:space="0"/>
                    <w:right w:val="single" w:color="auto" w:sz="4" w:space="0"/>
                    <w:tl2br w:val="nil"/>
                    <w:tr2bl w:val="nil"/>
                  </w:tcBorders>
                  <w:noWrap w:val="0"/>
                  <w:vAlign w:val="center"/>
                </w:tcPr>
                <w:p w14:paraId="6D446F2E">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序号</w:t>
                  </w:r>
                </w:p>
              </w:tc>
              <w:tc>
                <w:tcPr>
                  <w:tcW w:w="795"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2318519E">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排气筒名称及编号</w:t>
                  </w:r>
                </w:p>
              </w:tc>
              <w:tc>
                <w:tcPr>
                  <w:tcW w:w="1127"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030DC13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地理坐标</w:t>
                  </w:r>
                </w:p>
              </w:tc>
              <w:tc>
                <w:tcPr>
                  <w:tcW w:w="565"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762A7459">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高度（m）</w:t>
                  </w:r>
                </w:p>
              </w:tc>
              <w:tc>
                <w:tcPr>
                  <w:tcW w:w="722"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107A544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内径（m）</w:t>
                  </w:r>
                </w:p>
              </w:tc>
              <w:tc>
                <w:tcPr>
                  <w:tcW w:w="761"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6D7573D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温度（℃）</w:t>
                  </w:r>
                </w:p>
              </w:tc>
              <w:tc>
                <w:tcPr>
                  <w:tcW w:w="660" w:type="pct"/>
                  <w:tcBorders>
                    <w:top w:val="single" w:color="auto" w:sz="12" w:space="0"/>
                    <w:left w:val="single" w:color="auto" w:sz="4" w:space="0"/>
                    <w:bottom w:val="single" w:color="auto" w:sz="4" w:space="0"/>
                    <w:right w:val="nil"/>
                    <w:tl2br w:val="nil"/>
                    <w:tr2bl w:val="nil"/>
                  </w:tcBorders>
                  <w:noWrap w:val="0"/>
                  <w:vAlign w:val="center"/>
                </w:tcPr>
                <w:p w14:paraId="3451ED5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排放口类型</w:t>
                  </w:r>
                </w:p>
              </w:tc>
            </w:tr>
            <w:tr w14:paraId="57993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6" w:type="pct"/>
                  <w:tcBorders>
                    <w:top w:val="single" w:color="auto" w:sz="4" w:space="0"/>
                    <w:left w:val="nil"/>
                    <w:bottom w:val="single" w:color="auto" w:sz="4" w:space="0"/>
                    <w:right w:val="single" w:color="auto" w:sz="4" w:space="0"/>
                    <w:tl2br w:val="nil"/>
                    <w:tr2bl w:val="nil"/>
                  </w:tcBorders>
                  <w:noWrap w:val="0"/>
                  <w:vAlign w:val="center"/>
                </w:tcPr>
                <w:p w14:paraId="2DF6C93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w:t>
                  </w:r>
                </w:p>
              </w:tc>
              <w:tc>
                <w:tcPr>
                  <w:tcW w:w="7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C114E7A">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涂装排气筒DA001</w:t>
                  </w:r>
                </w:p>
              </w:tc>
              <w:tc>
                <w:tcPr>
                  <w:tcW w:w="112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00EB9C">
                  <w:pPr>
                    <w:pStyle w:val="30"/>
                    <w:spacing w:beforeLines="0" w:afterLines="0"/>
                    <w:rPr>
                      <w:rFonts w:hint="default" w:ascii="Times New Roman" w:hAnsi="Times New Roman" w:cs="Times New Roman"/>
                      <w:color w:val="auto"/>
                      <w:sz w:val="21"/>
                      <w:szCs w:val="24"/>
                      <w:lang w:val="en-US" w:eastAsia="zh-CN"/>
                    </w:rPr>
                  </w:pPr>
                  <w:r>
                    <w:rPr>
                      <w:rFonts w:hint="default" w:ascii="Times New Roman" w:hAnsi="Times New Roman" w:cs="Times New Roman"/>
                      <w:color w:val="auto"/>
                      <w:sz w:val="21"/>
                      <w:szCs w:val="24"/>
                    </w:rPr>
                    <w:t>112°35′36.19602″,26°49′37.40071″</w:t>
                  </w:r>
                </w:p>
              </w:tc>
              <w:tc>
                <w:tcPr>
                  <w:tcW w:w="5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59DAC35">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15</w:t>
                  </w:r>
                </w:p>
              </w:tc>
              <w:tc>
                <w:tcPr>
                  <w:tcW w:w="72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27E7D3E">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0.8</w:t>
                  </w:r>
                </w:p>
              </w:tc>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1A39C0">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50</w:t>
                  </w:r>
                </w:p>
              </w:tc>
              <w:tc>
                <w:tcPr>
                  <w:tcW w:w="660" w:type="pct"/>
                  <w:tcBorders>
                    <w:top w:val="single" w:color="auto" w:sz="4" w:space="0"/>
                    <w:left w:val="single" w:color="auto" w:sz="4" w:space="0"/>
                    <w:bottom w:val="single" w:color="auto" w:sz="4" w:space="0"/>
                    <w:right w:val="nil"/>
                    <w:tl2br w:val="nil"/>
                    <w:tr2bl w:val="nil"/>
                  </w:tcBorders>
                  <w:noWrap w:val="0"/>
                  <w:vAlign w:val="center"/>
                </w:tcPr>
                <w:p w14:paraId="74B349F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一般排放口</w:t>
                  </w:r>
                </w:p>
              </w:tc>
            </w:tr>
          </w:tbl>
          <w:p w14:paraId="52F59CA7">
            <w:pPr>
              <w:pStyle w:val="54"/>
              <w:bidi w:val="0"/>
              <w:rPr>
                <w:rFonts w:hint="eastAsia"/>
                <w:color w:val="auto"/>
                <w:sz w:val="24"/>
                <w:szCs w:val="24"/>
                <w:lang w:val="en-US" w:eastAsia="zh-CN"/>
              </w:rPr>
            </w:pPr>
            <w:r>
              <w:rPr>
                <w:rFonts w:hint="default"/>
                <w:color w:val="auto"/>
                <w:sz w:val="24"/>
                <w:szCs w:val="24"/>
                <w:lang w:val="en-US" w:eastAsia="zh-CN"/>
              </w:rPr>
              <w:t>根据《大气污染治理工程技术导则》(HJ2000-2010)5.3.</w:t>
            </w:r>
            <w:r>
              <w:rPr>
                <w:rFonts w:hint="eastAsia"/>
                <w:color w:val="auto"/>
                <w:sz w:val="24"/>
                <w:szCs w:val="24"/>
                <w:lang w:val="en-US" w:eastAsia="zh-CN"/>
              </w:rPr>
              <w:t>5，“</w:t>
            </w:r>
            <w:r>
              <w:rPr>
                <w:rFonts w:hint="default"/>
                <w:color w:val="auto"/>
                <w:sz w:val="24"/>
                <w:szCs w:val="24"/>
                <w:lang w:val="en-US" w:eastAsia="zh-CN"/>
              </w:rPr>
              <w:t>排气简的出口直径应根据出口流速确定，流速宜取15 m/s 左右。当采用钢管</w:t>
            </w:r>
            <w:r>
              <w:rPr>
                <w:rFonts w:hint="eastAsia"/>
                <w:color w:val="auto"/>
                <w:sz w:val="24"/>
                <w:szCs w:val="24"/>
                <w:lang w:val="en-US" w:eastAsia="zh-CN"/>
              </w:rPr>
              <w:t>烟囱</w:t>
            </w:r>
            <w:r>
              <w:rPr>
                <w:rFonts w:hint="default"/>
                <w:color w:val="auto"/>
                <w:sz w:val="24"/>
                <w:szCs w:val="24"/>
                <w:lang w:val="en-US" w:eastAsia="zh-CN"/>
              </w:rPr>
              <w:t>且高度较高时或烟气量较大时，可适当提高出口流速至20~25m/s</w:t>
            </w:r>
            <w:r>
              <w:rPr>
                <w:rFonts w:hint="eastAsia"/>
                <w:color w:val="auto"/>
                <w:sz w:val="24"/>
                <w:szCs w:val="24"/>
                <w:lang w:val="en-US" w:eastAsia="zh-CN"/>
              </w:rPr>
              <w:t>”</w:t>
            </w:r>
            <w:r>
              <w:rPr>
                <w:rFonts w:hint="default"/>
                <w:color w:val="auto"/>
                <w:sz w:val="24"/>
                <w:szCs w:val="24"/>
                <w:lang w:val="en-US" w:eastAsia="zh-CN"/>
              </w:rPr>
              <w:t>。经计算可知，本项目</w:t>
            </w:r>
            <w:r>
              <w:rPr>
                <w:rFonts w:hint="eastAsia"/>
                <w:color w:val="auto"/>
                <w:sz w:val="24"/>
                <w:szCs w:val="24"/>
                <w:lang w:val="en-US" w:eastAsia="zh-CN"/>
              </w:rPr>
              <w:t>DA001</w:t>
            </w:r>
            <w:r>
              <w:rPr>
                <w:rFonts w:hint="default"/>
                <w:color w:val="auto"/>
                <w:sz w:val="24"/>
                <w:szCs w:val="24"/>
                <w:lang w:val="en-US" w:eastAsia="zh-CN"/>
              </w:rPr>
              <w:t>排气筒出口流速=</w:t>
            </w:r>
            <w:r>
              <w:rPr>
                <w:rFonts w:hint="eastAsia"/>
                <w:color w:val="auto"/>
                <w:sz w:val="24"/>
                <w:szCs w:val="24"/>
                <w:lang w:val="en-US" w:eastAsia="zh-CN"/>
              </w:rPr>
              <w:t>30000</w:t>
            </w:r>
            <w:r>
              <w:rPr>
                <w:rFonts w:hint="default"/>
                <w:color w:val="auto"/>
                <w:sz w:val="24"/>
                <w:szCs w:val="24"/>
                <w:lang w:val="en-US" w:eastAsia="zh-CN"/>
              </w:rPr>
              <w:t>m</w:t>
            </w:r>
            <w:r>
              <w:rPr>
                <w:rFonts w:hint="default"/>
                <w:color w:val="auto"/>
                <w:sz w:val="24"/>
                <w:szCs w:val="24"/>
                <w:vertAlign w:val="superscript"/>
                <w:lang w:val="en-US" w:eastAsia="zh-CN"/>
              </w:rPr>
              <w:t>3</w:t>
            </w:r>
            <w:r>
              <w:rPr>
                <w:rFonts w:hint="default"/>
                <w:color w:val="auto"/>
                <w:sz w:val="24"/>
                <w:szCs w:val="24"/>
                <w:lang w:val="en-US" w:eastAsia="zh-CN"/>
              </w:rPr>
              <w:t>/h</w:t>
            </w:r>
            <w:r>
              <w:rPr>
                <w:rFonts w:hint="eastAsia"/>
                <w:color w:val="auto"/>
                <w:sz w:val="24"/>
                <w:szCs w:val="24"/>
                <w:lang w:val="en-US" w:eastAsia="zh-CN"/>
              </w:rPr>
              <w:t>÷</w:t>
            </w:r>
            <w:r>
              <w:rPr>
                <w:rFonts w:hint="default"/>
                <w:color w:val="auto"/>
                <w:sz w:val="24"/>
                <w:szCs w:val="24"/>
                <w:lang w:val="en-US" w:eastAsia="zh-CN"/>
              </w:rPr>
              <w:t>3600s</w:t>
            </w:r>
            <w:r>
              <w:rPr>
                <w:rFonts w:hint="eastAsia"/>
                <w:color w:val="auto"/>
                <w:sz w:val="24"/>
                <w:szCs w:val="24"/>
                <w:lang w:val="en-US" w:eastAsia="zh-CN"/>
              </w:rPr>
              <w:t>÷（πr</w:t>
            </w:r>
            <w:r>
              <w:rPr>
                <w:rFonts w:hint="eastAsia"/>
                <w:color w:val="auto"/>
                <w:sz w:val="24"/>
                <w:szCs w:val="24"/>
                <w:vertAlign w:val="superscript"/>
                <w:lang w:val="en-US" w:eastAsia="zh-CN"/>
              </w:rPr>
              <w:t>2</w:t>
            </w:r>
            <w:r>
              <w:rPr>
                <w:rFonts w:hint="eastAsia"/>
                <w:color w:val="auto"/>
                <w:sz w:val="24"/>
                <w:szCs w:val="24"/>
                <w:lang w:val="en-US" w:eastAsia="zh-CN"/>
              </w:rPr>
              <w:t>）</w:t>
            </w:r>
            <w:r>
              <w:rPr>
                <w:rFonts w:hint="default"/>
                <w:color w:val="auto"/>
                <w:sz w:val="24"/>
                <w:szCs w:val="24"/>
                <w:lang w:val="en-US" w:eastAsia="zh-CN"/>
              </w:rPr>
              <w:t>=</w:t>
            </w:r>
            <w:r>
              <w:rPr>
                <w:rFonts w:hint="eastAsia"/>
                <w:color w:val="auto"/>
                <w:sz w:val="24"/>
                <w:szCs w:val="24"/>
                <w:lang w:val="en-US" w:eastAsia="zh-CN"/>
              </w:rPr>
              <w:t>16.89</w:t>
            </w:r>
            <w:r>
              <w:rPr>
                <w:rFonts w:hint="default"/>
                <w:color w:val="auto"/>
                <w:sz w:val="24"/>
                <w:szCs w:val="24"/>
                <w:lang w:val="en-US" w:eastAsia="zh-CN"/>
              </w:rPr>
              <w:t>m/s，</w:t>
            </w:r>
            <w:r>
              <w:rPr>
                <w:rFonts w:hint="eastAsia"/>
                <w:color w:val="auto"/>
                <w:sz w:val="24"/>
                <w:szCs w:val="24"/>
                <w:lang w:val="en-US" w:eastAsia="zh-CN"/>
              </w:rPr>
              <w:t>较为</w:t>
            </w:r>
            <w:r>
              <w:rPr>
                <w:rFonts w:hint="default"/>
                <w:color w:val="auto"/>
                <w:sz w:val="24"/>
                <w:szCs w:val="24"/>
                <w:lang w:val="en-US" w:eastAsia="zh-CN"/>
              </w:rPr>
              <w:t>合理，即排气筒内径属于合理范围</w:t>
            </w:r>
            <w:r>
              <w:rPr>
                <w:rFonts w:hint="eastAsia"/>
                <w:color w:val="auto"/>
                <w:sz w:val="24"/>
                <w:szCs w:val="24"/>
                <w:lang w:val="en-US" w:eastAsia="zh-CN"/>
              </w:rPr>
              <w:t>。</w:t>
            </w:r>
          </w:p>
          <w:p w14:paraId="4CE89296">
            <w:pPr>
              <w:pStyle w:val="29"/>
              <w:bidi w:val="0"/>
              <w:rPr>
                <w:rFonts w:hint="default" w:ascii="Times New Roman" w:hAnsi="Times New Roman" w:cs="Times New Roman"/>
                <w:color w:val="auto"/>
              </w:rPr>
            </w:pPr>
            <w:r>
              <w:rPr>
                <w:rFonts w:hint="default" w:ascii="Times New Roman" w:hAnsi="Times New Roman" w:cs="Times New Roman"/>
                <w:b/>
                <w:bCs/>
                <w:color w:val="auto"/>
              </w:rPr>
              <w:t>1.4 环保措施可行性分析</w:t>
            </w:r>
          </w:p>
          <w:p w14:paraId="7D2765EE">
            <w:pPr>
              <w:adjustRightInd w:val="0"/>
              <w:snapToGrid w:val="0"/>
              <w:spacing w:line="360" w:lineRule="auto"/>
              <w:ind w:firstLine="477" w:firstLineChars="198"/>
              <w:rPr>
                <w:rFonts w:hint="eastAsia"/>
                <w:b/>
                <w:bCs/>
                <w:color w:val="auto"/>
                <w:sz w:val="24"/>
              </w:rPr>
            </w:pPr>
            <w:r>
              <w:rPr>
                <w:rFonts w:hint="eastAsia"/>
                <w:b/>
                <w:bCs/>
                <w:color w:val="auto"/>
                <w:sz w:val="24"/>
              </w:rPr>
              <w:t>（1）颗粒物处理可行性：</w:t>
            </w:r>
          </w:p>
          <w:p w14:paraId="4407477C">
            <w:pPr>
              <w:adjustRightInd w:val="0"/>
              <w:snapToGrid w:val="0"/>
              <w:spacing w:line="360" w:lineRule="auto"/>
              <w:ind w:firstLine="477" w:firstLineChars="198"/>
              <w:rPr>
                <w:rFonts w:hint="default"/>
                <w:b/>
                <w:bCs/>
                <w:color w:val="auto"/>
                <w:sz w:val="24"/>
                <w:lang w:val="en-US"/>
              </w:rPr>
            </w:pPr>
            <w:r>
              <w:rPr>
                <w:rFonts w:hint="eastAsia"/>
                <w:b/>
                <w:bCs/>
                <w:color w:val="auto"/>
                <w:sz w:val="24"/>
              </w:rPr>
              <w:t>①</w:t>
            </w:r>
            <w:r>
              <w:rPr>
                <w:rFonts w:hint="eastAsia"/>
                <w:b/>
                <w:bCs/>
                <w:color w:val="auto"/>
                <w:sz w:val="24"/>
                <w:lang w:val="en-US" w:eastAsia="zh-CN"/>
              </w:rPr>
              <w:t>漆雾处理</w:t>
            </w:r>
          </w:p>
          <w:p w14:paraId="299B75F1">
            <w:pPr>
              <w:adjustRightInd w:val="0"/>
              <w:snapToGrid w:val="0"/>
              <w:spacing w:line="360" w:lineRule="auto"/>
              <w:ind w:firstLine="475" w:firstLineChars="198"/>
              <w:rPr>
                <w:rFonts w:hint="default" w:eastAsia="宋体"/>
                <w:color w:val="auto"/>
                <w:sz w:val="24"/>
                <w:lang w:val="en-US" w:eastAsia="zh-CN"/>
              </w:rPr>
            </w:pPr>
            <w:r>
              <w:rPr>
                <w:rFonts w:hint="eastAsia"/>
                <w:color w:val="auto"/>
                <w:sz w:val="24"/>
                <w:lang w:val="en-US" w:eastAsia="zh-CN"/>
              </w:rPr>
              <w:t>本项目漆雾废气通过“水帘柜+干式过滤装置”处理。</w:t>
            </w:r>
          </w:p>
          <w:p w14:paraId="4C209262">
            <w:pPr>
              <w:adjustRightInd w:val="0"/>
              <w:snapToGrid w:val="0"/>
              <w:spacing w:line="360" w:lineRule="auto"/>
              <w:ind w:firstLine="475" w:firstLineChars="198"/>
              <w:rPr>
                <w:rFonts w:hint="eastAsia"/>
                <w:color w:val="auto"/>
                <w:sz w:val="24"/>
              </w:rPr>
            </w:pPr>
            <w:r>
              <w:rPr>
                <w:rFonts w:hint="eastAsia"/>
                <w:color w:val="auto"/>
                <w:sz w:val="24"/>
              </w:rPr>
              <w:t>喷漆水帘柜是经过水泵循环喷淋产生流动的帘状水层，当喷漆气流通过水帘时，漆雾被附着留下，工作原理如下图所示。</w:t>
            </w:r>
          </w:p>
          <w:p w14:paraId="5B91B2F6">
            <w:pPr>
              <w:adjustRightInd w:val="0"/>
              <w:snapToGrid w:val="0"/>
              <w:spacing w:line="360" w:lineRule="auto"/>
              <w:ind w:left="0" w:leftChars="0" w:firstLine="0" w:firstLineChars="0"/>
              <w:jc w:val="center"/>
              <w:rPr>
                <w:rFonts w:hint="eastAsia"/>
                <w:color w:val="auto"/>
                <w:sz w:val="24"/>
              </w:rPr>
            </w:pPr>
            <w:r>
              <w:drawing>
                <wp:inline distT="0" distB="0" distL="114300" distR="114300">
                  <wp:extent cx="2363470" cy="1943735"/>
                  <wp:effectExtent l="0" t="0" r="17780" b="1841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2"/>
                          <a:stretch>
                            <a:fillRect/>
                          </a:stretch>
                        </pic:blipFill>
                        <pic:spPr>
                          <a:xfrm>
                            <a:off x="0" y="0"/>
                            <a:ext cx="2363470" cy="1943735"/>
                          </a:xfrm>
                          <a:prstGeom prst="rect">
                            <a:avLst/>
                          </a:prstGeom>
                          <a:noFill/>
                          <a:ln>
                            <a:noFill/>
                          </a:ln>
                        </pic:spPr>
                      </pic:pic>
                    </a:graphicData>
                  </a:graphic>
                </wp:inline>
              </w:drawing>
            </w:r>
          </w:p>
          <w:p w14:paraId="2E2EE734">
            <w:pPr>
              <w:adjustRightInd w:val="0"/>
              <w:snapToGrid w:val="0"/>
              <w:spacing w:line="360" w:lineRule="auto"/>
              <w:ind w:firstLine="475" w:firstLineChars="198"/>
              <w:jc w:val="center"/>
              <w:rPr>
                <w:rFonts w:hint="default" w:eastAsia="宋体"/>
                <w:color w:val="auto"/>
                <w:sz w:val="24"/>
                <w:lang w:val="en-US" w:eastAsia="zh-CN"/>
              </w:rPr>
            </w:pPr>
            <w:r>
              <w:rPr>
                <w:rFonts w:hint="eastAsia"/>
                <w:color w:val="auto"/>
                <w:sz w:val="24"/>
                <w:lang w:val="en-US" w:eastAsia="zh-CN"/>
              </w:rPr>
              <w:t>图4-1 喷漆水帘柜工作原理</w:t>
            </w:r>
          </w:p>
          <w:p w14:paraId="424ACD37">
            <w:pPr>
              <w:adjustRightInd w:val="0"/>
              <w:snapToGrid w:val="0"/>
              <w:spacing w:line="360" w:lineRule="auto"/>
              <w:ind w:firstLine="475" w:firstLineChars="198"/>
              <w:rPr>
                <w:rFonts w:hint="eastAsia"/>
                <w:color w:val="auto"/>
                <w:sz w:val="24"/>
              </w:rPr>
            </w:pPr>
            <w:r>
              <w:rPr>
                <w:rFonts w:hint="eastAsia"/>
                <w:color w:val="auto"/>
                <w:sz w:val="24"/>
              </w:rPr>
              <w:t>干式漆雾过滤装置亦称干式除尘器，是通过多孔的过滤介质(滤料)分离捕捉气体中的固体、液体粒子的净化装置。含颗粒物、尘气体进入除尘器后，通过滤料层，滤尘粘附在滤料的迎风面，由滤料背风面逸出的气体进入下一道处理工序或排出。</w:t>
            </w:r>
          </w:p>
          <w:p w14:paraId="5038B783">
            <w:pPr>
              <w:adjustRightInd w:val="0"/>
              <w:snapToGrid w:val="0"/>
              <w:spacing w:line="360" w:lineRule="auto"/>
              <w:ind w:firstLine="475" w:firstLineChars="198"/>
              <w:rPr>
                <w:rFonts w:hint="eastAsia"/>
                <w:color w:val="auto"/>
                <w:sz w:val="24"/>
              </w:rPr>
            </w:pPr>
            <w:r>
              <w:rPr>
                <w:rFonts w:hint="eastAsia"/>
                <w:color w:val="auto"/>
                <w:sz w:val="24"/>
              </w:rPr>
              <w:t>本项目喷漆废气经水帘柜去除漆雾后，再进入有机废气处理系统(干式过滤+</w:t>
            </w:r>
            <w:r>
              <w:rPr>
                <w:rFonts w:hint="eastAsia"/>
                <w:color w:val="auto"/>
                <w:sz w:val="24"/>
                <w:lang w:eastAsia="zh-CN"/>
              </w:rPr>
              <w:t>活性炭吸附脱附+</w:t>
            </w:r>
            <w:r>
              <w:rPr>
                <w:rFonts w:hint="eastAsia"/>
                <w:color w:val="auto"/>
                <w:sz w:val="24"/>
              </w:rPr>
              <w:t>催化燃烧处理装置)处理。</w:t>
            </w:r>
            <w:r>
              <w:rPr>
                <w:rFonts w:hint="eastAsia"/>
                <w:color w:val="auto"/>
                <w:sz w:val="24"/>
                <w:lang w:val="en-US" w:eastAsia="zh-CN"/>
              </w:rPr>
              <w:t>本行业类别无对应排污许可技术规范，</w:t>
            </w:r>
            <w:r>
              <w:rPr>
                <w:rFonts w:hint="eastAsia"/>
                <w:color w:val="auto"/>
                <w:sz w:val="24"/>
              </w:rPr>
              <w:t>参</w:t>
            </w:r>
            <w:r>
              <w:rPr>
                <w:rFonts w:hint="eastAsia"/>
                <w:color w:val="auto"/>
                <w:sz w:val="24"/>
                <w:lang w:val="en-US" w:eastAsia="zh-CN"/>
              </w:rPr>
              <w:t>照含有相同工艺的《排污许可证申请与核发技术规范 汽车制造业》（HJ971-2018 ）及</w:t>
            </w:r>
            <w:r>
              <w:rPr>
                <w:rFonts w:hint="eastAsia"/>
                <w:color w:val="auto"/>
                <w:sz w:val="24"/>
              </w:rPr>
              <w:t>《排污许可证申请与核发技术规范家具制造工业》(HJ1027-2019)中涂装废气污染治理推荐可行技术清单中，喷漆工序产生的颗粒物，可行技术为水帘过滤、干式过滤棉过滤器、旋风除尘等治理措施，本项目采取“水帘过滤+</w:t>
            </w:r>
            <w:r>
              <w:rPr>
                <w:rFonts w:hint="eastAsia"/>
                <w:color w:val="auto"/>
                <w:sz w:val="24"/>
                <w:lang w:val="en-US" w:eastAsia="zh-CN"/>
              </w:rPr>
              <w:t>干</w:t>
            </w:r>
            <w:r>
              <w:rPr>
                <w:rFonts w:hint="eastAsia"/>
                <w:color w:val="auto"/>
                <w:sz w:val="24"/>
              </w:rPr>
              <w:t>式过滤器”方式处理漆雾，属于可行性技术，故本项目漆雾治理设施可行。</w:t>
            </w:r>
          </w:p>
          <w:p w14:paraId="6F5913D0">
            <w:pPr>
              <w:adjustRightInd w:val="0"/>
              <w:snapToGrid w:val="0"/>
              <w:spacing w:line="360" w:lineRule="auto"/>
              <w:ind w:firstLine="482" w:firstLineChars="200"/>
              <w:rPr>
                <w:rFonts w:hint="default" w:eastAsia="宋体"/>
                <w:b/>
                <w:bCs/>
                <w:color w:val="auto"/>
                <w:sz w:val="24"/>
                <w:lang w:val="en-US" w:eastAsia="zh-CN"/>
              </w:rPr>
            </w:pPr>
            <w:r>
              <w:rPr>
                <w:rFonts w:hint="eastAsia"/>
                <w:b/>
                <w:bCs/>
                <w:color w:val="auto"/>
                <w:sz w:val="24"/>
              </w:rPr>
              <w:t>②</w:t>
            </w:r>
            <w:r>
              <w:rPr>
                <w:rFonts w:hint="eastAsia"/>
                <w:b/>
                <w:bCs/>
                <w:color w:val="auto"/>
                <w:sz w:val="24"/>
                <w:lang w:val="en-US" w:eastAsia="zh-CN"/>
              </w:rPr>
              <w:t>打磨粉尘</w:t>
            </w:r>
          </w:p>
          <w:p w14:paraId="390BD85B">
            <w:pPr>
              <w:topLinePunct/>
              <w:autoSpaceDE w:val="0"/>
              <w:adjustRightInd w:val="0"/>
              <w:snapToGrid w:val="0"/>
              <w:spacing w:line="360" w:lineRule="auto"/>
              <w:ind w:firstLine="480" w:firstLineChars="200"/>
              <w:rPr>
                <w:rFonts w:hint="eastAsia"/>
                <w:color w:val="auto"/>
                <w:sz w:val="24"/>
              </w:rPr>
            </w:pPr>
            <w:r>
              <w:rPr>
                <w:rFonts w:hint="eastAsia"/>
                <w:color w:val="auto"/>
                <w:sz w:val="24"/>
                <w:lang w:val="en-US" w:eastAsia="zh-CN"/>
              </w:rPr>
              <w:t>打磨废气通过密闭打磨车间+水帘柜处理后无组织排放</w:t>
            </w:r>
            <w:r>
              <w:rPr>
                <w:rFonts w:hint="eastAsia"/>
                <w:color w:val="auto"/>
                <w:sz w:val="24"/>
              </w:rPr>
              <w:t>。</w:t>
            </w:r>
          </w:p>
          <w:p w14:paraId="6380335A">
            <w:pPr>
              <w:adjustRightInd w:val="0"/>
              <w:snapToGrid w:val="0"/>
              <w:spacing w:line="360" w:lineRule="auto"/>
              <w:ind w:firstLine="480" w:firstLineChars="200"/>
              <w:rPr>
                <w:rFonts w:hint="eastAsia"/>
                <w:b/>
                <w:bCs/>
                <w:color w:val="auto"/>
                <w:sz w:val="24"/>
              </w:rPr>
            </w:pPr>
            <w:r>
              <w:rPr>
                <w:rFonts w:hint="eastAsia"/>
                <w:color w:val="auto"/>
                <w:sz w:val="24"/>
              </w:rPr>
              <w:t>参</w:t>
            </w:r>
            <w:r>
              <w:rPr>
                <w:rFonts w:hint="eastAsia"/>
                <w:color w:val="auto"/>
                <w:sz w:val="24"/>
                <w:lang w:val="en-US" w:eastAsia="zh-CN"/>
              </w:rPr>
              <w:t>照含有相似工艺的《排污许可证申请与核发技术规范 汽车制造业》（HJ971-2018 ）中打磨废气推荐可行技术清单中含有湿式除尘</w:t>
            </w:r>
            <w:r>
              <w:rPr>
                <w:rFonts w:hint="eastAsia"/>
                <w:color w:val="auto"/>
                <w:sz w:val="24"/>
              </w:rPr>
              <w:t>。根据《排放源统计调查产排污核算方法和系数手册》（生态环境部办公厅2021年6月11日印发）-“33-37,431-434 机械行业系数手册”，</w:t>
            </w:r>
            <w:r>
              <w:rPr>
                <w:rFonts w:hint="eastAsia"/>
                <w:color w:val="auto"/>
                <w:sz w:val="24"/>
                <w:lang w:val="en-US" w:eastAsia="zh-CN"/>
              </w:rPr>
              <w:t>水喷淋除尘去除效率80%，打磨除尘</w:t>
            </w:r>
            <w:r>
              <w:rPr>
                <w:rFonts w:hint="eastAsia"/>
                <w:color w:val="auto"/>
                <w:sz w:val="24"/>
              </w:rPr>
              <w:t>工艺选择合理。</w:t>
            </w:r>
          </w:p>
          <w:p w14:paraId="41916864">
            <w:pPr>
              <w:adjustRightInd w:val="0"/>
              <w:snapToGrid w:val="0"/>
              <w:spacing w:line="360" w:lineRule="auto"/>
              <w:ind w:firstLine="482" w:firstLineChars="200"/>
              <w:rPr>
                <w:rFonts w:hint="eastAsia"/>
                <w:b/>
                <w:bCs/>
                <w:color w:val="auto"/>
                <w:kern w:val="0"/>
                <w:sz w:val="24"/>
              </w:rPr>
            </w:pPr>
            <w:r>
              <w:rPr>
                <w:rFonts w:hint="eastAsia"/>
                <w:b/>
                <w:bCs/>
                <w:color w:val="auto"/>
                <w:sz w:val="24"/>
              </w:rPr>
              <w:t>（2）有机废气处理可行性：</w:t>
            </w:r>
          </w:p>
          <w:p w14:paraId="430DF048">
            <w:pPr>
              <w:kinsoku w:val="0"/>
              <w:overflowPunct w:val="0"/>
              <w:autoSpaceDE w:val="0"/>
              <w:autoSpaceDN w:val="0"/>
              <w:adjustRightInd w:val="0"/>
              <w:snapToGrid w:val="0"/>
              <w:spacing w:line="360" w:lineRule="auto"/>
              <w:ind w:firstLine="480"/>
              <w:rPr>
                <w:b/>
                <w:color w:val="auto"/>
                <w:sz w:val="24"/>
              </w:rPr>
            </w:pPr>
            <w:r>
              <w:rPr>
                <w:color w:val="auto"/>
                <w:sz w:val="24"/>
              </w:rPr>
              <w:t>目前，工业挥发性有机废气治理工艺主要有吸附法、燃烧法、生物法、低温等离子技术等。吸附法选择目前在工业上应用最广泛的活性炭吸附法，燃烧法选择热力燃烧和催化燃烧，生物法选择生物洗涤塔技术进行方案比选，具体见表</w:t>
            </w:r>
            <w:r>
              <w:rPr>
                <w:rFonts w:hint="eastAsia"/>
                <w:color w:val="auto"/>
                <w:sz w:val="24"/>
              </w:rPr>
              <w:t>4-</w:t>
            </w:r>
            <w:r>
              <w:rPr>
                <w:rFonts w:hint="eastAsia"/>
                <w:color w:val="auto"/>
                <w:sz w:val="24"/>
                <w:lang w:val="en-US" w:eastAsia="zh-CN"/>
              </w:rPr>
              <w:t>5</w:t>
            </w:r>
            <w:r>
              <w:rPr>
                <w:color w:val="auto"/>
                <w:sz w:val="24"/>
              </w:rPr>
              <w:t>。</w:t>
            </w:r>
          </w:p>
          <w:p w14:paraId="0099FAC7">
            <w:pPr>
              <w:kinsoku w:val="0"/>
              <w:overflowPunct w:val="0"/>
              <w:autoSpaceDE w:val="0"/>
              <w:autoSpaceDN w:val="0"/>
              <w:adjustRightInd w:val="0"/>
              <w:snapToGrid w:val="0"/>
              <w:spacing w:line="360" w:lineRule="auto"/>
              <w:ind w:firstLine="482"/>
              <w:jc w:val="center"/>
              <w:rPr>
                <w:b/>
                <w:color w:val="auto"/>
                <w:sz w:val="24"/>
              </w:rPr>
            </w:pPr>
            <w:r>
              <w:rPr>
                <w:b/>
                <w:color w:val="auto"/>
                <w:sz w:val="24"/>
              </w:rPr>
              <w:t>表</w:t>
            </w:r>
            <w:r>
              <w:rPr>
                <w:rFonts w:hint="eastAsia"/>
                <w:b/>
                <w:color w:val="auto"/>
                <w:sz w:val="24"/>
              </w:rPr>
              <w:t>4-</w:t>
            </w:r>
            <w:r>
              <w:rPr>
                <w:rFonts w:hint="eastAsia"/>
                <w:b/>
                <w:color w:val="auto"/>
                <w:sz w:val="24"/>
                <w:lang w:val="en-US" w:eastAsia="zh-CN"/>
              </w:rPr>
              <w:t>5</w:t>
            </w:r>
            <w:r>
              <w:rPr>
                <w:rFonts w:hint="eastAsia"/>
                <w:b/>
                <w:color w:val="auto"/>
                <w:sz w:val="24"/>
              </w:rPr>
              <w:t xml:space="preserve"> </w:t>
            </w:r>
            <w:r>
              <w:rPr>
                <w:b/>
                <w:color w:val="auto"/>
                <w:sz w:val="24"/>
              </w:rPr>
              <w:t xml:space="preserve"> 工业挥发性有机废气处理多方案比选</w:t>
            </w:r>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6"/>
              <w:gridCol w:w="1530"/>
              <w:gridCol w:w="3101"/>
              <w:gridCol w:w="2176"/>
            </w:tblGrid>
            <w:tr w14:paraId="7BEB4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5" w:type="pct"/>
                  <w:noWrap w:val="0"/>
                  <w:vAlign w:val="center"/>
                </w:tcPr>
                <w:p w14:paraId="47194B14">
                  <w:pPr>
                    <w:tabs>
                      <w:tab w:val="left" w:pos="5142"/>
                    </w:tabs>
                    <w:kinsoku w:val="0"/>
                    <w:overflowPunct w:val="0"/>
                    <w:autoSpaceDE w:val="0"/>
                    <w:autoSpaceDN w:val="0"/>
                    <w:adjustRightInd w:val="0"/>
                    <w:snapToGrid w:val="0"/>
                    <w:jc w:val="center"/>
                    <w:textAlignment w:val="baseline"/>
                    <w:rPr>
                      <w:b/>
                      <w:color w:val="auto"/>
                      <w:sz w:val="21"/>
                      <w:szCs w:val="21"/>
                    </w:rPr>
                  </w:pPr>
                  <w:r>
                    <w:rPr>
                      <w:b/>
                      <w:color w:val="auto"/>
                      <w:sz w:val="21"/>
                      <w:szCs w:val="21"/>
                    </w:rPr>
                    <w:t>废气处理措施</w:t>
                  </w:r>
                </w:p>
              </w:tc>
              <w:tc>
                <w:tcPr>
                  <w:tcW w:w="963" w:type="pct"/>
                  <w:noWrap w:val="0"/>
                  <w:vAlign w:val="center"/>
                </w:tcPr>
                <w:p w14:paraId="55926BB5">
                  <w:pPr>
                    <w:tabs>
                      <w:tab w:val="left" w:pos="5142"/>
                    </w:tabs>
                    <w:kinsoku w:val="0"/>
                    <w:overflowPunct w:val="0"/>
                    <w:autoSpaceDE w:val="0"/>
                    <w:autoSpaceDN w:val="0"/>
                    <w:adjustRightInd w:val="0"/>
                    <w:snapToGrid w:val="0"/>
                    <w:jc w:val="center"/>
                    <w:textAlignment w:val="baseline"/>
                    <w:rPr>
                      <w:b/>
                      <w:color w:val="auto"/>
                      <w:sz w:val="21"/>
                      <w:szCs w:val="21"/>
                    </w:rPr>
                  </w:pPr>
                  <w:r>
                    <w:rPr>
                      <w:b/>
                      <w:color w:val="auto"/>
                      <w:sz w:val="21"/>
                      <w:szCs w:val="21"/>
                    </w:rPr>
                    <w:t>适用范围</w:t>
                  </w:r>
                </w:p>
              </w:tc>
              <w:tc>
                <w:tcPr>
                  <w:tcW w:w="1952" w:type="pct"/>
                  <w:noWrap w:val="0"/>
                  <w:vAlign w:val="center"/>
                </w:tcPr>
                <w:p w14:paraId="0BF932CE">
                  <w:pPr>
                    <w:tabs>
                      <w:tab w:val="left" w:pos="5142"/>
                    </w:tabs>
                    <w:kinsoku w:val="0"/>
                    <w:overflowPunct w:val="0"/>
                    <w:autoSpaceDE w:val="0"/>
                    <w:autoSpaceDN w:val="0"/>
                    <w:adjustRightInd w:val="0"/>
                    <w:snapToGrid w:val="0"/>
                    <w:jc w:val="center"/>
                    <w:textAlignment w:val="baseline"/>
                    <w:rPr>
                      <w:b/>
                      <w:color w:val="auto"/>
                      <w:sz w:val="21"/>
                      <w:szCs w:val="21"/>
                    </w:rPr>
                  </w:pPr>
                  <w:r>
                    <w:rPr>
                      <w:b/>
                      <w:color w:val="auto"/>
                      <w:sz w:val="21"/>
                      <w:szCs w:val="21"/>
                    </w:rPr>
                    <w:t>优点</w:t>
                  </w:r>
                </w:p>
              </w:tc>
              <w:tc>
                <w:tcPr>
                  <w:tcW w:w="1369" w:type="pct"/>
                  <w:noWrap w:val="0"/>
                  <w:vAlign w:val="center"/>
                </w:tcPr>
                <w:p w14:paraId="66AD5DDF">
                  <w:pPr>
                    <w:tabs>
                      <w:tab w:val="left" w:pos="5142"/>
                    </w:tabs>
                    <w:kinsoku w:val="0"/>
                    <w:overflowPunct w:val="0"/>
                    <w:autoSpaceDE w:val="0"/>
                    <w:autoSpaceDN w:val="0"/>
                    <w:adjustRightInd w:val="0"/>
                    <w:snapToGrid w:val="0"/>
                    <w:jc w:val="center"/>
                    <w:textAlignment w:val="baseline"/>
                    <w:rPr>
                      <w:b/>
                      <w:color w:val="auto"/>
                      <w:sz w:val="21"/>
                      <w:szCs w:val="21"/>
                    </w:rPr>
                  </w:pPr>
                  <w:r>
                    <w:rPr>
                      <w:b/>
                      <w:color w:val="auto"/>
                      <w:sz w:val="21"/>
                      <w:szCs w:val="21"/>
                    </w:rPr>
                    <w:t>缺点</w:t>
                  </w:r>
                </w:p>
              </w:tc>
            </w:tr>
            <w:tr w14:paraId="4A3B5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5" w:type="pct"/>
                  <w:noWrap w:val="0"/>
                  <w:vAlign w:val="center"/>
                </w:tcPr>
                <w:p w14:paraId="102A7688">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活性炭吸附法</w:t>
                  </w:r>
                </w:p>
              </w:tc>
              <w:tc>
                <w:tcPr>
                  <w:tcW w:w="963" w:type="pct"/>
                  <w:noWrap w:val="0"/>
                  <w:vAlign w:val="center"/>
                </w:tcPr>
                <w:p w14:paraId="3433909F">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处理低浓度有机废气</w:t>
                  </w:r>
                </w:p>
              </w:tc>
              <w:tc>
                <w:tcPr>
                  <w:tcW w:w="1952" w:type="pct"/>
                  <w:noWrap w:val="0"/>
                  <w:vAlign w:val="center"/>
                </w:tcPr>
                <w:p w14:paraId="13063687">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净化效率高、操作方便，且能实现自动控制</w:t>
                  </w:r>
                </w:p>
              </w:tc>
              <w:tc>
                <w:tcPr>
                  <w:tcW w:w="1369" w:type="pct"/>
                  <w:noWrap w:val="0"/>
                  <w:vAlign w:val="center"/>
                </w:tcPr>
                <w:p w14:paraId="54020FD5">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由于吸附容量受限，不适于处理高浓度有机废气，吸附剂再生较困难，需要不断更换</w:t>
                  </w:r>
                </w:p>
              </w:tc>
            </w:tr>
            <w:tr w14:paraId="3B273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5" w:type="pct"/>
                  <w:noWrap w:val="0"/>
                  <w:vAlign w:val="center"/>
                </w:tcPr>
                <w:p w14:paraId="1309428D">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热力燃烧</w:t>
                  </w:r>
                </w:p>
              </w:tc>
              <w:tc>
                <w:tcPr>
                  <w:tcW w:w="963" w:type="pct"/>
                  <w:noWrap w:val="0"/>
                  <w:vAlign w:val="center"/>
                </w:tcPr>
                <w:p w14:paraId="7DCCAF2F">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处理高浓度、小气量的可燃性气体</w:t>
                  </w:r>
                </w:p>
              </w:tc>
              <w:tc>
                <w:tcPr>
                  <w:tcW w:w="1952" w:type="pct"/>
                  <w:noWrap w:val="0"/>
                  <w:vAlign w:val="center"/>
                </w:tcPr>
                <w:p w14:paraId="4BE5CA13">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净化效率高、投资低、运行费用高、燃烧温度700-870℃，可以回收热能</w:t>
                  </w:r>
                </w:p>
              </w:tc>
              <w:tc>
                <w:tcPr>
                  <w:tcW w:w="1369" w:type="pct"/>
                  <w:noWrap w:val="0"/>
                  <w:vAlign w:val="center"/>
                </w:tcPr>
                <w:p w14:paraId="76AA150B">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处理成本高</w:t>
                  </w:r>
                </w:p>
              </w:tc>
            </w:tr>
            <w:tr w14:paraId="04A47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5" w:type="pct"/>
                  <w:noWrap w:val="0"/>
                  <w:vAlign w:val="center"/>
                </w:tcPr>
                <w:p w14:paraId="42CAE4EB">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催化燃烧</w:t>
                  </w:r>
                </w:p>
              </w:tc>
              <w:tc>
                <w:tcPr>
                  <w:tcW w:w="963" w:type="pct"/>
                  <w:noWrap w:val="0"/>
                  <w:vAlign w:val="center"/>
                </w:tcPr>
                <w:p w14:paraId="30D1FC78">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处理高浓度、小气量的有机气体</w:t>
                  </w:r>
                </w:p>
              </w:tc>
              <w:tc>
                <w:tcPr>
                  <w:tcW w:w="1952" w:type="pct"/>
                  <w:noWrap w:val="0"/>
                  <w:vAlign w:val="center"/>
                </w:tcPr>
                <w:p w14:paraId="18C980CE">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净化效率高、无火焰燃烧，安全性好，温度低300-450℃,辅助燃料消耗少</w:t>
                  </w:r>
                </w:p>
              </w:tc>
              <w:tc>
                <w:tcPr>
                  <w:tcW w:w="1369" w:type="pct"/>
                  <w:noWrap w:val="0"/>
                  <w:vAlign w:val="center"/>
                </w:tcPr>
                <w:p w14:paraId="6F007ECC">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催化剂易中毒，投入成本高</w:t>
                  </w:r>
                </w:p>
              </w:tc>
            </w:tr>
            <w:tr w14:paraId="30BFF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5" w:type="pct"/>
                  <w:noWrap w:val="0"/>
                  <w:vAlign w:val="center"/>
                </w:tcPr>
                <w:p w14:paraId="2E946093">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生物洗涤塔</w:t>
                  </w:r>
                </w:p>
              </w:tc>
              <w:tc>
                <w:tcPr>
                  <w:tcW w:w="963" w:type="pct"/>
                  <w:noWrap w:val="0"/>
                  <w:vAlign w:val="center"/>
                </w:tcPr>
                <w:p w14:paraId="14C048B5">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气量小、浓度高、易溶、生物代谢速率较低的VOCs</w:t>
                  </w:r>
                </w:p>
              </w:tc>
              <w:tc>
                <w:tcPr>
                  <w:tcW w:w="1952" w:type="pct"/>
                  <w:noWrap w:val="0"/>
                  <w:vAlign w:val="center"/>
                </w:tcPr>
                <w:p w14:paraId="647707A6">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设备简单、能耗低、安全可靠</w:t>
                  </w:r>
                </w:p>
              </w:tc>
              <w:tc>
                <w:tcPr>
                  <w:tcW w:w="1369" w:type="pct"/>
                  <w:noWrap w:val="0"/>
                  <w:vAlign w:val="center"/>
                </w:tcPr>
                <w:p w14:paraId="26EDBCE7">
                  <w:pPr>
                    <w:tabs>
                      <w:tab w:val="left" w:pos="5142"/>
                    </w:tabs>
                    <w:kinsoku w:val="0"/>
                    <w:overflowPunct w:val="0"/>
                    <w:autoSpaceDE w:val="0"/>
                    <w:autoSpaceDN w:val="0"/>
                    <w:adjustRightInd w:val="0"/>
                    <w:snapToGrid w:val="0"/>
                    <w:jc w:val="center"/>
                    <w:textAlignment w:val="baseline"/>
                    <w:rPr>
                      <w:color w:val="auto"/>
                      <w:sz w:val="21"/>
                      <w:szCs w:val="21"/>
                    </w:rPr>
                  </w:pPr>
                  <w:r>
                    <w:rPr>
                      <w:color w:val="auto"/>
                      <w:sz w:val="21"/>
                      <w:szCs w:val="21"/>
                    </w:rPr>
                    <w:t>不能回收利用污染物</w:t>
                  </w:r>
                </w:p>
              </w:tc>
            </w:tr>
          </w:tbl>
          <w:p w14:paraId="319AD652">
            <w:pPr>
              <w:adjustRightInd w:val="0"/>
              <w:snapToGrid w:val="0"/>
              <w:spacing w:line="360" w:lineRule="auto"/>
              <w:ind w:firstLine="480" w:firstLineChars="200"/>
              <w:rPr>
                <w:rFonts w:hint="eastAsia"/>
                <w:color w:val="auto"/>
                <w:sz w:val="24"/>
                <w:szCs w:val="24"/>
              </w:rPr>
            </w:pPr>
            <w:r>
              <w:rPr>
                <w:rFonts w:hint="eastAsia"/>
                <w:color w:val="auto"/>
                <w:sz w:val="24"/>
              </w:rPr>
              <w:t>上述方法中，直接燃烧法一般针对高浓度废气;吸附法需定期更换吸附剂，不适宜处理温度高废气;蓄热燃烧(RTO)运行费用高，占地面积大;</w:t>
            </w:r>
            <w:r>
              <w:rPr>
                <w:rFonts w:hint="eastAsia"/>
                <w:color w:val="auto"/>
                <w:sz w:val="24"/>
                <w:szCs w:val="24"/>
              </w:rPr>
              <w:t>综合考虑,项目采取催化燃烧(CO)处理 VOCs废气，适合本项目特点，经济可行。</w:t>
            </w:r>
          </w:p>
          <w:p w14:paraId="632D0AE2">
            <w:pPr>
              <w:spacing w:line="360" w:lineRule="auto"/>
              <w:ind w:firstLine="48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催化燃烧治理是将吸附箱内箱表面上的有机气体源通过引风机作用送入净化分解的装置。有机废气首先通过除尘阻火器系统，然后进入换热器，再送入到加热室，通过加热装置，使气体达到燃烧反应温度，再通过催化床的作用，分解成H</w:t>
            </w:r>
            <w:r>
              <w:rPr>
                <w:rFonts w:hint="eastAsia" w:ascii="Times New Roman" w:hAnsi="Times New Roman" w:eastAsia="宋体" w:cs="Times New Roman"/>
                <w:kern w:val="2"/>
                <w:sz w:val="24"/>
                <w:szCs w:val="24"/>
                <w:vertAlign w:val="subscript"/>
                <w:lang w:val="en-US" w:eastAsia="zh-CN" w:bidi="ar-SA"/>
              </w:rPr>
              <w:t>2</w:t>
            </w:r>
            <w:r>
              <w:rPr>
                <w:rFonts w:hint="eastAsia" w:ascii="Times New Roman" w:hAnsi="Times New Roman" w:eastAsia="宋体" w:cs="Times New Roman"/>
                <w:kern w:val="2"/>
                <w:sz w:val="24"/>
                <w:szCs w:val="24"/>
                <w:lang w:val="en-US" w:eastAsia="zh-CN" w:bidi="ar-SA"/>
              </w:rPr>
              <w:t>O和CO</w:t>
            </w:r>
            <w:r>
              <w:rPr>
                <w:rFonts w:hint="eastAsia" w:ascii="Times New Roman" w:hAnsi="Times New Roman" w:eastAsia="宋体" w:cs="Times New Roman"/>
                <w:kern w:val="2"/>
                <w:sz w:val="24"/>
                <w:szCs w:val="24"/>
                <w:vertAlign w:val="subscript"/>
                <w:lang w:val="en-US" w:eastAsia="zh-CN" w:bidi="ar-SA"/>
              </w:rPr>
              <w:t>2</w:t>
            </w:r>
            <w:r>
              <w:rPr>
                <w:rFonts w:hint="eastAsia" w:ascii="Times New Roman" w:hAnsi="Times New Roman" w:eastAsia="宋体" w:cs="Times New Roman"/>
                <w:kern w:val="2"/>
                <w:sz w:val="24"/>
                <w:szCs w:val="24"/>
                <w:lang w:val="en-US" w:eastAsia="zh-CN" w:bidi="ar-SA"/>
              </w:rPr>
              <w:t>，再进入换热器与低温气体进行热交换，使进入的气体温度升高达到反应温度。废气有效去除率达到95%以上，符合国家排放标准。</w:t>
            </w:r>
          </w:p>
          <w:p w14:paraId="58C0D88E">
            <w:pPr>
              <w:spacing w:line="360" w:lineRule="auto"/>
              <w:ind w:firstLine="480"/>
              <w:jc w:val="left"/>
              <w:rPr>
                <w:rFonts w:ascii="宋体" w:hAnsi="宋体" w:eastAsia="宋体" w:cs="Times New Roman"/>
                <w:bCs/>
                <w:sz w:val="28"/>
              </w:rPr>
            </w:pPr>
            <w:r>
              <w:rPr>
                <w:rFonts w:hint="eastAsia" w:ascii="Times New Roman" w:hAnsi="Times New Roman" w:eastAsia="宋体" w:cs="Times New Roman"/>
                <w:kern w:val="2"/>
                <w:sz w:val="24"/>
                <w:szCs w:val="24"/>
                <w:lang w:val="en-US" w:eastAsia="zh-CN" w:bidi="ar-SA"/>
              </w:rPr>
              <w:t>催化燃烧装置主机由阻火除尘器、预热器、催化反应室、脱附风机、控制系统</w:t>
            </w:r>
            <w:r>
              <w:rPr>
                <w:rFonts w:hint="eastAsia" w:cs="Times New Roman"/>
                <w:kern w:val="2"/>
                <w:sz w:val="24"/>
                <w:szCs w:val="24"/>
                <w:lang w:val="en-US" w:eastAsia="zh-CN" w:bidi="ar-SA"/>
              </w:rPr>
              <w:t>及</w:t>
            </w:r>
            <w:r>
              <w:rPr>
                <w:rFonts w:hint="eastAsia" w:ascii="Times New Roman" w:hAnsi="Times New Roman" w:eastAsia="宋体" w:cs="Times New Roman"/>
                <w:kern w:val="2"/>
                <w:sz w:val="24"/>
                <w:szCs w:val="24"/>
                <w:lang w:val="en-US" w:eastAsia="zh-CN" w:bidi="ar-SA"/>
              </w:rPr>
              <w:t>防爆装置组成。阻火除尘器位于进气管道上，防爆装置设在主机的顶部。其工艺流程示意图如下：</w:t>
            </w:r>
          </w:p>
          <w:p w14:paraId="49988788">
            <w:pPr>
              <w:spacing w:line="360" w:lineRule="auto"/>
              <w:ind w:firstLine="0" w:firstLineChars="0"/>
              <w:jc w:val="center"/>
              <w:rPr>
                <w:rFonts w:ascii="Times New Roman" w:hAnsi="Times New Roman" w:eastAsia="宋体" w:cs="Times New Roman"/>
                <w:sz w:val="28"/>
              </w:rPr>
            </w:pPr>
            <w:r>
              <w:rPr>
                <w:color w:val="auto"/>
              </w:rPr>
              <w:drawing>
                <wp:inline distT="0" distB="0" distL="114300" distR="114300">
                  <wp:extent cx="4124325" cy="1610995"/>
                  <wp:effectExtent l="0" t="0" r="9525" b="825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3"/>
                          <a:srcRect b="1151"/>
                          <a:stretch>
                            <a:fillRect/>
                          </a:stretch>
                        </pic:blipFill>
                        <pic:spPr>
                          <a:xfrm>
                            <a:off x="0" y="0"/>
                            <a:ext cx="4124325" cy="1610995"/>
                          </a:xfrm>
                          <a:prstGeom prst="rect">
                            <a:avLst/>
                          </a:prstGeom>
                          <a:noFill/>
                          <a:ln>
                            <a:noFill/>
                          </a:ln>
                        </pic:spPr>
                      </pic:pic>
                    </a:graphicData>
                  </a:graphic>
                </wp:inline>
              </w:drawing>
            </w:r>
          </w:p>
          <w:p w14:paraId="194DF157">
            <w:pPr>
              <w:spacing w:line="360" w:lineRule="auto"/>
              <w:ind w:firstLine="0" w:firstLineChars="0"/>
              <w:jc w:val="center"/>
              <w:outlineLvl w:val="2"/>
              <w:rPr>
                <w:rFonts w:hint="eastAsia" w:ascii="Times New Roman" w:hAnsi="Times New Roman" w:eastAsia="宋体" w:cs="Times New Roman"/>
                <w:sz w:val="28"/>
              </w:rPr>
            </w:pPr>
            <w:bookmarkStart w:id="8" w:name="_Toc3930"/>
            <w:bookmarkStart w:id="9" w:name="_Toc14098"/>
            <w:bookmarkStart w:id="10" w:name="_Toc17117"/>
            <w:r>
              <w:rPr>
                <w:rFonts w:ascii="Times New Roman" w:hAnsi="Times New Roman" w:eastAsia="宋体" w:cs="Times New Roman"/>
                <w:b/>
                <w:bCs/>
                <w:sz w:val="21"/>
                <w:szCs w:val="21"/>
              </w:rPr>
              <w:t>图</w:t>
            </w:r>
            <w:r>
              <w:rPr>
                <w:rFonts w:hint="eastAsia" w:ascii="Times New Roman" w:hAnsi="Times New Roman" w:eastAsia="宋体" w:cs="Times New Roman"/>
                <w:b/>
                <w:bCs/>
                <w:sz w:val="21"/>
                <w:szCs w:val="21"/>
                <w:lang w:val="en-US" w:eastAsia="zh-CN"/>
              </w:rPr>
              <w:t>4-3</w:t>
            </w:r>
            <w:r>
              <w:rPr>
                <w:rFonts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rPr>
              <w:t>催化燃烧工艺流程示意</w:t>
            </w:r>
            <w:bookmarkEnd w:id="8"/>
            <w:bookmarkEnd w:id="9"/>
            <w:bookmarkEnd w:id="10"/>
            <w:r>
              <w:rPr>
                <w:rFonts w:ascii="Times New Roman" w:hAnsi="Times New Roman" w:eastAsia="宋体" w:cs="Times New Roman"/>
                <w:b/>
                <w:bCs/>
                <w:sz w:val="21"/>
                <w:szCs w:val="21"/>
              </w:rPr>
              <w:t xml:space="preserve"> </w:t>
            </w:r>
          </w:p>
          <w:p w14:paraId="7976A443">
            <w:pPr>
              <w:adjustRightInd w:val="0"/>
              <w:snapToGrid w:val="0"/>
              <w:spacing w:line="360" w:lineRule="auto"/>
              <w:ind w:firstLine="480" w:firstLineChars="200"/>
              <w:rPr>
                <w:rFonts w:hint="eastAsia"/>
                <w:color w:val="auto"/>
                <w:sz w:val="24"/>
              </w:rPr>
            </w:pPr>
            <w:r>
              <w:rPr>
                <w:rFonts w:hint="eastAsia"/>
                <w:color w:val="auto"/>
                <w:sz w:val="24"/>
              </w:rPr>
              <w:t>经工程分析核算，涂装(调、喷漆、烘干喷枪清洗)</w:t>
            </w:r>
            <w:r>
              <w:rPr>
                <w:rFonts w:hint="eastAsia"/>
                <w:color w:val="auto"/>
                <w:sz w:val="24"/>
                <w:lang w:eastAsia="zh-CN"/>
              </w:rPr>
              <w:t>有机废气</w:t>
            </w:r>
            <w:r>
              <w:rPr>
                <w:rFonts w:hint="eastAsia"/>
                <w:color w:val="auto"/>
                <w:sz w:val="24"/>
              </w:rPr>
              <w:t>经</w:t>
            </w:r>
            <w:r>
              <w:rPr>
                <w:rFonts w:hint="eastAsia"/>
                <w:color w:val="auto"/>
                <w:sz w:val="24"/>
                <w:lang w:eastAsia="zh-CN"/>
              </w:rPr>
              <w:t>活性炭吸附脱附+</w:t>
            </w:r>
            <w:r>
              <w:rPr>
                <w:rFonts w:hint="eastAsia"/>
                <w:color w:val="auto"/>
                <w:sz w:val="24"/>
              </w:rPr>
              <w:t>催化燃烧装置处理后挥发性有机物、二甲苯均能够满足限值要求，实现达标排放。因此，项目采取的 VOCs 废气治理工艺技术可行。</w:t>
            </w:r>
          </w:p>
          <w:p w14:paraId="1C713B61">
            <w:pPr>
              <w:adjustRightInd w:val="0"/>
              <w:snapToGrid w:val="0"/>
              <w:spacing w:line="360" w:lineRule="auto"/>
              <w:ind w:firstLine="480" w:firstLineChars="200"/>
              <w:rPr>
                <w:rFonts w:hint="eastAsia"/>
                <w:b/>
                <w:bCs/>
                <w:color w:val="auto"/>
                <w:kern w:val="0"/>
                <w:sz w:val="24"/>
              </w:rPr>
            </w:pPr>
            <w:r>
              <w:rPr>
                <w:rFonts w:hint="eastAsia"/>
                <w:color w:val="auto"/>
                <w:sz w:val="24"/>
              </w:rPr>
              <w:t>综上，项目运营期</w:t>
            </w:r>
            <w:r>
              <w:rPr>
                <w:rFonts w:hint="eastAsia"/>
                <w:color w:val="auto"/>
                <w:sz w:val="24"/>
                <w:lang w:eastAsia="zh-CN"/>
              </w:rPr>
              <w:t>大气污染防治</w:t>
            </w:r>
            <w:r>
              <w:rPr>
                <w:rFonts w:hint="eastAsia"/>
                <w:color w:val="auto"/>
                <w:sz w:val="24"/>
              </w:rPr>
              <w:t>措施可行。</w:t>
            </w:r>
          </w:p>
          <w:p w14:paraId="739FFD44">
            <w:pPr>
              <w:pStyle w:val="29"/>
              <w:bidi w:val="0"/>
              <w:rPr>
                <w:rFonts w:hint="default" w:ascii="Times New Roman" w:hAnsi="Times New Roman" w:cs="Times New Roman"/>
                <w:color w:val="auto"/>
              </w:rPr>
            </w:pPr>
            <w:r>
              <w:rPr>
                <w:rFonts w:hint="default" w:ascii="Times New Roman" w:hAnsi="Times New Roman" w:cs="Times New Roman"/>
                <w:color w:val="auto"/>
              </w:rPr>
              <w:t>本项目环保措施可行性分析情况见表4-</w:t>
            </w:r>
            <w:r>
              <w:rPr>
                <w:rFonts w:hint="eastAsia" w:ascii="Times New Roman" w:hAnsi="Times New Roman" w:cs="Times New Roman"/>
                <w:color w:val="auto"/>
                <w:lang w:val="en-US" w:eastAsia="zh-CN"/>
              </w:rPr>
              <w:t>6</w:t>
            </w:r>
            <w:r>
              <w:rPr>
                <w:rFonts w:hint="default" w:ascii="Times New Roman" w:hAnsi="Times New Roman" w:cs="Times New Roman"/>
                <w:color w:val="auto"/>
              </w:rPr>
              <w:t>。</w:t>
            </w:r>
          </w:p>
          <w:p w14:paraId="7C2F134A">
            <w:pPr>
              <w:pStyle w:val="31"/>
              <w:bidi w:val="0"/>
              <w:rPr>
                <w:rFonts w:hint="default" w:ascii="Times New Roman" w:hAnsi="Times New Roman" w:cs="Times New Roman"/>
                <w:color w:val="auto"/>
              </w:rPr>
            </w:pPr>
            <w:r>
              <w:rPr>
                <w:rFonts w:hint="default" w:ascii="Times New Roman" w:hAnsi="Times New Roman" w:cs="Times New Roman"/>
                <w:color w:val="auto"/>
              </w:rPr>
              <w:t>表4-</w:t>
            </w:r>
            <w:r>
              <w:rPr>
                <w:rFonts w:hint="eastAsia" w:ascii="Times New Roman" w:hAnsi="Times New Roman" w:cs="Times New Roman"/>
                <w:color w:val="auto"/>
                <w:lang w:val="en-US" w:eastAsia="zh-CN"/>
              </w:rPr>
              <w:t>6</w:t>
            </w:r>
            <w:r>
              <w:rPr>
                <w:rFonts w:hint="default" w:ascii="Times New Roman" w:hAnsi="Times New Roman" w:cs="Times New Roman"/>
                <w:color w:val="auto"/>
              </w:rPr>
              <w:t xml:space="preserve">  环保措施可行性分析情况</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3"/>
              <w:gridCol w:w="1649"/>
              <w:gridCol w:w="3721"/>
            </w:tblGrid>
            <w:tr w14:paraId="725C7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12" w:space="0"/>
                    <w:left w:val="nil"/>
                    <w:bottom w:val="single" w:color="auto" w:sz="4" w:space="0"/>
                    <w:right w:val="single" w:color="auto" w:sz="4" w:space="0"/>
                    <w:tl2br w:val="nil"/>
                    <w:tr2bl w:val="nil"/>
                  </w:tcBorders>
                  <w:noWrap w:val="0"/>
                  <w:vAlign w:val="center"/>
                </w:tcPr>
                <w:p w14:paraId="07A0698E">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污染源</w:t>
                  </w:r>
                </w:p>
              </w:tc>
              <w:tc>
                <w:tcPr>
                  <w:tcW w:w="1038"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2770E5F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环保措施</w:t>
                  </w:r>
                </w:p>
              </w:tc>
              <w:tc>
                <w:tcPr>
                  <w:tcW w:w="2342" w:type="pct"/>
                  <w:tcBorders>
                    <w:top w:val="single" w:color="auto" w:sz="12" w:space="0"/>
                    <w:left w:val="single" w:color="auto" w:sz="4" w:space="0"/>
                    <w:bottom w:val="single" w:color="auto" w:sz="4" w:space="0"/>
                    <w:right w:val="nil"/>
                    <w:tl2br w:val="nil"/>
                    <w:tr2bl w:val="nil"/>
                  </w:tcBorders>
                  <w:noWrap w:val="0"/>
                  <w:vAlign w:val="center"/>
                </w:tcPr>
                <w:p w14:paraId="1DB2427A">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可行性分析</w:t>
                  </w:r>
                </w:p>
              </w:tc>
            </w:tr>
            <w:tr w14:paraId="66DAC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619" w:type="pct"/>
                  <w:vMerge w:val="restart"/>
                  <w:tcBorders>
                    <w:top w:val="single" w:color="auto" w:sz="4" w:space="0"/>
                    <w:left w:val="nil"/>
                    <w:right w:val="single" w:color="auto" w:sz="4" w:space="0"/>
                    <w:tl2br w:val="nil"/>
                    <w:tr2bl w:val="nil"/>
                  </w:tcBorders>
                  <w:noWrap w:val="0"/>
                  <w:vAlign w:val="center"/>
                </w:tcPr>
                <w:p w14:paraId="68485F5F">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喷漆、调漆、烤漆废气</w:t>
                  </w:r>
                </w:p>
              </w:tc>
              <w:tc>
                <w:tcPr>
                  <w:tcW w:w="103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C5D26F">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密闭负压车间</w:t>
                  </w:r>
                </w:p>
              </w:tc>
              <w:tc>
                <w:tcPr>
                  <w:tcW w:w="2342" w:type="pct"/>
                  <w:vMerge w:val="restart"/>
                  <w:tcBorders>
                    <w:top w:val="single" w:color="auto" w:sz="4" w:space="0"/>
                    <w:left w:val="single" w:color="auto" w:sz="4" w:space="0"/>
                    <w:right w:val="nil"/>
                    <w:tl2br w:val="nil"/>
                    <w:tr2bl w:val="nil"/>
                  </w:tcBorders>
                  <w:noWrap w:val="0"/>
                  <w:vAlign w:val="center"/>
                </w:tcPr>
                <w:p w14:paraId="60491C5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参考《主要污染物总量减排核算技术指南（2022 年修订）》表2-3，</w:t>
                  </w:r>
                  <w:r>
                    <w:rPr>
                      <w:rFonts w:hint="eastAsia" w:ascii="Times New Roman" w:hAnsi="Times New Roman" w:cs="Times New Roman"/>
                      <w:color w:val="auto"/>
                      <w:sz w:val="21"/>
                      <w:szCs w:val="24"/>
                      <w:lang w:val="en-US" w:eastAsia="zh-CN"/>
                    </w:rPr>
                    <w:t>负压密闭车间收集效率为90%</w:t>
                  </w:r>
                </w:p>
                <w:p w14:paraId="6BF6209E">
                  <w:pPr>
                    <w:pStyle w:val="30"/>
                    <w:spacing w:beforeLines="0" w:afterLines="0"/>
                    <w:rPr>
                      <w:rFonts w:hint="default" w:ascii="Times New Roman" w:hAnsi="Times New Roman" w:eastAsia="宋体" w:cs="Times New Roman"/>
                      <w:color w:val="auto"/>
                      <w:sz w:val="21"/>
                      <w:szCs w:val="24"/>
                      <w:lang w:val="en-US" w:eastAsia="zh-CN"/>
                    </w:rPr>
                  </w:pPr>
                </w:p>
                <w:p w14:paraId="2A73D52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干式过滤内含</w:t>
                  </w:r>
                  <w:r>
                    <w:rPr>
                      <w:rFonts w:hint="default" w:ascii="Times New Roman" w:hAnsi="Times New Roman" w:eastAsia="宋体" w:cs="Times New Roman"/>
                      <w:color w:val="auto"/>
                      <w:sz w:val="21"/>
                      <w:szCs w:val="24"/>
                      <w:lang w:val="en-US" w:eastAsia="zh-CN"/>
                    </w:rPr>
                    <w:t>布袋（TA001）</w:t>
                  </w:r>
                  <w:r>
                    <w:rPr>
                      <w:rFonts w:hint="eastAsia" w:ascii="Times New Roman" w:hAnsi="Times New Roman" w:eastAsia="宋体" w:cs="Times New Roman"/>
                      <w:color w:val="auto"/>
                      <w:sz w:val="21"/>
                      <w:szCs w:val="24"/>
                      <w:lang w:val="en-US" w:eastAsia="zh-CN"/>
                    </w:rPr>
                    <w:t>、布袋除尘器（TA003）：</w:t>
                  </w:r>
                  <w:r>
                    <w:rPr>
                      <w:rFonts w:hint="eastAsia" w:ascii="Times New Roman" w:hAnsi="Times New Roman" w:cs="Times New Roman"/>
                      <w:color w:val="auto"/>
                      <w:sz w:val="21"/>
                      <w:szCs w:val="24"/>
                      <w:lang w:val="en-US" w:eastAsia="zh-CN"/>
                    </w:rPr>
                    <w:t>参考</w:t>
                  </w:r>
                  <w:r>
                    <w:rPr>
                      <w:rFonts w:hint="eastAsia" w:ascii="Times New Roman" w:hAnsi="Times New Roman" w:eastAsia="宋体" w:cs="Times New Roman"/>
                      <w:color w:val="auto"/>
                      <w:sz w:val="21"/>
                      <w:szCs w:val="24"/>
                      <w:lang w:val="en-US" w:eastAsia="zh-CN"/>
                    </w:rPr>
                    <w:t xml:space="preserve">《排污许可证申请与核发技术规范 </w:t>
                  </w:r>
                  <w:r>
                    <w:rPr>
                      <w:rFonts w:hint="eastAsia" w:ascii="Times New Roman" w:hAnsi="Times New Roman" w:cs="Times New Roman"/>
                      <w:color w:val="auto"/>
                      <w:sz w:val="21"/>
                      <w:szCs w:val="24"/>
                      <w:lang w:val="en-US" w:eastAsia="zh-CN"/>
                    </w:rPr>
                    <w:t>汽车</w:t>
                  </w:r>
                  <w:r>
                    <w:rPr>
                      <w:rFonts w:hint="eastAsia" w:ascii="Times New Roman" w:hAnsi="Times New Roman" w:eastAsia="宋体" w:cs="Times New Roman"/>
                      <w:color w:val="auto"/>
                      <w:sz w:val="21"/>
                      <w:szCs w:val="24"/>
                      <w:lang w:val="en-US" w:eastAsia="zh-CN"/>
                    </w:rPr>
                    <w:t>工业》（HJ</w:t>
                  </w:r>
                  <w:r>
                    <w:rPr>
                      <w:rFonts w:hint="eastAsia" w:ascii="Times New Roman" w:hAnsi="Times New Roman" w:cs="Times New Roman"/>
                      <w:color w:val="auto"/>
                      <w:sz w:val="21"/>
                      <w:szCs w:val="24"/>
                      <w:lang w:val="en-US" w:eastAsia="zh-CN"/>
                    </w:rPr>
                    <w:t>978</w:t>
                  </w:r>
                  <w:r>
                    <w:rPr>
                      <w:rFonts w:hint="eastAsia" w:ascii="Times New Roman" w:hAnsi="Times New Roman" w:eastAsia="宋体" w:cs="Times New Roman"/>
                      <w:color w:val="auto"/>
                      <w:sz w:val="21"/>
                      <w:szCs w:val="24"/>
                      <w:lang w:val="en-US" w:eastAsia="zh-CN"/>
                    </w:rPr>
                    <w:t>-</w:t>
                  </w:r>
                  <w:r>
                    <w:rPr>
                      <w:rFonts w:hint="eastAsia" w:ascii="Times New Roman" w:hAnsi="Times New Roman" w:cs="Times New Roman"/>
                      <w:color w:val="auto"/>
                      <w:sz w:val="21"/>
                      <w:szCs w:val="24"/>
                      <w:lang w:val="en-US" w:eastAsia="zh-CN"/>
                    </w:rPr>
                    <w:t>2018</w:t>
                  </w:r>
                  <w:r>
                    <w:rPr>
                      <w:rFonts w:hint="eastAsia" w:ascii="Times New Roman" w:hAnsi="Times New Roman" w:eastAsia="宋体" w:cs="Times New Roman"/>
                      <w:color w:val="auto"/>
                      <w:sz w:val="21"/>
                      <w:szCs w:val="24"/>
                      <w:lang w:val="en-US" w:eastAsia="zh-CN"/>
                    </w:rPr>
                    <w:t>）表 汽车制造业废气污染治理推荐可行技术清单“</w:t>
                  </w:r>
                  <w:r>
                    <w:rPr>
                      <w:rFonts w:hint="eastAsia" w:ascii="Times New Roman" w:hAnsi="Times New Roman" w:cs="Times New Roman"/>
                      <w:b/>
                      <w:bCs/>
                      <w:color w:val="auto"/>
                      <w:sz w:val="21"/>
                      <w:szCs w:val="24"/>
                      <w:lang w:val="en-US" w:eastAsia="zh-CN"/>
                    </w:rPr>
                    <w:t>下料、焊接、打磨、喷粉：颗粒物</w:t>
                  </w:r>
                  <w:r>
                    <w:rPr>
                      <w:rFonts w:hint="eastAsia" w:ascii="Times New Roman" w:hAnsi="Times New Roman" w:eastAsia="宋体" w:cs="Times New Roman"/>
                      <w:b/>
                      <w:bCs/>
                      <w:color w:val="auto"/>
                      <w:sz w:val="21"/>
                      <w:szCs w:val="24"/>
                      <w:lang w:val="en-US" w:eastAsia="zh-CN"/>
                    </w:rPr>
                    <w:t>：</w:t>
                  </w:r>
                  <w:r>
                    <w:rPr>
                      <w:rFonts w:hint="eastAsia" w:ascii="Times New Roman" w:hAnsi="Times New Roman" w:cs="Times New Roman"/>
                      <w:b/>
                      <w:bCs/>
                      <w:color w:val="auto"/>
                      <w:sz w:val="21"/>
                      <w:szCs w:val="24"/>
                      <w:lang w:val="en-US" w:eastAsia="zh-CN"/>
                    </w:rPr>
                    <w:t>湿式</w:t>
                  </w:r>
                  <w:r>
                    <w:rPr>
                      <w:rFonts w:hint="eastAsia" w:ascii="Times New Roman" w:hAnsi="Times New Roman" w:eastAsia="宋体" w:cs="Times New Roman"/>
                      <w:b/>
                      <w:bCs/>
                      <w:color w:val="auto"/>
                      <w:sz w:val="21"/>
                      <w:szCs w:val="24"/>
                      <w:lang w:val="en-US" w:eastAsia="zh-CN"/>
                    </w:rPr>
                    <w:t>除尘</w:t>
                  </w:r>
                  <w:r>
                    <w:rPr>
                      <w:rFonts w:hint="eastAsia" w:ascii="Times New Roman" w:hAnsi="Times New Roman" w:eastAsia="宋体" w:cs="Times New Roman"/>
                      <w:color w:val="auto"/>
                      <w:sz w:val="21"/>
                      <w:szCs w:val="24"/>
                      <w:lang w:val="en-US" w:eastAsia="zh-CN"/>
                    </w:rPr>
                    <w:t>”</w:t>
                  </w:r>
                  <w:r>
                    <w:rPr>
                      <w:rFonts w:hint="eastAsia" w:ascii="Times New Roman" w:hAnsi="Times New Roman" w:cs="Times New Roman"/>
                      <w:color w:val="auto"/>
                      <w:sz w:val="21"/>
                      <w:szCs w:val="24"/>
                      <w:lang w:val="en-US" w:eastAsia="zh-CN"/>
                    </w:rPr>
                    <w:t>，为可行技术；“涂装-吸附+催化燃烧为可行技术”</w:t>
                  </w:r>
                </w:p>
              </w:tc>
            </w:tr>
            <w:tr w14:paraId="3B716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619" w:type="pct"/>
                  <w:vMerge w:val="continue"/>
                  <w:tcBorders>
                    <w:left w:val="nil"/>
                    <w:bottom w:val="single" w:color="auto" w:sz="4" w:space="0"/>
                    <w:right w:val="single" w:color="auto" w:sz="4" w:space="0"/>
                    <w:tl2br w:val="nil"/>
                    <w:tr2bl w:val="nil"/>
                  </w:tcBorders>
                  <w:noWrap w:val="0"/>
                  <w:vAlign w:val="center"/>
                </w:tcPr>
                <w:p w14:paraId="34FF8286">
                  <w:pPr>
                    <w:pStyle w:val="30"/>
                    <w:spacing w:beforeLines="0" w:afterLines="0"/>
                    <w:rPr>
                      <w:color w:val="auto"/>
                    </w:rPr>
                  </w:pPr>
                </w:p>
              </w:tc>
              <w:tc>
                <w:tcPr>
                  <w:tcW w:w="103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789DE9C">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水帘+干式过滤+活性炭吸附脱附+催化燃烧</w:t>
                  </w:r>
                  <w:r>
                    <w:rPr>
                      <w:rFonts w:hint="eastAsia" w:ascii="Times New Roman" w:hAnsi="Times New Roman" w:eastAsia="宋体" w:cs="Times New Roman"/>
                      <w:color w:val="auto"/>
                      <w:sz w:val="21"/>
                      <w:szCs w:val="24"/>
                      <w:lang w:val="en-US" w:eastAsia="zh-CN"/>
                    </w:rPr>
                    <w:t>（TA001）</w:t>
                  </w:r>
                </w:p>
              </w:tc>
              <w:tc>
                <w:tcPr>
                  <w:tcW w:w="2342" w:type="pct"/>
                  <w:vMerge w:val="continue"/>
                  <w:tcBorders>
                    <w:left w:val="single" w:color="auto" w:sz="4" w:space="0"/>
                    <w:right w:val="nil"/>
                    <w:tl2br w:val="nil"/>
                    <w:tr2bl w:val="nil"/>
                  </w:tcBorders>
                  <w:noWrap w:val="0"/>
                  <w:vAlign w:val="center"/>
                </w:tcPr>
                <w:p w14:paraId="1D465682">
                  <w:pPr>
                    <w:pStyle w:val="30"/>
                    <w:spacing w:beforeLines="0" w:afterLines="0"/>
                    <w:rPr>
                      <w:rFonts w:hint="eastAsia" w:ascii="Times New Roman" w:hAnsi="Times New Roman" w:eastAsia="宋体" w:cs="Times New Roman"/>
                      <w:color w:val="auto"/>
                      <w:sz w:val="21"/>
                      <w:szCs w:val="24"/>
                      <w:lang w:val="en-US" w:eastAsia="zh-CN"/>
                    </w:rPr>
                  </w:pPr>
                </w:p>
              </w:tc>
            </w:tr>
            <w:tr w14:paraId="75BDC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619" w:type="pct"/>
                  <w:tcBorders>
                    <w:left w:val="nil"/>
                    <w:right w:val="single" w:color="auto" w:sz="4" w:space="0"/>
                    <w:tl2br w:val="nil"/>
                    <w:tr2bl w:val="nil"/>
                  </w:tcBorders>
                  <w:noWrap w:val="0"/>
                  <w:vAlign w:val="center"/>
                </w:tcPr>
                <w:p w14:paraId="542D1214">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打磨废气</w:t>
                  </w:r>
                </w:p>
              </w:tc>
              <w:tc>
                <w:tcPr>
                  <w:tcW w:w="103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2668F4">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负压密闭车间+水帘柜+布袋除尘器</w:t>
                  </w:r>
                  <w:r>
                    <w:rPr>
                      <w:rFonts w:hint="eastAsia" w:ascii="Times New Roman" w:hAnsi="Times New Roman" w:eastAsia="宋体" w:cs="Times New Roman"/>
                      <w:color w:val="auto"/>
                      <w:sz w:val="21"/>
                      <w:szCs w:val="24"/>
                      <w:lang w:val="en-US" w:eastAsia="zh-CN"/>
                    </w:rPr>
                    <w:t>（TA00</w:t>
                  </w:r>
                  <w:r>
                    <w:rPr>
                      <w:rFonts w:hint="eastAsia" w:ascii="Times New Roman" w:hAnsi="Times New Roman" w:cs="Times New Roman"/>
                      <w:color w:val="auto"/>
                      <w:sz w:val="21"/>
                      <w:szCs w:val="24"/>
                      <w:lang w:val="en-US" w:eastAsia="zh-CN"/>
                    </w:rPr>
                    <w:t>2</w:t>
                  </w:r>
                  <w:r>
                    <w:rPr>
                      <w:rFonts w:hint="eastAsia" w:ascii="Times New Roman" w:hAnsi="Times New Roman" w:eastAsia="宋体" w:cs="Times New Roman"/>
                      <w:color w:val="auto"/>
                      <w:sz w:val="21"/>
                      <w:szCs w:val="24"/>
                      <w:lang w:val="en-US" w:eastAsia="zh-CN"/>
                    </w:rPr>
                    <w:t>）</w:t>
                  </w:r>
                </w:p>
              </w:tc>
              <w:tc>
                <w:tcPr>
                  <w:tcW w:w="2342" w:type="pct"/>
                  <w:vMerge w:val="continue"/>
                  <w:tcBorders>
                    <w:left w:val="single" w:color="auto" w:sz="4" w:space="0"/>
                    <w:right w:val="nil"/>
                    <w:tl2br w:val="nil"/>
                    <w:tr2bl w:val="nil"/>
                  </w:tcBorders>
                  <w:noWrap w:val="0"/>
                  <w:vAlign w:val="center"/>
                </w:tcPr>
                <w:p w14:paraId="6695034C">
                  <w:pPr>
                    <w:pStyle w:val="30"/>
                    <w:spacing w:beforeLines="0" w:afterLines="0"/>
                    <w:rPr>
                      <w:rFonts w:hint="default" w:ascii="Times New Roman" w:hAnsi="Times New Roman" w:eastAsia="Times New Roman" w:cs="Times New Roman"/>
                      <w:color w:val="auto"/>
                      <w:sz w:val="21"/>
                      <w:szCs w:val="24"/>
                    </w:rPr>
                  </w:pPr>
                </w:p>
              </w:tc>
            </w:tr>
          </w:tbl>
          <w:p w14:paraId="310F8E19">
            <w:pPr>
              <w:pStyle w:val="29"/>
              <w:bidi w:val="0"/>
              <w:rPr>
                <w:rFonts w:hint="default" w:ascii="Times New Roman" w:hAnsi="Times New Roman" w:cs="Times New Roman"/>
                <w:color w:val="auto"/>
              </w:rPr>
            </w:pPr>
            <w:r>
              <w:rPr>
                <w:rFonts w:hint="default" w:ascii="Times New Roman" w:hAnsi="Times New Roman" w:cs="Times New Roman"/>
                <w:b/>
                <w:bCs/>
                <w:color w:val="auto"/>
              </w:rPr>
              <w:t>1.5 非正常排放</w:t>
            </w:r>
          </w:p>
          <w:p w14:paraId="797EB1B8">
            <w:pPr>
              <w:pStyle w:val="29"/>
              <w:bidi w:val="0"/>
              <w:rPr>
                <w:rFonts w:hint="default" w:ascii="Times New Roman" w:hAnsi="Times New Roman" w:cs="Times New Roman"/>
                <w:color w:val="auto"/>
              </w:rPr>
            </w:pPr>
            <w:r>
              <w:rPr>
                <w:rFonts w:hint="default" w:ascii="Times New Roman" w:hAnsi="Times New Roman" w:cs="Times New Roman"/>
                <w:color w:val="auto"/>
              </w:rPr>
              <w:t>因工作人员工作失误，使废气环保措施故障或未启动，导致废气未经处理直接排放至项目所在区域大气环境。</w:t>
            </w:r>
          </w:p>
          <w:p w14:paraId="770FBA48">
            <w:pPr>
              <w:pStyle w:val="29"/>
              <w:bidi w:val="0"/>
              <w:rPr>
                <w:rFonts w:hint="default" w:ascii="Times New Roman" w:hAnsi="Times New Roman" w:cs="Times New Roman"/>
                <w:color w:val="auto"/>
              </w:rPr>
            </w:pPr>
            <w:r>
              <w:rPr>
                <w:rFonts w:hint="default" w:ascii="Times New Roman" w:hAnsi="Times New Roman" w:cs="Times New Roman"/>
                <w:color w:val="auto"/>
              </w:rPr>
              <w:t>本项目废气非正常排放情况见表4-</w:t>
            </w:r>
            <w:r>
              <w:rPr>
                <w:rFonts w:hint="eastAsia" w:ascii="Times New Roman" w:hAnsi="Times New Roman" w:cs="Times New Roman"/>
                <w:color w:val="auto"/>
                <w:lang w:val="en-US" w:eastAsia="zh-CN"/>
              </w:rPr>
              <w:t>7</w:t>
            </w:r>
            <w:r>
              <w:rPr>
                <w:rFonts w:hint="default" w:ascii="Times New Roman" w:hAnsi="Times New Roman" w:cs="Times New Roman"/>
                <w:color w:val="auto"/>
              </w:rPr>
              <w:t>。</w:t>
            </w:r>
          </w:p>
          <w:p w14:paraId="73DB8A74">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w:t>
            </w:r>
            <w:r>
              <w:rPr>
                <w:rFonts w:hint="eastAsia" w:ascii="Times New Roman" w:hAnsi="Times New Roman" w:cs="Times New Roman"/>
                <w:color w:val="auto"/>
                <w:lang w:val="en-US" w:eastAsia="zh-CN"/>
              </w:rPr>
              <w:t>7</w:t>
            </w:r>
            <w:r>
              <w:rPr>
                <w:rFonts w:hint="default" w:ascii="Times New Roman" w:hAnsi="Times New Roman" w:cs="Times New Roman"/>
                <w:color w:val="auto"/>
                <w:lang w:val="en-US" w:eastAsia="zh-CN"/>
              </w:rPr>
              <w:t xml:space="preserve">  废气非正常排放情况</w:t>
            </w:r>
          </w:p>
          <w:tbl>
            <w:tblPr>
              <w:tblStyle w:val="18"/>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347"/>
              <w:gridCol w:w="766"/>
              <w:gridCol w:w="746"/>
              <w:gridCol w:w="640"/>
              <w:gridCol w:w="794"/>
              <w:gridCol w:w="1195"/>
              <w:gridCol w:w="855"/>
              <w:gridCol w:w="767"/>
            </w:tblGrid>
            <w:tr w14:paraId="4CDED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restart"/>
                  <w:tcBorders>
                    <w:top w:val="single" w:color="auto" w:sz="12" w:space="0"/>
                    <w:left w:val="nil"/>
                    <w:bottom w:val="single" w:color="auto" w:sz="4" w:space="0"/>
                    <w:right w:val="single" w:color="auto" w:sz="4" w:space="0"/>
                    <w:tl2br w:val="nil"/>
                    <w:tr2bl w:val="nil"/>
                  </w:tcBorders>
                  <w:noWrap w:val="0"/>
                  <w:vAlign w:val="center"/>
                </w:tcPr>
                <w:p w14:paraId="3A05B8CA">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非正常排放源</w:t>
                  </w:r>
                </w:p>
              </w:tc>
              <w:tc>
                <w:tcPr>
                  <w:tcW w:w="1347"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A7C8622">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非正常排放原因</w:t>
                  </w:r>
                </w:p>
              </w:tc>
              <w:tc>
                <w:tcPr>
                  <w:tcW w:w="766"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536C30B">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746"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C945EC8">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处理效率</w:t>
                  </w:r>
                </w:p>
              </w:tc>
              <w:tc>
                <w:tcPr>
                  <w:tcW w:w="2629" w:type="dxa"/>
                  <w:gridSpan w:val="3"/>
                  <w:tcBorders>
                    <w:top w:val="single" w:color="auto" w:sz="12" w:space="0"/>
                    <w:left w:val="single" w:color="auto" w:sz="4" w:space="0"/>
                    <w:bottom w:val="single" w:color="auto" w:sz="4" w:space="0"/>
                    <w:right w:val="single" w:color="auto" w:sz="4" w:space="0"/>
                    <w:tl2br w:val="nil"/>
                    <w:tr2bl w:val="nil"/>
                  </w:tcBorders>
                  <w:noWrap w:val="0"/>
                  <w:vAlign w:val="center"/>
                </w:tcPr>
                <w:p w14:paraId="0750DB43">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非正常排放情况</w:t>
                  </w:r>
                </w:p>
              </w:tc>
              <w:tc>
                <w:tcPr>
                  <w:tcW w:w="855"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FFBCDB0">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单次持续时间/h</w:t>
                  </w:r>
                </w:p>
              </w:tc>
              <w:tc>
                <w:tcPr>
                  <w:tcW w:w="767" w:type="dxa"/>
                  <w:vMerge w:val="restart"/>
                  <w:tcBorders>
                    <w:top w:val="single" w:color="auto" w:sz="12" w:space="0"/>
                    <w:left w:val="single" w:color="auto" w:sz="4" w:space="0"/>
                    <w:bottom w:val="single" w:color="auto" w:sz="4" w:space="0"/>
                    <w:right w:val="nil"/>
                    <w:tl2br w:val="nil"/>
                    <w:tr2bl w:val="nil"/>
                  </w:tcBorders>
                  <w:noWrap w:val="0"/>
                  <w:vAlign w:val="center"/>
                </w:tcPr>
                <w:p w14:paraId="6D71E3D9">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年发生频次/年</w:t>
                  </w:r>
                </w:p>
              </w:tc>
            </w:tr>
            <w:tr w14:paraId="0E310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top w:val="single" w:color="auto" w:sz="4" w:space="0"/>
                    <w:left w:val="nil"/>
                    <w:bottom w:val="single" w:color="auto" w:sz="4" w:space="0"/>
                    <w:right w:val="single" w:color="auto" w:sz="4" w:space="0"/>
                    <w:tl2br w:val="nil"/>
                    <w:tr2bl w:val="nil"/>
                  </w:tcBorders>
                  <w:noWrap w:val="0"/>
                  <w:vAlign w:val="center"/>
                </w:tcPr>
                <w:p w14:paraId="094D9109">
                  <w:pPr>
                    <w:pStyle w:val="30"/>
                    <w:spacing w:beforeLines="0" w:afterLines="0"/>
                    <w:rPr>
                      <w:rFonts w:hint="default" w:ascii="Times New Roman" w:hAnsi="Times New Roman" w:cs="Times New Roman"/>
                      <w:color w:val="auto"/>
                      <w:sz w:val="21"/>
                      <w:szCs w:val="21"/>
                    </w:rPr>
                  </w:pPr>
                </w:p>
              </w:tc>
              <w:tc>
                <w:tcPr>
                  <w:tcW w:w="134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8CDC2C3">
                  <w:pPr>
                    <w:pStyle w:val="30"/>
                    <w:spacing w:beforeLines="0" w:afterLines="0"/>
                    <w:rPr>
                      <w:rFonts w:hint="default" w:ascii="Times New Roman" w:hAnsi="Times New Roman" w:cs="Times New Roman"/>
                      <w:color w:val="auto"/>
                      <w:sz w:val="21"/>
                      <w:szCs w:val="21"/>
                    </w:rPr>
                  </w:pPr>
                </w:p>
              </w:tc>
              <w:tc>
                <w:tcPr>
                  <w:tcW w:w="76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CB58C8B">
                  <w:pPr>
                    <w:pStyle w:val="30"/>
                    <w:spacing w:beforeLines="0" w:afterLines="0"/>
                    <w:rPr>
                      <w:rFonts w:hint="default" w:ascii="Times New Roman" w:hAnsi="Times New Roman" w:cs="Times New Roman"/>
                      <w:color w:val="auto"/>
                      <w:sz w:val="21"/>
                      <w:szCs w:val="21"/>
                    </w:rPr>
                  </w:pPr>
                </w:p>
              </w:tc>
              <w:tc>
                <w:tcPr>
                  <w:tcW w:w="7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E8B20DC">
                  <w:pPr>
                    <w:pStyle w:val="30"/>
                    <w:spacing w:beforeLines="0" w:afterLines="0"/>
                    <w:rPr>
                      <w:rFonts w:hint="default" w:ascii="Times New Roman" w:hAnsi="Times New Roman" w:cs="Times New Roman"/>
                      <w:color w:val="auto"/>
                      <w:sz w:val="21"/>
                      <w:szCs w:val="21"/>
                    </w:rPr>
                  </w:pPr>
                </w:p>
              </w:tc>
              <w:tc>
                <w:tcPr>
                  <w:tcW w:w="1434"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315C9195">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w:t>
                  </w:r>
                </w:p>
              </w:tc>
              <w:tc>
                <w:tcPr>
                  <w:tcW w:w="119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1EC31ED5">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排放浓度（mg/m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85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DC5EF2F">
                  <w:pPr>
                    <w:pStyle w:val="30"/>
                    <w:spacing w:beforeLines="0" w:afterLines="0"/>
                    <w:rPr>
                      <w:rFonts w:hint="default" w:ascii="Times New Roman" w:hAnsi="Times New Roman" w:cs="Times New Roman"/>
                      <w:color w:val="auto"/>
                      <w:sz w:val="21"/>
                      <w:szCs w:val="21"/>
                    </w:rPr>
                  </w:pPr>
                </w:p>
              </w:tc>
              <w:tc>
                <w:tcPr>
                  <w:tcW w:w="767" w:type="dxa"/>
                  <w:vMerge w:val="continue"/>
                  <w:tcBorders>
                    <w:top w:val="single" w:color="auto" w:sz="4" w:space="0"/>
                    <w:left w:val="single" w:color="auto" w:sz="4" w:space="0"/>
                    <w:bottom w:val="single" w:color="auto" w:sz="4" w:space="0"/>
                    <w:right w:val="nil"/>
                    <w:tl2br w:val="nil"/>
                    <w:tr2bl w:val="nil"/>
                  </w:tcBorders>
                  <w:noWrap w:val="0"/>
                  <w:vAlign w:val="center"/>
                </w:tcPr>
                <w:p w14:paraId="79BCA38A">
                  <w:pPr>
                    <w:pStyle w:val="30"/>
                    <w:spacing w:beforeLines="0" w:afterLines="0"/>
                    <w:rPr>
                      <w:rFonts w:hint="default" w:ascii="Times New Roman" w:hAnsi="Times New Roman" w:cs="Times New Roman"/>
                      <w:color w:val="auto"/>
                      <w:sz w:val="21"/>
                      <w:szCs w:val="21"/>
                    </w:rPr>
                  </w:pPr>
                </w:p>
              </w:tc>
            </w:tr>
            <w:tr w14:paraId="4AA8C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top w:val="single" w:color="auto" w:sz="4" w:space="0"/>
                    <w:left w:val="nil"/>
                    <w:bottom w:val="single" w:color="auto" w:sz="4" w:space="0"/>
                    <w:right w:val="single" w:color="auto" w:sz="4" w:space="0"/>
                    <w:tl2br w:val="nil"/>
                    <w:tr2bl w:val="nil"/>
                  </w:tcBorders>
                  <w:noWrap w:val="0"/>
                  <w:vAlign w:val="center"/>
                </w:tcPr>
                <w:p w14:paraId="297EF431">
                  <w:pPr>
                    <w:pStyle w:val="30"/>
                    <w:spacing w:beforeLines="0" w:afterLines="0"/>
                    <w:rPr>
                      <w:rFonts w:hint="default" w:ascii="Times New Roman" w:hAnsi="Times New Roman" w:cs="Times New Roman"/>
                      <w:color w:val="auto"/>
                      <w:sz w:val="21"/>
                      <w:szCs w:val="21"/>
                    </w:rPr>
                  </w:pPr>
                </w:p>
              </w:tc>
              <w:tc>
                <w:tcPr>
                  <w:tcW w:w="134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91B62BB">
                  <w:pPr>
                    <w:pStyle w:val="30"/>
                    <w:spacing w:beforeLines="0" w:afterLines="0"/>
                    <w:rPr>
                      <w:rFonts w:hint="default" w:ascii="Times New Roman" w:hAnsi="Times New Roman" w:cs="Times New Roman"/>
                      <w:color w:val="auto"/>
                      <w:sz w:val="21"/>
                      <w:szCs w:val="21"/>
                    </w:rPr>
                  </w:pPr>
                </w:p>
              </w:tc>
              <w:tc>
                <w:tcPr>
                  <w:tcW w:w="76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CD9BE5">
                  <w:pPr>
                    <w:pStyle w:val="30"/>
                    <w:spacing w:beforeLines="0" w:afterLines="0"/>
                    <w:rPr>
                      <w:rFonts w:hint="default" w:ascii="Times New Roman" w:hAnsi="Times New Roman" w:cs="Times New Roman"/>
                      <w:color w:val="auto"/>
                      <w:sz w:val="21"/>
                      <w:szCs w:val="21"/>
                    </w:rPr>
                  </w:pPr>
                </w:p>
              </w:tc>
              <w:tc>
                <w:tcPr>
                  <w:tcW w:w="7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118D959">
                  <w:pPr>
                    <w:pStyle w:val="30"/>
                    <w:spacing w:beforeLines="0" w:afterLines="0"/>
                    <w:rPr>
                      <w:rFonts w:hint="default" w:ascii="Times New Roman" w:hAnsi="Times New Roman" w:cs="Times New Roman"/>
                      <w:color w:val="auto"/>
                      <w:sz w:val="21"/>
                      <w:szCs w:val="21"/>
                    </w:rPr>
                  </w:pPr>
                </w:p>
              </w:tc>
              <w:tc>
                <w:tcPr>
                  <w:tcW w:w="6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204AD87">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kg/h</w:t>
                  </w:r>
                </w:p>
              </w:tc>
              <w:tc>
                <w:tcPr>
                  <w:tcW w:w="7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E45C4E">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t/a</w:t>
                  </w:r>
                </w:p>
              </w:tc>
              <w:tc>
                <w:tcPr>
                  <w:tcW w:w="119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E570090">
                  <w:pPr>
                    <w:pStyle w:val="30"/>
                    <w:spacing w:beforeLines="0" w:afterLines="0"/>
                    <w:rPr>
                      <w:rFonts w:hint="default" w:ascii="Times New Roman" w:hAnsi="Times New Roman" w:cs="Times New Roman"/>
                      <w:color w:val="auto"/>
                      <w:sz w:val="21"/>
                      <w:szCs w:val="21"/>
                    </w:rPr>
                  </w:pPr>
                </w:p>
              </w:tc>
              <w:tc>
                <w:tcPr>
                  <w:tcW w:w="85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D7796B6">
                  <w:pPr>
                    <w:pStyle w:val="30"/>
                    <w:spacing w:beforeLines="0" w:afterLines="0"/>
                    <w:rPr>
                      <w:rFonts w:hint="default" w:ascii="Times New Roman" w:hAnsi="Times New Roman" w:cs="Times New Roman"/>
                      <w:color w:val="auto"/>
                      <w:sz w:val="21"/>
                      <w:szCs w:val="21"/>
                    </w:rPr>
                  </w:pPr>
                </w:p>
              </w:tc>
              <w:tc>
                <w:tcPr>
                  <w:tcW w:w="767" w:type="dxa"/>
                  <w:vMerge w:val="continue"/>
                  <w:tcBorders>
                    <w:top w:val="single" w:color="auto" w:sz="4" w:space="0"/>
                    <w:left w:val="single" w:color="auto" w:sz="4" w:space="0"/>
                    <w:bottom w:val="single" w:color="auto" w:sz="4" w:space="0"/>
                    <w:right w:val="nil"/>
                    <w:tl2br w:val="nil"/>
                    <w:tr2bl w:val="nil"/>
                  </w:tcBorders>
                  <w:noWrap w:val="0"/>
                  <w:vAlign w:val="center"/>
                </w:tcPr>
                <w:p w14:paraId="7DDFAFA3">
                  <w:pPr>
                    <w:pStyle w:val="30"/>
                    <w:spacing w:beforeLines="0" w:afterLines="0"/>
                    <w:rPr>
                      <w:rFonts w:hint="default" w:ascii="Times New Roman" w:hAnsi="Times New Roman" w:cs="Times New Roman"/>
                      <w:color w:val="auto"/>
                      <w:sz w:val="21"/>
                      <w:szCs w:val="21"/>
                    </w:rPr>
                  </w:pPr>
                </w:p>
              </w:tc>
            </w:tr>
            <w:tr w14:paraId="48FAB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restart"/>
                  <w:tcBorders>
                    <w:top w:val="single" w:color="auto" w:sz="4" w:space="0"/>
                    <w:left w:val="nil"/>
                    <w:right w:val="single" w:color="auto" w:sz="4" w:space="0"/>
                    <w:tl2br w:val="nil"/>
                    <w:tr2bl w:val="nil"/>
                  </w:tcBorders>
                  <w:noWrap w:val="0"/>
                  <w:vAlign w:val="center"/>
                </w:tcPr>
                <w:p w14:paraId="130DA71E">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DA001</w:t>
                  </w:r>
                </w:p>
              </w:tc>
              <w:tc>
                <w:tcPr>
                  <w:tcW w:w="1347" w:type="dxa"/>
                  <w:vMerge w:val="restart"/>
                  <w:tcBorders>
                    <w:top w:val="single" w:color="auto" w:sz="4" w:space="0"/>
                    <w:left w:val="single" w:color="auto" w:sz="4" w:space="0"/>
                    <w:right w:val="single" w:color="auto" w:sz="4" w:space="0"/>
                    <w:tl2br w:val="nil"/>
                    <w:tr2bl w:val="nil"/>
                  </w:tcBorders>
                  <w:noWrap w:val="0"/>
                  <w:vAlign w:val="center"/>
                </w:tcPr>
                <w:p w14:paraId="52CAB4C3">
                  <w:pPr>
                    <w:pStyle w:val="30"/>
                    <w:spacing w:beforeLines="0" w:afterLines="0"/>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4"/>
                      <w:lang w:val="en-US" w:eastAsia="zh-CN"/>
                    </w:rPr>
                    <w:t>水帘+干式过滤+活性炭吸附脱附+催化燃烧故障</w:t>
                  </w:r>
                </w:p>
              </w:tc>
              <w:tc>
                <w:tcPr>
                  <w:tcW w:w="7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5B8336">
                  <w:pPr>
                    <w:pStyle w:val="30"/>
                    <w:spacing w:beforeLines="0" w:afterLine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74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32FDA40">
                  <w:pPr>
                    <w:pStyle w:val="30"/>
                    <w:spacing w:beforeLines="0" w:afterLine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6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0F5C2E">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0.285</w:t>
                  </w:r>
                </w:p>
              </w:tc>
              <w:tc>
                <w:tcPr>
                  <w:tcW w:w="7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325429">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0.6836</w:t>
                  </w:r>
                </w:p>
              </w:tc>
              <w:tc>
                <w:tcPr>
                  <w:tcW w:w="11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58AB96">
                  <w:pPr>
                    <w:pStyle w:val="30"/>
                    <w:bidi w:val="0"/>
                    <w:ind w:firstLine="0" w:firstLineChars="0"/>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9.5</w:t>
                  </w:r>
                </w:p>
              </w:tc>
              <w:tc>
                <w:tcPr>
                  <w:tcW w:w="855" w:type="dxa"/>
                  <w:vMerge w:val="restart"/>
                  <w:tcBorders>
                    <w:top w:val="single" w:color="auto" w:sz="4" w:space="0"/>
                    <w:left w:val="single" w:color="auto" w:sz="4" w:space="0"/>
                    <w:right w:val="single" w:color="auto" w:sz="4" w:space="0"/>
                    <w:tl2br w:val="nil"/>
                    <w:tr2bl w:val="nil"/>
                  </w:tcBorders>
                  <w:noWrap w:val="0"/>
                  <w:vAlign w:val="center"/>
                </w:tcPr>
                <w:p w14:paraId="1A05C925">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767" w:type="dxa"/>
                  <w:vMerge w:val="restart"/>
                  <w:tcBorders>
                    <w:top w:val="single" w:color="auto" w:sz="4" w:space="0"/>
                    <w:left w:val="single" w:color="auto" w:sz="4" w:space="0"/>
                    <w:right w:val="nil"/>
                    <w:tl2br w:val="nil"/>
                    <w:tr2bl w:val="nil"/>
                  </w:tcBorders>
                  <w:noWrap w:val="0"/>
                  <w:vAlign w:val="center"/>
                </w:tcPr>
                <w:p w14:paraId="3E322F4F">
                  <w:pPr>
                    <w:pStyle w:val="30"/>
                    <w:spacing w:beforeLines="0" w:afterLine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w:t>
                  </w:r>
                </w:p>
              </w:tc>
            </w:tr>
            <w:tr w14:paraId="66816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nil"/>
                    <w:right w:val="single" w:color="auto" w:sz="4" w:space="0"/>
                    <w:tl2br w:val="nil"/>
                    <w:tr2bl w:val="nil"/>
                  </w:tcBorders>
                  <w:noWrap w:val="0"/>
                  <w:vAlign w:val="center"/>
                </w:tcPr>
                <w:p w14:paraId="2C6BD8E8">
                  <w:pPr>
                    <w:pStyle w:val="30"/>
                    <w:spacing w:beforeLines="0" w:afterLines="0"/>
                    <w:rPr>
                      <w:rFonts w:hint="default" w:ascii="Times New Roman" w:hAnsi="Times New Roman" w:cs="Times New Roman"/>
                      <w:color w:val="auto"/>
                      <w:sz w:val="21"/>
                      <w:szCs w:val="21"/>
                    </w:rPr>
                  </w:pPr>
                </w:p>
              </w:tc>
              <w:tc>
                <w:tcPr>
                  <w:tcW w:w="1347" w:type="dxa"/>
                  <w:vMerge w:val="continue"/>
                  <w:tcBorders>
                    <w:left w:val="single" w:color="auto" w:sz="4" w:space="0"/>
                    <w:right w:val="single" w:color="auto" w:sz="4" w:space="0"/>
                    <w:tl2br w:val="nil"/>
                    <w:tr2bl w:val="nil"/>
                  </w:tcBorders>
                  <w:noWrap w:val="0"/>
                  <w:vAlign w:val="center"/>
                </w:tcPr>
                <w:p w14:paraId="07C487CD">
                  <w:pPr>
                    <w:pStyle w:val="30"/>
                    <w:ind w:firstLine="0" w:firstLineChars="0"/>
                    <w:rPr>
                      <w:rFonts w:hint="default" w:ascii="Times New Roman" w:hAnsi="Times New Roman" w:eastAsia="宋体" w:cs="Times New Roman"/>
                      <w:color w:val="auto"/>
                      <w:kern w:val="2"/>
                      <w:sz w:val="21"/>
                      <w:szCs w:val="21"/>
                      <w:lang w:val="en-US" w:eastAsia="zh-CN" w:bidi="ar-SA"/>
                    </w:rPr>
                  </w:pPr>
                </w:p>
              </w:tc>
              <w:tc>
                <w:tcPr>
                  <w:tcW w:w="7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EF88AC">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非甲烷总烃</w:t>
                  </w:r>
                </w:p>
              </w:tc>
              <w:tc>
                <w:tcPr>
                  <w:tcW w:w="74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90BBB0">
                  <w:pPr>
                    <w:pStyle w:val="30"/>
                    <w:spacing w:beforeLines="0" w:afterLine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6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2E9F0E">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1.6125</w:t>
                  </w:r>
                </w:p>
              </w:tc>
              <w:tc>
                <w:tcPr>
                  <w:tcW w:w="7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EAA8A5">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3.87</w:t>
                  </w:r>
                </w:p>
              </w:tc>
              <w:tc>
                <w:tcPr>
                  <w:tcW w:w="119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55D9EB">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53.75</w:t>
                  </w:r>
                </w:p>
              </w:tc>
              <w:tc>
                <w:tcPr>
                  <w:tcW w:w="855" w:type="dxa"/>
                  <w:vMerge w:val="continue"/>
                  <w:tcBorders>
                    <w:left w:val="single" w:color="auto" w:sz="4" w:space="0"/>
                    <w:right w:val="single" w:color="auto" w:sz="4" w:space="0"/>
                    <w:tl2br w:val="nil"/>
                    <w:tr2bl w:val="nil"/>
                  </w:tcBorders>
                  <w:noWrap w:val="0"/>
                  <w:vAlign w:val="center"/>
                </w:tcPr>
                <w:p w14:paraId="26955264">
                  <w:pPr>
                    <w:pStyle w:val="30"/>
                    <w:spacing w:beforeLines="0" w:afterLines="0"/>
                    <w:rPr>
                      <w:rFonts w:hint="default" w:ascii="Times New Roman" w:hAnsi="Times New Roman" w:cs="Times New Roman"/>
                      <w:color w:val="auto"/>
                      <w:sz w:val="21"/>
                      <w:szCs w:val="21"/>
                    </w:rPr>
                  </w:pPr>
                </w:p>
              </w:tc>
              <w:tc>
                <w:tcPr>
                  <w:tcW w:w="767" w:type="dxa"/>
                  <w:vMerge w:val="continue"/>
                  <w:tcBorders>
                    <w:left w:val="single" w:color="auto" w:sz="4" w:space="0"/>
                    <w:right w:val="nil"/>
                    <w:tl2br w:val="nil"/>
                    <w:tr2bl w:val="nil"/>
                  </w:tcBorders>
                  <w:noWrap w:val="0"/>
                  <w:vAlign w:val="center"/>
                </w:tcPr>
                <w:p w14:paraId="5A95482A">
                  <w:pPr>
                    <w:pStyle w:val="30"/>
                    <w:spacing w:beforeLines="0" w:afterLines="0"/>
                    <w:rPr>
                      <w:rFonts w:hint="default" w:ascii="Times New Roman" w:hAnsi="Times New Roman" w:cs="Times New Roman"/>
                      <w:color w:val="auto"/>
                      <w:sz w:val="21"/>
                      <w:szCs w:val="21"/>
                    </w:rPr>
                  </w:pPr>
                </w:p>
              </w:tc>
            </w:tr>
            <w:tr w14:paraId="306DF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nil"/>
                    <w:bottom w:val="single" w:color="auto" w:sz="12" w:space="0"/>
                    <w:right w:val="single" w:color="auto" w:sz="4" w:space="0"/>
                    <w:tl2br w:val="nil"/>
                    <w:tr2bl w:val="nil"/>
                  </w:tcBorders>
                  <w:noWrap w:val="0"/>
                  <w:vAlign w:val="center"/>
                </w:tcPr>
                <w:p w14:paraId="62CEF060">
                  <w:pPr>
                    <w:pStyle w:val="30"/>
                    <w:spacing w:beforeLines="0" w:afterLines="0"/>
                    <w:rPr>
                      <w:rFonts w:hint="default" w:ascii="Times New Roman" w:hAnsi="Times New Roman" w:cs="Times New Roman"/>
                      <w:color w:val="auto"/>
                      <w:sz w:val="21"/>
                      <w:szCs w:val="21"/>
                    </w:rPr>
                  </w:pPr>
                </w:p>
              </w:tc>
              <w:tc>
                <w:tcPr>
                  <w:tcW w:w="1347" w:type="dxa"/>
                  <w:vMerge w:val="continue"/>
                  <w:tcBorders>
                    <w:left w:val="single" w:color="auto" w:sz="4" w:space="0"/>
                    <w:bottom w:val="single" w:color="auto" w:sz="12" w:space="0"/>
                    <w:right w:val="single" w:color="auto" w:sz="4" w:space="0"/>
                    <w:tl2br w:val="nil"/>
                    <w:tr2bl w:val="nil"/>
                  </w:tcBorders>
                  <w:noWrap w:val="0"/>
                  <w:vAlign w:val="center"/>
                </w:tcPr>
                <w:p w14:paraId="33863243">
                  <w:pPr>
                    <w:pStyle w:val="30"/>
                    <w:ind w:firstLine="0" w:firstLineChars="0"/>
                    <w:rPr>
                      <w:rFonts w:hint="default" w:ascii="Times New Roman" w:hAnsi="Times New Roman" w:eastAsia="宋体" w:cs="Times New Roman"/>
                      <w:color w:val="auto"/>
                      <w:kern w:val="2"/>
                      <w:sz w:val="21"/>
                      <w:szCs w:val="21"/>
                      <w:lang w:val="en-US" w:eastAsia="zh-CN" w:bidi="ar-SA"/>
                    </w:rPr>
                  </w:pPr>
                </w:p>
              </w:tc>
              <w:tc>
                <w:tcPr>
                  <w:tcW w:w="766"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31BE0F6">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二甲苯</w:t>
                  </w:r>
                </w:p>
              </w:tc>
              <w:tc>
                <w:tcPr>
                  <w:tcW w:w="746"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C6A99BB">
                  <w:pPr>
                    <w:pStyle w:val="30"/>
                    <w:spacing w:beforeLines="0" w:afterLine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64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569311E">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0.85875</w:t>
                  </w:r>
                </w:p>
              </w:tc>
              <w:tc>
                <w:tcPr>
                  <w:tcW w:w="79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5DA89965">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2.061</w:t>
                  </w:r>
                </w:p>
              </w:tc>
              <w:tc>
                <w:tcPr>
                  <w:tcW w:w="1195"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D4EEF2B">
                  <w:pPr>
                    <w:pStyle w:val="30"/>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28.625</w:t>
                  </w:r>
                </w:p>
              </w:tc>
              <w:tc>
                <w:tcPr>
                  <w:tcW w:w="855" w:type="dxa"/>
                  <w:vMerge w:val="continue"/>
                  <w:tcBorders>
                    <w:left w:val="single" w:color="auto" w:sz="4" w:space="0"/>
                    <w:bottom w:val="single" w:color="auto" w:sz="12" w:space="0"/>
                    <w:right w:val="single" w:color="auto" w:sz="4" w:space="0"/>
                    <w:tl2br w:val="nil"/>
                    <w:tr2bl w:val="nil"/>
                  </w:tcBorders>
                  <w:noWrap w:val="0"/>
                  <w:vAlign w:val="center"/>
                </w:tcPr>
                <w:p w14:paraId="007E82A3">
                  <w:pPr>
                    <w:pStyle w:val="30"/>
                    <w:spacing w:beforeLines="0" w:afterLines="0"/>
                    <w:rPr>
                      <w:rFonts w:hint="default" w:ascii="Times New Roman" w:hAnsi="Times New Roman" w:cs="Times New Roman"/>
                      <w:color w:val="auto"/>
                      <w:sz w:val="21"/>
                      <w:szCs w:val="21"/>
                    </w:rPr>
                  </w:pPr>
                </w:p>
              </w:tc>
              <w:tc>
                <w:tcPr>
                  <w:tcW w:w="767" w:type="dxa"/>
                  <w:vMerge w:val="continue"/>
                  <w:tcBorders>
                    <w:left w:val="single" w:color="auto" w:sz="4" w:space="0"/>
                    <w:bottom w:val="single" w:color="auto" w:sz="12" w:space="0"/>
                    <w:right w:val="nil"/>
                    <w:tl2br w:val="nil"/>
                    <w:tr2bl w:val="nil"/>
                  </w:tcBorders>
                  <w:noWrap w:val="0"/>
                  <w:vAlign w:val="center"/>
                </w:tcPr>
                <w:p w14:paraId="3DCBD763">
                  <w:pPr>
                    <w:pStyle w:val="30"/>
                    <w:spacing w:beforeLines="0" w:afterLines="0"/>
                    <w:rPr>
                      <w:rFonts w:hint="default" w:ascii="Times New Roman" w:hAnsi="Times New Roman" w:cs="Times New Roman"/>
                      <w:color w:val="auto"/>
                      <w:sz w:val="21"/>
                      <w:szCs w:val="21"/>
                    </w:rPr>
                  </w:pPr>
                </w:p>
              </w:tc>
            </w:tr>
          </w:tbl>
          <w:p w14:paraId="44E62FBD">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根据上述内容可知，</w:t>
            </w:r>
            <w:r>
              <w:rPr>
                <w:rFonts w:hint="eastAsia" w:ascii="Times New Roman" w:hAnsi="Times New Roman" w:cs="Times New Roman"/>
                <w:color w:val="auto"/>
                <w:lang w:val="en-US" w:eastAsia="zh-CN"/>
              </w:rPr>
              <w:t>水帘+干式过滤+活性炭吸附脱附+催化燃烧故障</w:t>
            </w:r>
            <w:r>
              <w:rPr>
                <w:rFonts w:hint="default" w:ascii="Times New Roman" w:hAnsi="Times New Roman" w:cs="Times New Roman"/>
                <w:color w:val="auto"/>
              </w:rPr>
              <w:t>时，</w:t>
            </w:r>
            <w:r>
              <w:rPr>
                <w:rFonts w:hint="eastAsia" w:ascii="Times New Roman" w:hAnsi="Times New Roman" w:cs="Times New Roman"/>
                <w:color w:val="auto"/>
                <w:lang w:val="en-US" w:eastAsia="zh-CN"/>
              </w:rPr>
              <w:t>颗粒物、非甲烷总烃、二甲苯会对项目周边大气环境造成较大影响。</w:t>
            </w:r>
          </w:p>
          <w:p w14:paraId="6BE192AA">
            <w:pPr>
              <w:pStyle w:val="29"/>
              <w:bidi w:val="0"/>
              <w:rPr>
                <w:rFonts w:hint="default" w:ascii="Times New Roman" w:hAnsi="Times New Roman" w:cs="Times New Roman"/>
                <w:color w:val="auto"/>
              </w:rPr>
            </w:pPr>
            <w:r>
              <w:rPr>
                <w:rFonts w:hint="default" w:ascii="Times New Roman" w:hAnsi="Times New Roman" w:cs="Times New Roman"/>
                <w:color w:val="auto"/>
              </w:rPr>
              <w:t>为避免出现废气环保设施故障，</w:t>
            </w:r>
            <w:r>
              <w:rPr>
                <w:rFonts w:hint="eastAsia" w:ascii="Times New Roman" w:hAnsi="Times New Roman" w:cs="Times New Roman"/>
                <w:color w:val="auto"/>
                <w:lang w:val="en-US" w:eastAsia="zh-CN"/>
              </w:rPr>
              <w:t>本</w:t>
            </w:r>
            <w:r>
              <w:rPr>
                <w:rFonts w:hint="default" w:ascii="Times New Roman" w:hAnsi="Times New Roman" w:cs="Times New Roman"/>
                <w:color w:val="auto"/>
              </w:rPr>
              <w:t>环评要求建设单位应定期对环保设施进行检修，建立台账管理制度，当设备出现故障时，应及时停止生产，并对废气环保设施进行检修。</w:t>
            </w:r>
          </w:p>
          <w:p w14:paraId="34E21C13">
            <w:pPr>
              <w:pStyle w:val="29"/>
              <w:bidi w:val="0"/>
              <w:rPr>
                <w:rFonts w:hint="default" w:ascii="Times New Roman" w:hAnsi="Times New Roman" w:cs="Times New Roman"/>
                <w:color w:val="auto"/>
              </w:rPr>
            </w:pPr>
            <w:r>
              <w:rPr>
                <w:rFonts w:hint="default" w:ascii="Times New Roman" w:hAnsi="Times New Roman" w:cs="Times New Roman"/>
                <w:b/>
                <w:bCs/>
                <w:color w:val="auto"/>
              </w:rPr>
              <w:t>1.6 废气监测计划</w:t>
            </w:r>
          </w:p>
          <w:p w14:paraId="5B8A7C9A">
            <w:pPr>
              <w:pStyle w:val="29"/>
              <w:bidi w:val="0"/>
              <w:rPr>
                <w:rFonts w:hint="eastAsia" w:ascii="Times New Roman" w:hAnsi="Times New Roman" w:cs="Times New Roman"/>
                <w:color w:val="auto"/>
                <w:lang w:val="en-US" w:eastAsia="zh-CN"/>
              </w:rPr>
            </w:pPr>
            <w:r>
              <w:rPr>
                <w:rFonts w:hint="default" w:ascii="Times New Roman" w:hAnsi="Times New Roman" w:cs="Times New Roman"/>
                <w:color w:val="auto"/>
              </w:rPr>
              <w:t>参考</w:t>
            </w:r>
            <w:r>
              <w:rPr>
                <w:rFonts w:hint="eastAsia" w:ascii="Times New Roman" w:hAnsi="Times New Roman" w:cs="Times New Roman"/>
                <w:color w:val="auto"/>
                <w:lang w:eastAsia="zh-CN"/>
              </w:rPr>
              <w:t>《</w:t>
            </w:r>
            <w:r>
              <w:rPr>
                <w:rFonts w:hint="default" w:ascii="Times New Roman" w:hAnsi="Times New Roman" w:cs="Times New Roman"/>
                <w:color w:val="auto"/>
              </w:rPr>
              <w:t>HT 819-2017 排污单位自行监测技术指南 总则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排污单位自行监测技术指南 涂装</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（HJ 1086—2020）内容，本项目运营期废气监测计划见表4-8。</w:t>
            </w:r>
          </w:p>
          <w:p w14:paraId="384B75BB">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w:t>
            </w:r>
            <w:r>
              <w:rPr>
                <w:rFonts w:hint="eastAsia" w:ascii="Times New Roman" w:hAnsi="Times New Roman" w:cs="Times New Roman"/>
                <w:color w:val="auto"/>
                <w:lang w:val="en-US" w:eastAsia="zh-CN"/>
              </w:rPr>
              <w:t>8</w:t>
            </w:r>
            <w:r>
              <w:rPr>
                <w:rFonts w:hint="default" w:ascii="Times New Roman" w:hAnsi="Times New Roman" w:cs="Times New Roman"/>
                <w:color w:val="auto"/>
                <w:lang w:val="en-US" w:eastAsia="zh-CN"/>
              </w:rPr>
              <w:t xml:space="preserve">  运营期废气监测计划</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215"/>
              <w:gridCol w:w="1292"/>
              <w:gridCol w:w="970"/>
              <w:gridCol w:w="3661"/>
            </w:tblGrid>
            <w:tr w14:paraId="007B4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8" w:type="dxa"/>
                  <w:tcBorders>
                    <w:top w:val="single" w:color="auto" w:sz="12" w:space="0"/>
                    <w:left w:val="nil"/>
                    <w:bottom w:val="single" w:color="auto" w:sz="4" w:space="0"/>
                    <w:right w:val="single" w:color="auto" w:sz="4" w:space="0"/>
                    <w:tl2br w:val="nil"/>
                    <w:tr2bl w:val="nil"/>
                  </w:tcBorders>
                  <w:noWrap w:val="0"/>
                  <w:vAlign w:val="center"/>
                </w:tcPr>
                <w:p w14:paraId="4172EF56">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排放方式</w:t>
                  </w:r>
                </w:p>
              </w:tc>
              <w:tc>
                <w:tcPr>
                  <w:tcW w:w="121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29D3BFA">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监测指标</w:t>
                  </w:r>
                </w:p>
              </w:tc>
              <w:tc>
                <w:tcPr>
                  <w:tcW w:w="129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582DEC8">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监测位置</w:t>
                  </w:r>
                </w:p>
              </w:tc>
              <w:tc>
                <w:tcPr>
                  <w:tcW w:w="97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861328E">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监测频次</w:t>
                  </w:r>
                </w:p>
              </w:tc>
              <w:tc>
                <w:tcPr>
                  <w:tcW w:w="3661" w:type="dxa"/>
                  <w:tcBorders>
                    <w:top w:val="single" w:color="auto" w:sz="12" w:space="0"/>
                    <w:left w:val="single" w:color="auto" w:sz="4" w:space="0"/>
                    <w:bottom w:val="single" w:color="auto" w:sz="4" w:space="0"/>
                    <w:right w:val="nil"/>
                    <w:tl2br w:val="nil"/>
                    <w:tr2bl w:val="nil"/>
                  </w:tcBorders>
                  <w:noWrap w:val="0"/>
                  <w:vAlign w:val="center"/>
                </w:tcPr>
                <w:p w14:paraId="2119FE90">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执行标准</w:t>
                  </w:r>
                </w:p>
              </w:tc>
            </w:tr>
            <w:tr w14:paraId="58BBA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808" w:type="dxa"/>
                  <w:vMerge w:val="restart"/>
                  <w:tcBorders>
                    <w:top w:val="single" w:color="auto" w:sz="4" w:space="0"/>
                    <w:left w:val="nil"/>
                    <w:right w:val="single" w:color="auto" w:sz="4" w:space="0"/>
                    <w:tl2br w:val="nil"/>
                    <w:tr2bl w:val="nil"/>
                  </w:tcBorders>
                  <w:noWrap w:val="0"/>
                  <w:vAlign w:val="center"/>
                </w:tcPr>
                <w:p w14:paraId="71027223">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有组织</w:t>
                  </w:r>
                </w:p>
              </w:tc>
              <w:tc>
                <w:tcPr>
                  <w:tcW w:w="121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5B95640">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rPr>
                    <w:t>颗粒物</w:t>
                  </w:r>
                </w:p>
              </w:tc>
              <w:tc>
                <w:tcPr>
                  <w:tcW w:w="1292" w:type="dxa"/>
                  <w:vMerge w:val="restart"/>
                  <w:tcBorders>
                    <w:top w:val="single" w:color="auto" w:sz="4" w:space="0"/>
                    <w:left w:val="single" w:color="auto" w:sz="4" w:space="0"/>
                    <w:right w:val="single" w:color="auto" w:sz="4" w:space="0"/>
                    <w:tl2br w:val="nil"/>
                    <w:tr2bl w:val="nil"/>
                  </w:tcBorders>
                  <w:noWrap w:val="0"/>
                  <w:vAlign w:val="center"/>
                </w:tcPr>
                <w:p w14:paraId="2E1F734A">
                  <w:pPr>
                    <w:pStyle w:val="30"/>
                    <w:spacing w:beforeLines="0" w:afterLines="0"/>
                    <w:rPr>
                      <w:rFonts w:hint="eastAsia" w:ascii="Times New Roman" w:hAnsi="Times New Roman" w:eastAsia="宋体" w:cs="Times New Roman"/>
                      <w:color w:val="auto"/>
                      <w:sz w:val="21"/>
                      <w:szCs w:val="21"/>
                      <w:u w:val="single"/>
                      <w:lang w:eastAsia="zh-CN"/>
                    </w:rPr>
                  </w:pPr>
                  <w:r>
                    <w:rPr>
                      <w:rFonts w:hint="eastAsia" w:ascii="Times New Roman" w:hAnsi="Times New Roman" w:eastAsia="Times New Roman" w:cs="Times New Roman"/>
                      <w:color w:val="auto"/>
                      <w:sz w:val="21"/>
                      <w:szCs w:val="21"/>
                      <w:u w:val="single"/>
                    </w:rPr>
                    <w:t>DA001</w:t>
                  </w:r>
                </w:p>
              </w:tc>
              <w:tc>
                <w:tcPr>
                  <w:tcW w:w="970" w:type="dxa"/>
                  <w:tcBorders>
                    <w:top w:val="single" w:color="auto" w:sz="4" w:space="0"/>
                    <w:left w:val="single" w:color="auto" w:sz="4" w:space="0"/>
                    <w:right w:val="single" w:color="auto" w:sz="4" w:space="0"/>
                    <w:tl2br w:val="nil"/>
                    <w:tr2bl w:val="nil"/>
                  </w:tcBorders>
                  <w:noWrap w:val="0"/>
                  <w:vAlign w:val="center"/>
                </w:tcPr>
                <w:p w14:paraId="0325365F">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eastAsia="Times New Roman" w:cs="Times New Roman"/>
                      <w:color w:val="auto"/>
                      <w:sz w:val="21"/>
                      <w:szCs w:val="21"/>
                      <w:u w:val="single"/>
                    </w:rPr>
                    <w:t>1</w:t>
                  </w:r>
                  <w:r>
                    <w:rPr>
                      <w:rFonts w:hint="eastAsia" w:ascii="Times New Roman" w:hAnsi="Times New Roman" w:cs="Times New Roman"/>
                      <w:color w:val="auto"/>
                      <w:sz w:val="21"/>
                      <w:szCs w:val="21"/>
                      <w:u w:val="single"/>
                    </w:rPr>
                    <w:t>次/年</w:t>
                  </w:r>
                </w:p>
              </w:tc>
              <w:tc>
                <w:tcPr>
                  <w:tcW w:w="3661" w:type="dxa"/>
                  <w:tcBorders>
                    <w:top w:val="single" w:color="auto" w:sz="4" w:space="0"/>
                    <w:left w:val="single" w:color="auto" w:sz="4" w:space="0"/>
                    <w:right w:val="nil"/>
                    <w:tl2br w:val="nil"/>
                    <w:tr2bl w:val="nil"/>
                  </w:tcBorders>
                  <w:noWrap w:val="0"/>
                  <w:vAlign w:val="center"/>
                </w:tcPr>
                <w:p w14:paraId="66B17FA4">
                  <w:pPr>
                    <w:pStyle w:val="30"/>
                    <w:spacing w:beforeLines="0" w:afterLines="0"/>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highlight w:val="none"/>
                      <w:u w:val="single"/>
                      <w:lang w:val="en-US" w:eastAsia="zh-CN"/>
                    </w:rPr>
                    <w:t>执行《大气污染物综合排放标准》(GB16297-1996)表2</w:t>
                  </w:r>
                </w:p>
              </w:tc>
            </w:tr>
            <w:tr w14:paraId="39B2F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808" w:type="dxa"/>
                  <w:vMerge w:val="continue"/>
                  <w:tcBorders>
                    <w:left w:val="nil"/>
                    <w:right w:val="single" w:color="auto" w:sz="4" w:space="0"/>
                    <w:tl2br w:val="nil"/>
                    <w:tr2bl w:val="nil"/>
                  </w:tcBorders>
                  <w:noWrap w:val="0"/>
                  <w:vAlign w:val="center"/>
                </w:tcPr>
                <w:p w14:paraId="06C1B1A3">
                  <w:pPr>
                    <w:pStyle w:val="30"/>
                    <w:spacing w:beforeLines="0" w:afterLines="0"/>
                    <w:rPr>
                      <w:color w:val="auto"/>
                      <w:sz w:val="21"/>
                      <w:szCs w:val="21"/>
                      <w:u w:val="single"/>
                    </w:rPr>
                  </w:pPr>
                </w:p>
              </w:tc>
              <w:tc>
                <w:tcPr>
                  <w:tcW w:w="121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62FE70C">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rPr>
                    <w:t>非甲烷总烃</w:t>
                  </w:r>
                  <w:r>
                    <w:rPr>
                      <w:rFonts w:hint="eastAsia" w:ascii="Times New Roman" w:hAnsi="Times New Roman" w:cs="Times New Roman"/>
                      <w:color w:val="auto"/>
                      <w:sz w:val="21"/>
                      <w:szCs w:val="21"/>
                      <w:u w:val="single"/>
                      <w:lang w:eastAsia="zh-CN"/>
                    </w:rPr>
                    <w:t>、</w:t>
                  </w:r>
                  <w:r>
                    <w:rPr>
                      <w:rFonts w:hint="eastAsia" w:ascii="Times New Roman" w:hAnsi="Times New Roman" w:cs="Times New Roman"/>
                      <w:color w:val="auto"/>
                      <w:sz w:val="21"/>
                      <w:szCs w:val="21"/>
                      <w:u w:val="single"/>
                      <w:lang w:val="en-US" w:eastAsia="zh-CN"/>
                    </w:rPr>
                    <w:t>甲苯、二甲苯、苯系物、TVOCs</w:t>
                  </w:r>
                </w:p>
              </w:tc>
              <w:tc>
                <w:tcPr>
                  <w:tcW w:w="1292" w:type="dxa"/>
                  <w:vMerge w:val="continue"/>
                  <w:tcBorders>
                    <w:left w:val="single" w:color="auto" w:sz="4" w:space="0"/>
                    <w:bottom w:val="single" w:color="auto" w:sz="4" w:space="0"/>
                    <w:right w:val="single" w:color="auto" w:sz="4" w:space="0"/>
                    <w:tl2br w:val="nil"/>
                    <w:tr2bl w:val="nil"/>
                  </w:tcBorders>
                  <w:noWrap w:val="0"/>
                  <w:vAlign w:val="center"/>
                </w:tcPr>
                <w:p w14:paraId="2B3D15DE">
                  <w:pPr>
                    <w:pStyle w:val="30"/>
                    <w:spacing w:beforeLines="0" w:afterLines="0"/>
                    <w:rPr>
                      <w:rFonts w:hint="eastAsia" w:ascii="Times New Roman" w:hAnsi="Times New Roman" w:cs="Times New Roman"/>
                      <w:color w:val="auto"/>
                      <w:sz w:val="21"/>
                      <w:szCs w:val="21"/>
                      <w:u w:val="single"/>
                    </w:rPr>
                  </w:pPr>
                </w:p>
              </w:tc>
              <w:tc>
                <w:tcPr>
                  <w:tcW w:w="970" w:type="dxa"/>
                  <w:tcBorders>
                    <w:left w:val="single" w:color="auto" w:sz="4" w:space="0"/>
                    <w:bottom w:val="single" w:color="auto" w:sz="4" w:space="0"/>
                    <w:right w:val="single" w:color="auto" w:sz="4" w:space="0"/>
                    <w:tl2br w:val="nil"/>
                    <w:tr2bl w:val="nil"/>
                  </w:tcBorders>
                  <w:noWrap w:val="0"/>
                  <w:vAlign w:val="center"/>
                </w:tcPr>
                <w:p w14:paraId="22AAF996">
                  <w:pPr>
                    <w:pStyle w:val="30"/>
                    <w:spacing w:beforeLines="0" w:afterLines="0"/>
                    <w:ind w:firstLine="0" w:firstLineChars="0"/>
                    <w:rPr>
                      <w:rFonts w:hint="eastAsia"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rPr>
                    <w:t>1次/</w:t>
                  </w:r>
                  <w:r>
                    <w:rPr>
                      <w:rFonts w:hint="eastAsia" w:ascii="Times New Roman" w:hAnsi="Times New Roman" w:cs="Times New Roman"/>
                      <w:color w:val="auto"/>
                      <w:sz w:val="21"/>
                      <w:szCs w:val="21"/>
                      <w:u w:val="single"/>
                      <w:lang w:val="en-US" w:eastAsia="zh-CN"/>
                    </w:rPr>
                    <w:t>年</w:t>
                  </w:r>
                </w:p>
              </w:tc>
              <w:tc>
                <w:tcPr>
                  <w:tcW w:w="3661" w:type="dxa"/>
                  <w:tcBorders>
                    <w:left w:val="single" w:color="auto" w:sz="4" w:space="0"/>
                    <w:bottom w:val="single" w:color="auto" w:sz="4" w:space="0"/>
                    <w:right w:val="nil"/>
                    <w:tl2br w:val="nil"/>
                    <w:tr2bl w:val="nil"/>
                  </w:tcBorders>
                  <w:noWrap w:val="0"/>
                  <w:vAlign w:val="center"/>
                </w:tcPr>
                <w:p w14:paraId="276FB5A8">
                  <w:pPr>
                    <w:pStyle w:val="30"/>
                    <w:spacing w:beforeLines="0" w:afterLines="0"/>
                    <w:rPr>
                      <w:rFonts w:hint="eastAsia" w:ascii="Times New Roman" w:hAnsi="Times New Roman" w:cs="Times New Roman"/>
                      <w:color w:val="auto"/>
                      <w:sz w:val="21"/>
                      <w:szCs w:val="21"/>
                      <w:u w:val="single"/>
                    </w:rPr>
                  </w:pPr>
                  <w:r>
                    <w:rPr>
                      <w:rFonts w:hint="default" w:ascii="Times New Roman" w:hAnsi="Times New Roman" w:cs="Times New Roman"/>
                      <w:color w:val="auto"/>
                      <w:highlight w:val="none"/>
                      <w:u w:val="single"/>
                      <w:lang w:val="en-US" w:eastAsia="zh-CN"/>
                    </w:rPr>
                    <w:t>执行《表面涂装</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汽车制造及维修</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挥发性有机物、镍排放标准》</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DB43/1356-2017</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lang w:val="en-US" w:eastAsia="zh-CN"/>
                    </w:rPr>
                    <w:t>中表1</w:t>
                  </w:r>
                </w:p>
              </w:tc>
            </w:tr>
            <w:tr w14:paraId="1B079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8" w:type="dxa"/>
                  <w:tcBorders>
                    <w:top w:val="single" w:color="auto" w:sz="4" w:space="0"/>
                    <w:left w:val="nil"/>
                    <w:bottom w:val="single" w:color="auto" w:sz="4" w:space="0"/>
                    <w:right w:val="single" w:color="auto" w:sz="4" w:space="0"/>
                    <w:tl2br w:val="nil"/>
                    <w:tr2bl w:val="nil"/>
                  </w:tcBorders>
                  <w:noWrap w:val="0"/>
                  <w:vAlign w:val="center"/>
                </w:tcPr>
                <w:p w14:paraId="225EEFA0">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无组织</w:t>
                  </w:r>
                </w:p>
              </w:tc>
              <w:tc>
                <w:tcPr>
                  <w:tcW w:w="121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174EE5">
                  <w:pPr>
                    <w:pStyle w:val="3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非甲烷总烃</w:t>
                  </w:r>
                </w:p>
              </w:tc>
              <w:tc>
                <w:tcPr>
                  <w:tcW w:w="129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FD1059">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eastAsia="宋体" w:cs="Times New Roman"/>
                      <w:color w:val="auto"/>
                      <w:sz w:val="21"/>
                      <w:szCs w:val="21"/>
                      <w:u w:val="single"/>
                      <w:lang w:val="en-US" w:eastAsia="zh-CN"/>
                    </w:rPr>
                    <w:t>生产厂房外设置监控点</w:t>
                  </w:r>
                </w:p>
              </w:tc>
              <w:tc>
                <w:tcPr>
                  <w:tcW w:w="9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C94C92C">
                  <w:pPr>
                    <w:pStyle w:val="30"/>
                    <w:spacing w:beforeLines="0" w:afterLines="0"/>
                    <w:ind w:firstLine="0" w:firstLineChars="0"/>
                    <w:rPr>
                      <w:rFonts w:hint="eastAsia" w:ascii="Times New Roman" w:hAnsi="Times New Roman" w:eastAsia="Times New Roman" w:cs="Times New Roman"/>
                      <w:color w:val="auto"/>
                      <w:sz w:val="21"/>
                      <w:szCs w:val="21"/>
                      <w:u w:val="single"/>
                    </w:rPr>
                  </w:pPr>
                  <w:r>
                    <w:rPr>
                      <w:rFonts w:hint="eastAsia" w:ascii="Times New Roman" w:hAnsi="Times New Roman" w:eastAsia="Times New Roman" w:cs="Times New Roman"/>
                      <w:color w:val="auto"/>
                      <w:sz w:val="21"/>
                      <w:szCs w:val="21"/>
                      <w:u w:val="single"/>
                    </w:rPr>
                    <w:t>1</w:t>
                  </w:r>
                  <w:r>
                    <w:rPr>
                      <w:rFonts w:hint="eastAsia" w:ascii="Times New Roman" w:hAnsi="Times New Roman" w:cs="Times New Roman"/>
                      <w:color w:val="auto"/>
                      <w:sz w:val="21"/>
                      <w:szCs w:val="21"/>
                      <w:u w:val="single"/>
                    </w:rPr>
                    <w:t>次/</w:t>
                  </w:r>
                  <w:r>
                    <w:rPr>
                      <w:rFonts w:hint="eastAsia" w:ascii="Times New Roman" w:hAnsi="Times New Roman" w:cs="Times New Roman"/>
                      <w:color w:val="auto"/>
                      <w:sz w:val="21"/>
                      <w:szCs w:val="21"/>
                      <w:u w:val="single"/>
                      <w:lang w:val="en-US" w:eastAsia="zh-CN"/>
                    </w:rPr>
                    <w:t>半</w:t>
                  </w:r>
                  <w:r>
                    <w:rPr>
                      <w:rFonts w:hint="eastAsia" w:ascii="Times New Roman" w:hAnsi="Times New Roman" w:cs="Times New Roman"/>
                      <w:color w:val="auto"/>
                      <w:sz w:val="21"/>
                      <w:szCs w:val="21"/>
                      <w:u w:val="single"/>
                    </w:rPr>
                    <w:t>年</w:t>
                  </w:r>
                </w:p>
              </w:tc>
              <w:tc>
                <w:tcPr>
                  <w:tcW w:w="3661" w:type="dxa"/>
                  <w:tcBorders>
                    <w:top w:val="single" w:color="auto" w:sz="4" w:space="0"/>
                    <w:left w:val="single" w:color="auto" w:sz="4" w:space="0"/>
                    <w:bottom w:val="single" w:color="auto" w:sz="4" w:space="0"/>
                    <w:right w:val="nil"/>
                    <w:tl2br w:val="nil"/>
                    <w:tr2bl w:val="nil"/>
                  </w:tcBorders>
                  <w:noWrap w:val="0"/>
                  <w:vAlign w:val="center"/>
                </w:tcPr>
                <w:p w14:paraId="3EFA5582">
                  <w:pPr>
                    <w:pStyle w:val="30"/>
                    <w:spacing w:beforeLines="0" w:afterLines="0"/>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《挥发性有机物无组织排放控制标准》（GB37822-2019）表A.1标准：</w:t>
                  </w:r>
                </w:p>
              </w:tc>
            </w:tr>
            <w:tr w14:paraId="25E56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8" w:type="dxa"/>
                  <w:tcBorders>
                    <w:top w:val="single" w:color="auto" w:sz="4" w:space="0"/>
                    <w:left w:val="nil"/>
                    <w:bottom w:val="single" w:color="auto" w:sz="12" w:space="0"/>
                    <w:right w:val="single" w:color="auto" w:sz="4" w:space="0"/>
                    <w:tl2br w:val="nil"/>
                    <w:tr2bl w:val="nil"/>
                  </w:tcBorders>
                  <w:noWrap w:val="0"/>
                  <w:vAlign w:val="center"/>
                </w:tcPr>
                <w:p w14:paraId="2ACAA544">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无组织</w:t>
                  </w:r>
                </w:p>
              </w:tc>
              <w:tc>
                <w:tcPr>
                  <w:tcW w:w="1215"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0631331">
                  <w:pPr>
                    <w:pStyle w:val="30"/>
                    <w:spacing w:beforeLines="0" w:afterLines="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rPr>
                    <w:t>颗粒物、非甲烷总烃、</w:t>
                  </w:r>
                  <w:r>
                    <w:rPr>
                      <w:rFonts w:hint="eastAsia" w:ascii="Times New Roman" w:hAnsi="Times New Roman" w:cs="Times New Roman"/>
                      <w:color w:val="auto"/>
                      <w:sz w:val="21"/>
                      <w:szCs w:val="21"/>
                      <w:u w:val="single"/>
                      <w:lang w:val="en-US" w:eastAsia="zh-CN"/>
                    </w:rPr>
                    <w:t>二甲苯、甲苯、苯系物</w:t>
                  </w:r>
                </w:p>
              </w:tc>
              <w:tc>
                <w:tcPr>
                  <w:tcW w:w="129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7E0D495">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cs="Times New Roman"/>
                      <w:color w:val="auto"/>
                      <w:sz w:val="21"/>
                      <w:szCs w:val="21"/>
                      <w:u w:val="single"/>
                    </w:rPr>
                    <w:t>厂界</w:t>
                  </w:r>
                </w:p>
              </w:tc>
              <w:tc>
                <w:tcPr>
                  <w:tcW w:w="97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8A56F22">
                  <w:pPr>
                    <w:pStyle w:val="30"/>
                    <w:spacing w:beforeLines="0" w:afterLines="0"/>
                    <w:rPr>
                      <w:rFonts w:hint="eastAsia" w:ascii="Times New Roman" w:hAnsi="Times New Roman" w:eastAsia="Times New Roman" w:cs="Times New Roman"/>
                      <w:color w:val="auto"/>
                      <w:sz w:val="21"/>
                      <w:szCs w:val="21"/>
                      <w:u w:val="single"/>
                    </w:rPr>
                  </w:pPr>
                  <w:r>
                    <w:rPr>
                      <w:rFonts w:hint="eastAsia" w:ascii="Times New Roman" w:hAnsi="Times New Roman" w:eastAsia="Times New Roman" w:cs="Times New Roman"/>
                      <w:color w:val="auto"/>
                      <w:sz w:val="21"/>
                      <w:szCs w:val="21"/>
                      <w:u w:val="single"/>
                    </w:rPr>
                    <w:t>1</w:t>
                  </w:r>
                  <w:r>
                    <w:rPr>
                      <w:rFonts w:hint="eastAsia" w:ascii="Times New Roman" w:hAnsi="Times New Roman" w:cs="Times New Roman"/>
                      <w:color w:val="auto"/>
                      <w:sz w:val="21"/>
                      <w:szCs w:val="21"/>
                      <w:u w:val="single"/>
                    </w:rPr>
                    <w:t>次/</w:t>
                  </w:r>
                  <w:r>
                    <w:rPr>
                      <w:rFonts w:hint="eastAsia" w:ascii="Times New Roman" w:hAnsi="Times New Roman" w:cs="Times New Roman"/>
                      <w:color w:val="auto"/>
                      <w:sz w:val="21"/>
                      <w:szCs w:val="21"/>
                      <w:u w:val="single"/>
                      <w:lang w:val="en-US" w:eastAsia="zh-CN"/>
                    </w:rPr>
                    <w:t>半</w:t>
                  </w:r>
                  <w:r>
                    <w:rPr>
                      <w:rFonts w:hint="eastAsia" w:ascii="Times New Roman" w:hAnsi="Times New Roman" w:cs="Times New Roman"/>
                      <w:color w:val="auto"/>
                      <w:sz w:val="21"/>
                      <w:szCs w:val="21"/>
                      <w:u w:val="single"/>
                    </w:rPr>
                    <w:t>年</w:t>
                  </w:r>
                </w:p>
              </w:tc>
              <w:tc>
                <w:tcPr>
                  <w:tcW w:w="3661" w:type="dxa"/>
                  <w:tcBorders>
                    <w:top w:val="single" w:color="auto" w:sz="4" w:space="0"/>
                    <w:left w:val="single" w:color="auto" w:sz="4" w:space="0"/>
                    <w:bottom w:val="single" w:color="auto" w:sz="12" w:space="0"/>
                    <w:right w:val="nil"/>
                    <w:tl2br w:val="nil"/>
                    <w:tr2bl w:val="nil"/>
                  </w:tcBorders>
                  <w:noWrap w:val="0"/>
                  <w:vAlign w:val="center"/>
                </w:tcPr>
                <w:p w14:paraId="3B8D3B60">
                  <w:pPr>
                    <w:pStyle w:val="30"/>
                    <w:spacing w:beforeLines="0" w:afterLines="0"/>
                    <w:rPr>
                      <w:rFonts w:hint="default" w:ascii="Times New Roman" w:hAnsi="Times New Roman" w:cs="Times New Roman"/>
                      <w:color w:val="auto"/>
                      <w:sz w:val="21"/>
                      <w:szCs w:val="21"/>
                      <w:u w:val="single"/>
                      <w:lang w:val="en-US" w:eastAsia="zh-CN"/>
                    </w:rPr>
                  </w:pPr>
                  <w:r>
                    <w:rPr>
                      <w:rFonts w:hint="eastAsia" w:ascii="Times New Roman" w:hAnsi="Times New Roman" w:cs="Times New Roman"/>
                      <w:color w:val="auto"/>
                      <w:sz w:val="21"/>
                      <w:szCs w:val="21"/>
                      <w:highlight w:val="none"/>
                      <w:u w:val="single"/>
                      <w:lang w:val="en-US" w:eastAsia="zh-CN"/>
                    </w:rPr>
                    <w:t>颗粒物、甲苯、二甲苯执行</w:t>
                  </w:r>
                  <w:r>
                    <w:rPr>
                      <w:rFonts w:hint="default" w:ascii="Times New Roman" w:hAnsi="Times New Roman" w:cs="Times New Roman"/>
                      <w:color w:val="auto"/>
                      <w:sz w:val="21"/>
                      <w:szCs w:val="21"/>
                      <w:u w:val="single"/>
                    </w:rPr>
                    <w:t>《大气污染物综合排放标准》（GB16297- 1996）表 2</w:t>
                  </w:r>
                  <w:r>
                    <w:rPr>
                      <w:rFonts w:hint="eastAsia" w:ascii="Times New Roman" w:hAnsi="Times New Roman" w:cs="Times New Roman"/>
                      <w:color w:val="auto"/>
                      <w:sz w:val="21"/>
                      <w:szCs w:val="21"/>
                      <w:u w:val="single"/>
                      <w:lang w:eastAsia="zh-CN"/>
                    </w:rPr>
                    <w:t>；</w:t>
                  </w:r>
                  <w:r>
                    <w:rPr>
                      <w:rFonts w:hint="eastAsia" w:ascii="Times New Roman" w:hAnsi="Times New Roman" w:cs="Times New Roman"/>
                      <w:color w:val="auto"/>
                      <w:sz w:val="21"/>
                      <w:szCs w:val="21"/>
                      <w:u w:val="single"/>
                      <w:lang w:val="en-US" w:eastAsia="zh-CN"/>
                    </w:rPr>
                    <w:t>苯系物、非甲烷总烃参照执行</w:t>
                  </w:r>
                  <w:r>
                    <w:rPr>
                      <w:rFonts w:hint="eastAsia" w:ascii="Times New Roman" w:hAnsi="Times New Roman" w:cs="Times New Roman"/>
                      <w:color w:val="auto"/>
                      <w:sz w:val="21"/>
                      <w:szCs w:val="21"/>
                      <w:highlight w:val="none"/>
                      <w:u w:val="single"/>
                      <w:lang w:val="en-US" w:eastAsia="zh-CN"/>
                    </w:rPr>
                    <w:t>《表面涂装(汽车制造及维修)挥发性有机物、镍排放标准》(DB43/1356-2017)</w:t>
                  </w:r>
                </w:p>
              </w:tc>
            </w:tr>
          </w:tbl>
          <w:p w14:paraId="22C16425">
            <w:pPr>
              <w:pStyle w:val="29"/>
              <w:bidi w:val="0"/>
              <w:rPr>
                <w:rFonts w:hint="default" w:ascii="Times New Roman" w:hAnsi="Times New Roman" w:cs="Times New Roman"/>
                <w:color w:val="auto"/>
              </w:rPr>
            </w:pPr>
            <w:r>
              <w:rPr>
                <w:rFonts w:hint="default" w:ascii="Times New Roman" w:hAnsi="Times New Roman" w:cs="Times New Roman"/>
                <w:b/>
                <w:bCs/>
                <w:color w:val="auto"/>
              </w:rPr>
              <w:t>1.7 大气环境影响分析</w:t>
            </w:r>
          </w:p>
          <w:p w14:paraId="7983936A">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根据表4-1可知，本项目</w:t>
            </w:r>
            <w:r>
              <w:rPr>
                <w:rFonts w:hint="default" w:ascii="Times New Roman" w:hAnsi="Times New Roman" w:cs="Times New Roman"/>
                <w:color w:val="auto"/>
                <w:highlight w:val="none"/>
                <w:lang w:val="en-US" w:eastAsia="zh-CN"/>
              </w:rPr>
              <w:t>颗粒物</w:t>
            </w:r>
            <w:r>
              <w:rPr>
                <w:rFonts w:hint="eastAsia" w:ascii="Times New Roman" w:hAnsi="Times New Roman" w:cs="Times New Roman"/>
                <w:color w:val="auto"/>
                <w:highlight w:val="none"/>
                <w:lang w:val="en-US" w:eastAsia="zh-CN"/>
              </w:rPr>
              <w:t>满足</w:t>
            </w:r>
            <w:r>
              <w:rPr>
                <w:rFonts w:hint="default" w:ascii="Times New Roman" w:hAnsi="Times New Roman" w:cs="Times New Roman"/>
                <w:color w:val="auto"/>
                <w:highlight w:val="none"/>
                <w:lang w:val="en-US" w:eastAsia="zh-CN"/>
              </w:rPr>
              <w:t>《大气污染物综合排放标准》(GB16297-1996)表2</w:t>
            </w:r>
            <w:r>
              <w:rPr>
                <w:rFonts w:hint="eastAsia" w:ascii="Times New Roman" w:hAnsi="Times New Roman" w:cs="Times New Roman"/>
                <w:color w:val="auto"/>
                <w:highlight w:val="none"/>
                <w:lang w:val="en-US" w:eastAsia="zh-CN"/>
              </w:rPr>
              <w:t>；有机</w:t>
            </w:r>
            <w:r>
              <w:rPr>
                <w:rFonts w:hint="eastAsia" w:ascii="Times New Roman" w:hAnsi="Times New Roman" w:cs="Times New Roman"/>
                <w:color w:val="auto"/>
                <w:lang w:val="en-US" w:eastAsia="zh-CN"/>
              </w:rPr>
              <w:t>废气</w:t>
            </w:r>
            <w:r>
              <w:rPr>
                <w:rFonts w:hint="eastAsia" w:ascii="Times New Roman" w:hAnsi="Times New Roman" w:cs="Times New Roman"/>
                <w:color w:val="auto"/>
                <w:highlight w:val="none"/>
                <w:lang w:val="en-US" w:eastAsia="zh-CN"/>
              </w:rPr>
              <w:t>二甲苯、</w:t>
            </w:r>
            <w:r>
              <w:rPr>
                <w:rFonts w:hint="default" w:ascii="Times New Roman" w:hAnsi="Times New Roman" w:cs="Times New Roman"/>
                <w:color w:val="auto"/>
                <w:highlight w:val="none"/>
                <w:lang w:val="en-US" w:eastAsia="zh-CN"/>
              </w:rPr>
              <w:t>非甲烷总烃</w:t>
            </w:r>
            <w:r>
              <w:rPr>
                <w:rFonts w:hint="eastAsia" w:ascii="Times New Roman" w:hAnsi="Times New Roman" w:cs="Times New Roman"/>
                <w:color w:val="auto"/>
                <w:highlight w:val="none"/>
                <w:lang w:val="en-US" w:eastAsia="zh-CN"/>
              </w:rPr>
              <w:t>等有机废气满足</w:t>
            </w:r>
            <w:r>
              <w:rPr>
                <w:rFonts w:hint="default" w:ascii="Times New Roman" w:hAnsi="Times New Roman" w:cs="Times New Roman"/>
                <w:color w:val="auto"/>
                <w:highlight w:val="none"/>
                <w:lang w:val="en-US" w:eastAsia="zh-CN"/>
              </w:rPr>
              <w:t>《表面涂装</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汽车制造及维修</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挥发性有机物、镍排放标准》</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DB43/1356-2017</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中表1</w:t>
            </w:r>
            <w:r>
              <w:rPr>
                <w:rFonts w:hint="eastAsia" w:ascii="Times New Roman" w:hAnsi="Times New Roman" w:cs="Times New Roman"/>
                <w:color w:val="auto"/>
                <w:highlight w:val="none"/>
                <w:lang w:val="en-US" w:eastAsia="zh-CN"/>
              </w:rPr>
              <w:t>要求限值</w:t>
            </w:r>
            <w:r>
              <w:rPr>
                <w:rFonts w:hint="eastAsia" w:ascii="Times New Roman" w:hAnsi="Times New Roman" w:cs="Times New Roman"/>
                <w:color w:val="auto"/>
                <w:lang w:val="en-US" w:eastAsia="zh-CN"/>
              </w:rPr>
              <w:t>。</w:t>
            </w:r>
          </w:p>
          <w:p w14:paraId="567391F2">
            <w:pPr>
              <w:pStyle w:val="29"/>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lang w:val="en-US" w:eastAsia="zh-CN"/>
              </w:rPr>
              <w:t>无组织废气均能够得到有效控制，能够满足《大气污染物综合排放标准》（GB16297-1996）及</w:t>
            </w:r>
            <w:r>
              <w:rPr>
                <w:rFonts w:hint="default" w:ascii="Times New Roman" w:hAnsi="Times New Roman" w:cs="Times New Roman"/>
                <w:color w:val="auto"/>
                <w:highlight w:val="none"/>
                <w:lang w:val="en-US" w:eastAsia="zh-CN"/>
              </w:rPr>
              <w:t>《表面涂装</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汽车制造及维修</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挥发性有机物、镍排放标准》</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DB43/1356-2017</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中</w:t>
            </w:r>
            <w:r>
              <w:rPr>
                <w:rFonts w:hint="eastAsia" w:ascii="Times New Roman" w:hAnsi="Times New Roman" w:cs="Times New Roman"/>
                <w:color w:val="auto"/>
                <w:highlight w:val="none"/>
                <w:lang w:val="en-US" w:eastAsia="zh-CN"/>
              </w:rPr>
              <w:t>要求。</w:t>
            </w:r>
          </w:p>
          <w:p w14:paraId="54934A81">
            <w:pPr>
              <w:pStyle w:val="29"/>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综上所述，建设单位在做好废气防治措施后，本项目对周边大气环境影响较小。</w:t>
            </w:r>
          </w:p>
          <w:p w14:paraId="2A54198D">
            <w:pPr>
              <w:pStyle w:val="29"/>
              <w:bidi w:val="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2、废水</w:t>
            </w:r>
          </w:p>
          <w:p w14:paraId="70496AE3">
            <w:pPr>
              <w:pStyle w:val="29"/>
              <w:bidi w:val="0"/>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2.1 污染源分析</w:t>
            </w:r>
          </w:p>
          <w:p w14:paraId="7B7A0DE6">
            <w:pPr>
              <w:pStyle w:val="29"/>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本项目废水污染源主要为生活污水和水帘循环废水。</w:t>
            </w:r>
          </w:p>
          <w:p w14:paraId="1D86F285">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（1）、生活污水</w:t>
            </w:r>
          </w:p>
          <w:p w14:paraId="75742353">
            <w:pPr>
              <w:pStyle w:val="29"/>
              <w:bidi w:val="0"/>
              <w:rPr>
                <w:rFonts w:hint="default" w:ascii="Times New Roman" w:hAnsi="Times New Roman" w:cs="Times New Roman"/>
                <w:color w:val="auto"/>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劳动定员1</w:t>
            </w:r>
            <w:r>
              <w:rPr>
                <w:rFonts w:hint="default" w:ascii="Times New Roman" w:hAnsi="Times New Roman" w:cs="Times New Roman"/>
                <w:color w:val="auto"/>
                <w:highlight w:val="none"/>
              </w:rPr>
              <w:t>0人，全年工作 300 天，每天工作</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w:t>
            </w:r>
            <w:r>
              <w:rPr>
                <w:rFonts w:hint="eastAsia" w:ascii="Times New Roman" w:hAnsi="Times New Roman" w:cs="Times New Roman"/>
                <w:color w:val="auto"/>
                <w:highlight w:val="none"/>
                <w:lang w:val="en-US" w:eastAsia="zh-CN"/>
              </w:rPr>
              <w:t>不提供食宿</w:t>
            </w:r>
            <w:r>
              <w:rPr>
                <w:rFonts w:hint="default" w:ascii="Times New Roman" w:hAnsi="Times New Roman" w:cs="Times New Roman"/>
                <w:color w:val="auto"/>
                <w:highlight w:val="none"/>
              </w:rPr>
              <w:t>。参照湖南省地方标准《湖南省用水定额》（DB43T388-202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），项目生活用水量按 </w:t>
            </w:r>
            <w:r>
              <w:rPr>
                <w:rFonts w:hint="eastAsia" w:ascii="Times New Roman" w:hAnsi="Times New Roman" w:cs="Times New Roman"/>
                <w:color w:val="auto"/>
                <w:highlight w:val="none"/>
                <w:lang w:val="en-US" w:eastAsia="zh-CN"/>
              </w:rPr>
              <w:t>60</w:t>
            </w:r>
            <w:r>
              <w:rPr>
                <w:rFonts w:hint="default" w:ascii="Times New Roman" w:hAnsi="Times New Roman" w:cs="Times New Roman"/>
                <w:color w:val="auto"/>
                <w:highlight w:val="none"/>
              </w:rPr>
              <w:t xml:space="preserve"> L/d·人计算。</w:t>
            </w:r>
            <w:r>
              <w:rPr>
                <w:rFonts w:hint="default" w:ascii="Times New Roman" w:hAnsi="Times New Roman" w:cs="Times New Roman"/>
                <w:color w:val="auto"/>
              </w:rPr>
              <w:t>经计算，本项目生活用水量为</w:t>
            </w:r>
            <w:r>
              <w:rPr>
                <w:rFonts w:hint="eastAsia" w:ascii="Times New Roman" w:hAnsi="Times New Roman" w:cs="Times New Roman"/>
                <w:color w:val="auto"/>
                <w:lang w:val="en-US" w:eastAsia="zh-CN"/>
              </w:rPr>
              <w:t>0.6</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eastAsia" w:ascii="Times New Roman" w:hAnsi="Times New Roman" w:cs="Times New Roman"/>
                <w:color w:val="auto"/>
                <w:lang w:val="en-US" w:eastAsia="zh-CN"/>
              </w:rPr>
              <w:t>180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/a，生活污水产生系数以 0.8 计，则本项目生活污水产生量为</w:t>
            </w:r>
            <w:r>
              <w:rPr>
                <w:rFonts w:hint="eastAsia" w:ascii="Times New Roman" w:hAnsi="Times New Roman" w:cs="Times New Roman"/>
                <w:color w:val="auto"/>
                <w:lang w:val="en-US" w:eastAsia="zh-CN"/>
              </w:rPr>
              <w:t>0.48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eastAsia" w:ascii="Times New Roman" w:hAnsi="Times New Roman" w:cs="Times New Roman"/>
                <w:color w:val="auto"/>
                <w:lang w:val="en-US" w:eastAsia="zh-CN"/>
              </w:rPr>
              <w:t>144</w:t>
            </w:r>
            <w:r>
              <w:rPr>
                <w:rFonts w:hint="default" w:ascii="Times New Roman" w:hAnsi="Times New Roman" w:cs="Times New Roman"/>
                <w:color w:val="auto"/>
              </w:rPr>
              <w:t xml:space="preserve"> 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p w14:paraId="165A8712">
            <w:pPr>
              <w:pStyle w:val="29"/>
              <w:bidi w:val="0"/>
              <w:rPr>
                <w:rFonts w:hint="eastAsia" w:ascii="Times New Roman" w:hAnsi="Times New Roman" w:eastAsia="宋体" w:cs="Times New Roman"/>
                <w:color w:val="auto"/>
                <w:lang w:eastAsia="zh-CN"/>
              </w:rPr>
            </w:pPr>
            <w:r>
              <w:rPr>
                <w:rFonts w:hint="default" w:ascii="Times New Roman" w:hAnsi="Times New Roman" w:cs="Times New Roman"/>
                <w:color w:val="auto"/>
              </w:rPr>
              <w:t>生活污水经</w:t>
            </w:r>
            <w:r>
              <w:rPr>
                <w:rFonts w:hint="eastAsia" w:ascii="Times New Roman" w:hAnsi="Times New Roman" w:cs="Times New Roman"/>
                <w:color w:val="auto"/>
                <w:lang w:val="en-US" w:eastAsia="zh-CN"/>
              </w:rPr>
              <w:t>隔油池+</w:t>
            </w:r>
            <w:r>
              <w:rPr>
                <w:rFonts w:hint="default" w:ascii="Times New Roman" w:hAnsi="Times New Roman" w:cs="Times New Roman"/>
                <w:color w:val="auto"/>
              </w:rPr>
              <w:t>化粪池处理</w:t>
            </w:r>
            <w:r>
              <w:rPr>
                <w:rFonts w:hint="eastAsia" w:ascii="Times New Roman" w:hAnsi="Times New Roman" w:cs="Times New Roman"/>
                <w:color w:val="auto"/>
                <w:lang w:val="en-US" w:eastAsia="zh-CN"/>
              </w:rPr>
              <w:t>达到《污水综合排放标准》（GB8978-1996）表4 中三级标准（其中氨氮、总磷参照执行《污水排入城镇下水道水质标准》GB/T 31962-2015表1中B级排放限值要求）</w:t>
            </w:r>
            <w:r>
              <w:rPr>
                <w:rFonts w:hint="default" w:ascii="Times New Roman" w:hAnsi="Times New Roman" w:cs="Times New Roman"/>
                <w:color w:val="auto"/>
              </w:rPr>
              <w:t>后</w:t>
            </w:r>
            <w:r>
              <w:rPr>
                <w:rFonts w:hint="eastAsia" w:ascii="Times New Roman" w:hAnsi="Times New Roman" w:cs="Times New Roman"/>
                <w:color w:val="auto"/>
                <w:lang w:val="en-US" w:eastAsia="zh-CN"/>
              </w:rPr>
              <w:t>经市政污水管网进入</w:t>
            </w:r>
            <w:r>
              <w:rPr>
                <w:rFonts w:hint="eastAsia" w:ascii="Times New Roman" w:hAnsi="Times New Roman" w:cs="Times New Roman"/>
                <w:color w:val="auto"/>
                <w:lang w:eastAsia="zh-CN"/>
              </w:rPr>
              <w:t>铜桥港污水处理厂。</w:t>
            </w:r>
          </w:p>
          <w:p w14:paraId="65FF8218">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详情见表4-9。</w:t>
            </w:r>
          </w:p>
          <w:p w14:paraId="24BC9569">
            <w:pPr>
              <w:pStyle w:val="3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w:t>
            </w:r>
            <w:r>
              <w:rPr>
                <w:rFonts w:hint="eastAsia" w:ascii="Times New Roman" w:hAnsi="Times New Roman" w:cs="Times New Roman"/>
                <w:color w:val="auto"/>
                <w:lang w:val="en-US" w:eastAsia="zh-CN"/>
              </w:rPr>
              <w:t>9</w:t>
            </w:r>
            <w:r>
              <w:rPr>
                <w:rFonts w:hint="default" w:ascii="Times New Roman" w:hAnsi="Times New Roman" w:cs="Times New Roman"/>
                <w:color w:val="auto"/>
                <w:lang w:val="en-US" w:eastAsia="zh-CN"/>
              </w:rPr>
              <w:t xml:space="preserve">  生活污水产排情况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6"/>
              <w:gridCol w:w="1986"/>
              <w:gridCol w:w="1987"/>
              <w:gridCol w:w="1987"/>
            </w:tblGrid>
            <w:tr w14:paraId="10D79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tcBorders>
                    <w:tl2br w:val="nil"/>
                    <w:tr2bl w:val="nil"/>
                  </w:tcBorders>
                  <w:noWrap w:val="0"/>
                  <w:vAlign w:val="center"/>
                </w:tcPr>
                <w:p w14:paraId="03C2984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废水种类及排放量</w:t>
                  </w:r>
                </w:p>
              </w:tc>
              <w:tc>
                <w:tcPr>
                  <w:tcW w:w="1986" w:type="dxa"/>
                  <w:tcBorders>
                    <w:tl2br w:val="nil"/>
                    <w:tr2bl w:val="nil"/>
                  </w:tcBorders>
                  <w:noWrap w:val="0"/>
                  <w:vAlign w:val="center"/>
                </w:tcPr>
                <w:p w14:paraId="04769040">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污染因子</w:t>
                  </w:r>
                </w:p>
              </w:tc>
              <w:tc>
                <w:tcPr>
                  <w:tcW w:w="1987" w:type="dxa"/>
                  <w:tcBorders>
                    <w:tl2br w:val="nil"/>
                    <w:tr2bl w:val="nil"/>
                  </w:tcBorders>
                  <w:noWrap w:val="0"/>
                  <w:vAlign w:val="center"/>
                </w:tcPr>
                <w:p w14:paraId="020F5B0F">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排放浓度 mg/L</w:t>
                  </w:r>
                </w:p>
              </w:tc>
              <w:tc>
                <w:tcPr>
                  <w:tcW w:w="1987" w:type="dxa"/>
                  <w:tcBorders>
                    <w:tl2br w:val="nil"/>
                    <w:tr2bl w:val="nil"/>
                  </w:tcBorders>
                  <w:noWrap w:val="0"/>
                  <w:vAlign w:val="center"/>
                </w:tcPr>
                <w:p w14:paraId="11B3AC37">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排放量 t/a</w:t>
                  </w:r>
                </w:p>
              </w:tc>
            </w:tr>
            <w:tr w14:paraId="17C28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restart"/>
                  <w:tcBorders>
                    <w:tl2br w:val="nil"/>
                    <w:tr2bl w:val="nil"/>
                  </w:tcBorders>
                  <w:noWrap w:val="0"/>
                  <w:vAlign w:val="center"/>
                </w:tcPr>
                <w:p w14:paraId="47F44EE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生活污水</w:t>
                  </w:r>
                  <w:r>
                    <w:rPr>
                      <w:rFonts w:hint="eastAsia" w:ascii="Times New Roman" w:hAnsi="Times New Roman" w:cs="Times New Roman"/>
                      <w:color w:val="auto"/>
                      <w:sz w:val="21"/>
                      <w:szCs w:val="24"/>
                      <w:lang w:val="en-US" w:eastAsia="zh-CN"/>
                    </w:rPr>
                    <w:t>144</w:t>
                  </w:r>
                  <w:r>
                    <w:rPr>
                      <w:rFonts w:hint="default" w:ascii="Times New Roman" w:hAnsi="Times New Roman" w:cs="Times New Roman"/>
                      <w:color w:val="auto"/>
                      <w:sz w:val="21"/>
                      <w:szCs w:val="24"/>
                    </w:rPr>
                    <w:t>m</w:t>
                  </w:r>
                  <w:r>
                    <w:rPr>
                      <w:rFonts w:hint="default" w:ascii="Times New Roman" w:hAnsi="Times New Roman" w:eastAsia="Times New Roman" w:cs="Times New Roman"/>
                      <w:color w:val="auto"/>
                      <w:sz w:val="21"/>
                      <w:szCs w:val="24"/>
                      <w:vertAlign w:val="superscript"/>
                    </w:rPr>
                    <w:t>3</w:t>
                  </w:r>
                  <w:r>
                    <w:rPr>
                      <w:rFonts w:hint="default" w:ascii="Times New Roman" w:hAnsi="Times New Roman" w:eastAsia="Times New Roman" w:cs="Times New Roman"/>
                      <w:color w:val="auto"/>
                      <w:sz w:val="21"/>
                      <w:szCs w:val="24"/>
                    </w:rPr>
                    <w:t>/a</w:t>
                  </w:r>
                </w:p>
              </w:tc>
              <w:tc>
                <w:tcPr>
                  <w:tcW w:w="1986" w:type="dxa"/>
                  <w:tcBorders>
                    <w:tl2br w:val="nil"/>
                    <w:tr2bl w:val="nil"/>
                  </w:tcBorders>
                  <w:noWrap w:val="0"/>
                  <w:vAlign w:val="center"/>
                </w:tcPr>
                <w:p w14:paraId="36C14217">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pH</w:t>
                  </w:r>
                </w:p>
              </w:tc>
              <w:tc>
                <w:tcPr>
                  <w:tcW w:w="1987" w:type="dxa"/>
                  <w:tcBorders>
                    <w:tl2br w:val="nil"/>
                    <w:tr2bl w:val="nil"/>
                  </w:tcBorders>
                  <w:noWrap w:val="0"/>
                  <w:vAlign w:val="center"/>
                </w:tcPr>
                <w:p w14:paraId="3C25BD67">
                  <w:pPr>
                    <w:widowControl/>
                    <w:spacing w:beforeLines="0" w:afterLines="0"/>
                    <w:jc w:val="center"/>
                    <w:textAlignment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6~9</w:t>
                  </w:r>
                </w:p>
              </w:tc>
              <w:tc>
                <w:tcPr>
                  <w:tcW w:w="1987" w:type="dxa"/>
                  <w:tcBorders>
                    <w:tl2br w:val="nil"/>
                    <w:tr2bl w:val="nil"/>
                  </w:tcBorders>
                  <w:noWrap w:val="0"/>
                  <w:vAlign w:val="center"/>
                </w:tcPr>
                <w:p w14:paraId="68A29C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r>
            <w:tr w14:paraId="78677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continue"/>
                  <w:tcBorders>
                    <w:tl2br w:val="nil"/>
                    <w:tr2bl w:val="nil"/>
                  </w:tcBorders>
                  <w:noWrap w:val="0"/>
                  <w:vAlign w:val="center"/>
                </w:tcPr>
                <w:p w14:paraId="713A1B42">
                  <w:pPr>
                    <w:pStyle w:val="30"/>
                    <w:spacing w:beforeLines="0" w:afterLines="0"/>
                    <w:rPr>
                      <w:rFonts w:hint="default" w:ascii="Times New Roman" w:hAnsi="Times New Roman" w:eastAsia="Times New Roman" w:cs="Times New Roman"/>
                      <w:color w:val="auto"/>
                      <w:sz w:val="21"/>
                      <w:szCs w:val="24"/>
                    </w:rPr>
                  </w:pPr>
                </w:p>
              </w:tc>
              <w:tc>
                <w:tcPr>
                  <w:tcW w:w="1986" w:type="dxa"/>
                  <w:tcBorders>
                    <w:tl2br w:val="nil"/>
                    <w:tr2bl w:val="nil"/>
                  </w:tcBorders>
                  <w:noWrap w:val="0"/>
                  <w:vAlign w:val="center"/>
                </w:tcPr>
                <w:p w14:paraId="1482C476">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COD</w:t>
                  </w:r>
                  <w:r>
                    <w:rPr>
                      <w:rFonts w:hint="default" w:ascii="Times New Roman" w:hAnsi="Times New Roman" w:eastAsia="Times New Roman" w:cs="Times New Roman"/>
                      <w:color w:val="auto"/>
                      <w:sz w:val="21"/>
                      <w:szCs w:val="24"/>
                      <w:vertAlign w:val="subscript"/>
                    </w:rPr>
                    <w:t>cr</w:t>
                  </w:r>
                </w:p>
              </w:tc>
              <w:tc>
                <w:tcPr>
                  <w:tcW w:w="1987" w:type="dxa"/>
                  <w:tcBorders>
                    <w:tl2br w:val="nil"/>
                    <w:tr2bl w:val="nil"/>
                  </w:tcBorders>
                  <w:noWrap w:val="0"/>
                  <w:vAlign w:val="center"/>
                </w:tcPr>
                <w:p w14:paraId="00D5C5B8">
                  <w:pPr>
                    <w:widowControl/>
                    <w:spacing w:beforeLines="0" w:afterLines="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Times New Roman" w:cs="Times New Roman"/>
                      <w:color w:val="auto"/>
                      <w:kern w:val="0"/>
                      <w:sz w:val="21"/>
                      <w:szCs w:val="21"/>
                      <w:lang w:bidi="ar"/>
                    </w:rPr>
                    <w:t>500</w:t>
                  </w:r>
                </w:p>
              </w:tc>
              <w:tc>
                <w:tcPr>
                  <w:tcW w:w="1987" w:type="dxa"/>
                  <w:tcBorders>
                    <w:tl2br w:val="nil"/>
                    <w:tr2bl w:val="nil"/>
                  </w:tcBorders>
                  <w:noWrap w:val="0"/>
                  <w:vAlign w:val="center"/>
                </w:tcPr>
                <w:p w14:paraId="69E5A61F">
                  <w:pPr>
                    <w:keepNext w:val="0"/>
                    <w:keepLines w:val="0"/>
                    <w:widowControl/>
                    <w:suppressLineNumbers w:val="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0.072</w:t>
                  </w:r>
                </w:p>
              </w:tc>
            </w:tr>
            <w:tr w14:paraId="1C660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continue"/>
                  <w:tcBorders>
                    <w:tl2br w:val="nil"/>
                    <w:tr2bl w:val="nil"/>
                  </w:tcBorders>
                  <w:noWrap w:val="0"/>
                  <w:vAlign w:val="center"/>
                </w:tcPr>
                <w:p w14:paraId="1A79C8A3">
                  <w:pPr>
                    <w:pStyle w:val="30"/>
                    <w:spacing w:beforeLines="0" w:afterLines="0"/>
                    <w:rPr>
                      <w:rFonts w:hint="default" w:ascii="Times New Roman" w:hAnsi="Times New Roman" w:eastAsia="Times New Roman" w:cs="Times New Roman"/>
                      <w:color w:val="auto"/>
                      <w:sz w:val="21"/>
                      <w:szCs w:val="24"/>
                    </w:rPr>
                  </w:pPr>
                </w:p>
              </w:tc>
              <w:tc>
                <w:tcPr>
                  <w:tcW w:w="1986" w:type="dxa"/>
                  <w:tcBorders>
                    <w:tl2br w:val="nil"/>
                    <w:tr2bl w:val="nil"/>
                  </w:tcBorders>
                  <w:noWrap w:val="0"/>
                  <w:vAlign w:val="center"/>
                </w:tcPr>
                <w:p w14:paraId="330A179D">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BOD</w:t>
                  </w:r>
                  <w:r>
                    <w:rPr>
                      <w:rFonts w:hint="default" w:ascii="Times New Roman" w:hAnsi="Times New Roman" w:eastAsia="Times New Roman" w:cs="Times New Roman"/>
                      <w:color w:val="auto"/>
                      <w:sz w:val="21"/>
                      <w:szCs w:val="24"/>
                      <w:vertAlign w:val="subscript"/>
                    </w:rPr>
                    <w:t>5</w:t>
                  </w:r>
                </w:p>
              </w:tc>
              <w:tc>
                <w:tcPr>
                  <w:tcW w:w="1987" w:type="dxa"/>
                  <w:tcBorders>
                    <w:tl2br w:val="nil"/>
                    <w:tr2bl w:val="nil"/>
                  </w:tcBorders>
                  <w:noWrap w:val="0"/>
                  <w:vAlign w:val="center"/>
                </w:tcPr>
                <w:p w14:paraId="2DC2CFA5">
                  <w:pPr>
                    <w:widowControl/>
                    <w:spacing w:beforeLines="0" w:afterLines="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Times New Roman" w:cs="Times New Roman"/>
                      <w:color w:val="auto"/>
                      <w:kern w:val="0"/>
                      <w:sz w:val="21"/>
                      <w:szCs w:val="21"/>
                      <w:lang w:bidi="ar"/>
                    </w:rPr>
                    <w:t>300</w:t>
                  </w:r>
                </w:p>
              </w:tc>
              <w:tc>
                <w:tcPr>
                  <w:tcW w:w="1987" w:type="dxa"/>
                  <w:tcBorders>
                    <w:tl2br w:val="nil"/>
                    <w:tr2bl w:val="nil"/>
                  </w:tcBorders>
                  <w:noWrap w:val="0"/>
                  <w:vAlign w:val="center"/>
                </w:tcPr>
                <w:p w14:paraId="779EF699">
                  <w:pPr>
                    <w:keepNext w:val="0"/>
                    <w:keepLines w:val="0"/>
                    <w:widowControl/>
                    <w:suppressLineNumbers w:val="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0.0432</w:t>
                  </w:r>
                </w:p>
              </w:tc>
            </w:tr>
            <w:tr w14:paraId="78A42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continue"/>
                  <w:tcBorders>
                    <w:tl2br w:val="nil"/>
                    <w:tr2bl w:val="nil"/>
                  </w:tcBorders>
                  <w:noWrap w:val="0"/>
                  <w:vAlign w:val="center"/>
                </w:tcPr>
                <w:p w14:paraId="1EBC1165">
                  <w:pPr>
                    <w:pStyle w:val="30"/>
                    <w:spacing w:beforeLines="0" w:afterLines="0"/>
                    <w:rPr>
                      <w:rFonts w:hint="default" w:ascii="Times New Roman" w:hAnsi="Times New Roman" w:eastAsia="Times New Roman" w:cs="Times New Roman"/>
                      <w:color w:val="auto"/>
                      <w:sz w:val="21"/>
                      <w:szCs w:val="24"/>
                    </w:rPr>
                  </w:pPr>
                </w:p>
              </w:tc>
              <w:tc>
                <w:tcPr>
                  <w:tcW w:w="1986" w:type="dxa"/>
                  <w:tcBorders>
                    <w:tl2br w:val="nil"/>
                    <w:tr2bl w:val="nil"/>
                  </w:tcBorders>
                  <w:noWrap w:val="0"/>
                  <w:vAlign w:val="center"/>
                </w:tcPr>
                <w:p w14:paraId="7D260A44">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SS</w:t>
                  </w:r>
                </w:p>
              </w:tc>
              <w:tc>
                <w:tcPr>
                  <w:tcW w:w="1987" w:type="dxa"/>
                  <w:tcBorders>
                    <w:tl2br w:val="nil"/>
                    <w:tr2bl w:val="nil"/>
                  </w:tcBorders>
                  <w:noWrap w:val="0"/>
                  <w:vAlign w:val="center"/>
                </w:tcPr>
                <w:p w14:paraId="2BD7D8C9">
                  <w:pPr>
                    <w:widowControl/>
                    <w:spacing w:beforeLines="0" w:afterLines="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Times New Roman" w:cs="Times New Roman"/>
                      <w:color w:val="auto"/>
                      <w:kern w:val="0"/>
                      <w:sz w:val="21"/>
                      <w:szCs w:val="21"/>
                      <w:lang w:bidi="ar"/>
                    </w:rPr>
                    <w:t>400</w:t>
                  </w:r>
                </w:p>
              </w:tc>
              <w:tc>
                <w:tcPr>
                  <w:tcW w:w="1987" w:type="dxa"/>
                  <w:tcBorders>
                    <w:tl2br w:val="nil"/>
                    <w:tr2bl w:val="nil"/>
                  </w:tcBorders>
                  <w:noWrap w:val="0"/>
                  <w:vAlign w:val="center"/>
                </w:tcPr>
                <w:p w14:paraId="41F2FD49">
                  <w:pPr>
                    <w:keepNext w:val="0"/>
                    <w:keepLines w:val="0"/>
                    <w:widowControl/>
                    <w:suppressLineNumbers w:val="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0.0576</w:t>
                  </w:r>
                </w:p>
              </w:tc>
            </w:tr>
            <w:tr w14:paraId="5C49F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continue"/>
                  <w:tcBorders>
                    <w:tl2br w:val="nil"/>
                    <w:tr2bl w:val="nil"/>
                  </w:tcBorders>
                  <w:noWrap w:val="0"/>
                  <w:vAlign w:val="center"/>
                </w:tcPr>
                <w:p w14:paraId="3379FFA8">
                  <w:pPr>
                    <w:pStyle w:val="30"/>
                    <w:spacing w:beforeLines="0" w:afterLines="0"/>
                    <w:rPr>
                      <w:rFonts w:hint="default" w:ascii="Times New Roman" w:hAnsi="Times New Roman" w:eastAsia="Times New Roman" w:cs="Times New Roman"/>
                      <w:color w:val="auto"/>
                      <w:sz w:val="21"/>
                      <w:szCs w:val="24"/>
                    </w:rPr>
                  </w:pPr>
                </w:p>
              </w:tc>
              <w:tc>
                <w:tcPr>
                  <w:tcW w:w="1986" w:type="dxa"/>
                  <w:tcBorders>
                    <w:tl2br w:val="nil"/>
                    <w:tr2bl w:val="nil"/>
                  </w:tcBorders>
                  <w:noWrap w:val="0"/>
                  <w:vAlign w:val="center"/>
                </w:tcPr>
                <w:p w14:paraId="34C75740">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NH</w:t>
                  </w:r>
                  <w:r>
                    <w:rPr>
                      <w:rFonts w:hint="default" w:ascii="Times New Roman" w:hAnsi="Times New Roman" w:eastAsia="Times New Roman" w:cs="Times New Roman"/>
                      <w:color w:val="auto"/>
                      <w:sz w:val="21"/>
                      <w:szCs w:val="24"/>
                      <w:vertAlign w:val="subscript"/>
                    </w:rPr>
                    <w:t>3</w:t>
                  </w:r>
                  <w:r>
                    <w:rPr>
                      <w:rFonts w:hint="default" w:ascii="Times New Roman" w:hAnsi="Times New Roman" w:eastAsia="Times New Roman" w:cs="Times New Roman"/>
                      <w:color w:val="auto"/>
                      <w:sz w:val="21"/>
                      <w:szCs w:val="24"/>
                    </w:rPr>
                    <w:t>-H</w:t>
                  </w:r>
                </w:p>
              </w:tc>
              <w:tc>
                <w:tcPr>
                  <w:tcW w:w="1987" w:type="dxa"/>
                  <w:tcBorders>
                    <w:tl2br w:val="nil"/>
                    <w:tr2bl w:val="nil"/>
                  </w:tcBorders>
                  <w:noWrap w:val="0"/>
                  <w:vAlign w:val="center"/>
                </w:tcPr>
                <w:p w14:paraId="2963B867">
                  <w:pPr>
                    <w:widowControl/>
                    <w:spacing w:beforeLines="0" w:afterLines="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Times New Roman" w:cs="Times New Roman"/>
                      <w:color w:val="auto"/>
                      <w:kern w:val="0"/>
                      <w:sz w:val="21"/>
                      <w:szCs w:val="21"/>
                      <w:lang w:bidi="ar"/>
                    </w:rPr>
                    <w:t>45</w:t>
                  </w:r>
                </w:p>
              </w:tc>
              <w:tc>
                <w:tcPr>
                  <w:tcW w:w="1987" w:type="dxa"/>
                  <w:tcBorders>
                    <w:tl2br w:val="nil"/>
                    <w:tr2bl w:val="nil"/>
                  </w:tcBorders>
                  <w:noWrap w:val="0"/>
                  <w:vAlign w:val="center"/>
                </w:tcPr>
                <w:p w14:paraId="12CB024A">
                  <w:pPr>
                    <w:keepNext w:val="0"/>
                    <w:keepLines w:val="0"/>
                    <w:widowControl/>
                    <w:suppressLineNumbers w:val="0"/>
                    <w:jc w:val="center"/>
                    <w:textAlignment w:val="center"/>
                    <w:rPr>
                      <w:rFonts w:hint="default" w:ascii="Times New Roman" w:hAnsi="Times New Roman" w:eastAsia="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0.00648</w:t>
                  </w:r>
                </w:p>
              </w:tc>
            </w:tr>
            <w:tr w14:paraId="7C149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vMerge w:val="continue"/>
                  <w:tcBorders>
                    <w:tl2br w:val="nil"/>
                    <w:tr2bl w:val="nil"/>
                  </w:tcBorders>
                  <w:noWrap w:val="0"/>
                  <w:vAlign w:val="center"/>
                </w:tcPr>
                <w:p w14:paraId="0A57DDD8">
                  <w:pPr>
                    <w:pStyle w:val="30"/>
                    <w:spacing w:beforeLines="0" w:afterLines="0"/>
                    <w:rPr>
                      <w:rFonts w:hint="default" w:ascii="Times New Roman" w:hAnsi="Times New Roman" w:eastAsia="Times New Roman" w:cs="Times New Roman"/>
                      <w:color w:val="auto"/>
                      <w:sz w:val="21"/>
                      <w:szCs w:val="24"/>
                    </w:rPr>
                  </w:pPr>
                </w:p>
              </w:tc>
              <w:tc>
                <w:tcPr>
                  <w:tcW w:w="1986" w:type="dxa"/>
                  <w:tcBorders>
                    <w:tl2br w:val="nil"/>
                    <w:tr2bl w:val="nil"/>
                  </w:tcBorders>
                  <w:noWrap w:val="0"/>
                  <w:vAlign w:val="center"/>
                </w:tcPr>
                <w:p w14:paraId="44FC7F9C">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总磷</w:t>
                  </w:r>
                </w:p>
              </w:tc>
              <w:tc>
                <w:tcPr>
                  <w:tcW w:w="1987" w:type="dxa"/>
                  <w:tcBorders>
                    <w:tl2br w:val="nil"/>
                    <w:tr2bl w:val="nil"/>
                  </w:tcBorders>
                  <w:noWrap w:val="0"/>
                  <w:vAlign w:val="center"/>
                </w:tcPr>
                <w:p w14:paraId="4FF031D7">
                  <w:pPr>
                    <w:widowControl/>
                    <w:spacing w:beforeLines="0" w:afterLines="0"/>
                    <w:jc w:val="center"/>
                    <w:textAlignment w:val="center"/>
                    <w:rPr>
                      <w:rFonts w:hint="eastAsia"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8</w:t>
                  </w:r>
                </w:p>
              </w:tc>
              <w:tc>
                <w:tcPr>
                  <w:tcW w:w="1987" w:type="dxa"/>
                  <w:tcBorders>
                    <w:tl2br w:val="nil"/>
                    <w:tr2bl w:val="nil"/>
                  </w:tcBorders>
                  <w:noWrap w:val="0"/>
                  <w:vAlign w:val="center"/>
                </w:tcPr>
                <w:p w14:paraId="6741AD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0.001152</w:t>
                  </w:r>
                </w:p>
              </w:tc>
            </w:tr>
            <w:tr w14:paraId="0A2DF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46" w:type="dxa"/>
                  <w:gridSpan w:val="4"/>
                  <w:tcBorders>
                    <w:tl2br w:val="nil"/>
                    <w:tr2bl w:val="nil"/>
                  </w:tcBorders>
                  <w:noWrap w:val="0"/>
                  <w:vAlign w:val="top"/>
                </w:tcPr>
                <w:p w14:paraId="0BA4E798">
                  <w:pPr>
                    <w:widowControl/>
                    <w:spacing w:beforeLines="0" w:afterLines="0"/>
                    <w:jc w:val="both"/>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备注：排放浓度来源于《污水综合排放标准》（GB8978-1996）表4 中三级标准（其中氨氮、总磷参照执行《污水排入城镇下水道水质标准》GB/T 31962-2015表1中B级排放限值要求）。</w:t>
                  </w:r>
                </w:p>
              </w:tc>
            </w:tr>
          </w:tbl>
          <w:p w14:paraId="5E9ABADE">
            <w:pPr>
              <w:pStyle w:val="29"/>
              <w:bidi w:val="0"/>
              <w:rPr>
                <w:rFonts w:hint="default" w:ascii="Times New Roman" w:hAnsi="Times New Roman" w:eastAsia="宋体" w:cs="Times New Roman"/>
                <w:b/>
                <w:bCs/>
                <w:color w:val="auto"/>
                <w:lang w:val="en-US" w:eastAsia="zh-CN"/>
              </w:rPr>
            </w:pPr>
            <w:r>
              <w:rPr>
                <w:rFonts w:hint="eastAsia" w:ascii="Times New Roman" w:hAnsi="Times New Roman" w:cs="Times New Roman"/>
                <w:b/>
                <w:bCs/>
                <w:color w:val="auto"/>
                <w:lang w:val="en-US" w:eastAsia="zh-CN"/>
              </w:rPr>
              <w:t>（2）水帘柜循环废水</w:t>
            </w:r>
          </w:p>
          <w:p w14:paraId="75CE46E9">
            <w:pPr>
              <w:pStyle w:val="29"/>
              <w:bidi w:val="0"/>
              <w:rPr>
                <w:rFonts w:hint="default" w:ascii="Times New Roman" w:hAnsi="Times New Roman" w:eastAsia="宋体" w:cs="Times New Roman"/>
                <w:b/>
                <w:bCs/>
                <w:color w:val="auto"/>
                <w:lang w:val="en-US" w:eastAsia="zh-CN"/>
              </w:rPr>
            </w:pPr>
            <w:r>
              <w:rPr>
                <w:rFonts w:hint="eastAsia" w:ascii="Times New Roman" w:eastAsia="宋体"/>
                <w:color w:val="auto"/>
                <w:sz w:val="24"/>
                <w:lang w:val="en-US" w:eastAsia="zh-CN"/>
              </w:rPr>
              <w:t>本项目喷漆房设置有2个水帘柜，打磨房设置有</w:t>
            </w:r>
            <w:r>
              <w:rPr>
                <w:rFonts w:hint="eastAsia" w:ascii="Times New Roman"/>
                <w:color w:val="auto"/>
                <w:sz w:val="24"/>
                <w:lang w:val="en-US" w:eastAsia="zh-CN"/>
              </w:rPr>
              <w:t>2</w:t>
            </w:r>
            <w:r>
              <w:rPr>
                <w:rFonts w:hint="eastAsia" w:ascii="Times New Roman" w:eastAsia="宋体"/>
                <w:color w:val="auto"/>
                <w:sz w:val="24"/>
                <w:lang w:val="en-US" w:eastAsia="zh-CN"/>
              </w:rPr>
              <w:t>个水帘柜，单个水帘柜</w:t>
            </w:r>
            <w:r>
              <w:rPr>
                <w:rFonts w:hint="eastAsia" w:ascii="Times New Roman"/>
                <w:color w:val="auto"/>
                <w:sz w:val="24"/>
                <w:lang w:val="en-US" w:eastAsia="zh-CN"/>
              </w:rPr>
              <w:t>循环水在线量为0.25t</w:t>
            </w:r>
            <w:r>
              <w:rPr>
                <w:rFonts w:hint="eastAsia" w:ascii="Times New Roman" w:eastAsia="宋体"/>
                <w:color w:val="auto"/>
                <w:sz w:val="24"/>
                <w:lang w:val="en-US" w:eastAsia="zh-CN"/>
              </w:rPr>
              <w:t>，每半年更换一次循环水即1m</w:t>
            </w:r>
            <w:r>
              <w:rPr>
                <w:rFonts w:hint="eastAsia" w:ascii="Times New Roman" w:eastAsia="宋体"/>
                <w:color w:val="auto"/>
                <w:sz w:val="24"/>
                <w:vertAlign w:val="superscript"/>
                <w:lang w:val="en-US" w:eastAsia="zh-CN"/>
              </w:rPr>
              <w:t>3</w:t>
            </w:r>
            <w:r>
              <w:rPr>
                <w:rFonts w:hint="eastAsia" w:ascii="Times New Roman" w:eastAsia="宋体"/>
                <w:color w:val="auto"/>
                <w:sz w:val="24"/>
                <w:lang w:val="en-US" w:eastAsia="zh-CN"/>
              </w:rPr>
              <w:t>/a</w:t>
            </w:r>
            <w:r>
              <w:rPr>
                <w:rFonts w:hint="eastAsia" w:ascii="Times New Roman"/>
                <w:color w:val="auto"/>
                <w:sz w:val="24"/>
                <w:lang w:val="en-US" w:eastAsia="zh-CN"/>
              </w:rPr>
              <w:t>，废水直接作为危险废物委托有资质单位处理</w:t>
            </w:r>
            <w:r>
              <w:rPr>
                <w:color w:val="auto"/>
                <w:sz w:val="24"/>
              </w:rPr>
              <w:t>。</w:t>
            </w:r>
          </w:p>
          <w:p w14:paraId="7EEE30D7">
            <w:pPr>
              <w:pStyle w:val="29"/>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2.2 治理设施</w:t>
            </w:r>
          </w:p>
          <w:p w14:paraId="3BE33CEB">
            <w:pPr>
              <w:pStyle w:val="29"/>
              <w:bidi w:val="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生活污水经隔油池+化粪池处理达到《污水综合排放标准》（GB8978-1996）表4 中三级标准（其中氨氮、总磷参照执行《污水排入城镇下水道水质标准》GB/T 31962-2015表1中B级排放限值要求）后经市政污水管网进入铜桥港污水处理厂。</w:t>
            </w:r>
          </w:p>
          <w:p w14:paraId="651EF6CA">
            <w:pPr>
              <w:pStyle w:val="29"/>
              <w:bidi w:val="0"/>
              <w:rPr>
                <w:rFonts w:hint="default" w:ascii="Times New Roman" w:hAnsi="Times New Roman" w:cs="Times New Roman"/>
                <w:color w:val="auto"/>
              </w:rPr>
            </w:pPr>
            <w:r>
              <w:rPr>
                <w:rFonts w:hint="default" w:ascii="Times New Roman" w:hAnsi="Times New Roman" w:cs="Times New Roman"/>
                <w:color w:val="auto"/>
              </w:rPr>
              <w:t>本项目废水治理设施情况见表4-</w:t>
            </w:r>
            <w:r>
              <w:rPr>
                <w:rFonts w:hint="eastAsia" w:ascii="Times New Roman" w:hAnsi="Times New Roman" w:cs="Times New Roman"/>
                <w:color w:val="auto"/>
                <w:lang w:val="en-US" w:eastAsia="zh-CN"/>
              </w:rPr>
              <w:t>10</w:t>
            </w:r>
            <w:r>
              <w:rPr>
                <w:rFonts w:hint="default" w:ascii="Times New Roman" w:hAnsi="Times New Roman" w:cs="Times New Roman"/>
                <w:color w:val="auto"/>
              </w:rPr>
              <w:t>。</w:t>
            </w:r>
          </w:p>
          <w:p w14:paraId="531F7E49">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w:t>
            </w:r>
            <w:r>
              <w:rPr>
                <w:rFonts w:hint="eastAsia" w:ascii="Times New Roman" w:hAnsi="Times New Roman" w:cs="Times New Roman"/>
                <w:color w:val="auto"/>
                <w:lang w:val="en-US" w:eastAsia="zh-CN"/>
              </w:rPr>
              <w:t>10</w:t>
            </w:r>
            <w:r>
              <w:rPr>
                <w:rFonts w:hint="default" w:ascii="Times New Roman" w:hAnsi="Times New Roman" w:cs="Times New Roman"/>
                <w:color w:val="auto"/>
                <w:lang w:val="en-US" w:eastAsia="zh-CN"/>
              </w:rPr>
              <w:t xml:space="preserve">  废水治理设施情况</w:t>
            </w:r>
          </w:p>
          <w:tbl>
            <w:tblPr>
              <w:tblStyle w:val="18"/>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1"/>
              <w:gridCol w:w="966"/>
              <w:gridCol w:w="870"/>
              <w:gridCol w:w="883"/>
              <w:gridCol w:w="772"/>
              <w:gridCol w:w="1553"/>
              <w:gridCol w:w="793"/>
              <w:gridCol w:w="611"/>
              <w:gridCol w:w="686"/>
            </w:tblGrid>
            <w:tr w14:paraId="66ABF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1" w:type="dxa"/>
                  <w:vMerge w:val="restart"/>
                  <w:tcBorders>
                    <w:top w:val="single" w:color="auto" w:sz="12" w:space="0"/>
                    <w:left w:val="nil"/>
                    <w:bottom w:val="single" w:color="auto" w:sz="4" w:space="0"/>
                    <w:right w:val="single" w:color="auto" w:sz="4" w:space="0"/>
                    <w:tl2br w:val="nil"/>
                    <w:tr2bl w:val="nil"/>
                  </w:tcBorders>
                  <w:noWrap w:val="0"/>
                  <w:vAlign w:val="center"/>
                </w:tcPr>
                <w:p w14:paraId="6E605452">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排放口编号</w:t>
                  </w:r>
                </w:p>
              </w:tc>
              <w:tc>
                <w:tcPr>
                  <w:tcW w:w="966"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FC997B6">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废水类别</w:t>
                  </w:r>
                </w:p>
              </w:tc>
              <w:tc>
                <w:tcPr>
                  <w:tcW w:w="870"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15557612">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污染物种类</w:t>
                  </w:r>
                </w:p>
              </w:tc>
              <w:tc>
                <w:tcPr>
                  <w:tcW w:w="4001" w:type="dxa"/>
                  <w:gridSpan w:val="4"/>
                  <w:tcBorders>
                    <w:top w:val="single" w:color="auto" w:sz="12" w:space="0"/>
                    <w:left w:val="single" w:color="auto" w:sz="4" w:space="0"/>
                    <w:bottom w:val="single" w:color="auto" w:sz="4" w:space="0"/>
                    <w:right w:val="single" w:color="auto" w:sz="4" w:space="0"/>
                    <w:tl2br w:val="nil"/>
                    <w:tr2bl w:val="nil"/>
                  </w:tcBorders>
                  <w:noWrap w:val="0"/>
                  <w:vAlign w:val="center"/>
                </w:tcPr>
                <w:p w14:paraId="7374F10F">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污染治理设施</w:t>
                  </w:r>
                </w:p>
              </w:tc>
              <w:tc>
                <w:tcPr>
                  <w:tcW w:w="611"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3E703086">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排放方式</w:t>
                  </w:r>
                </w:p>
              </w:tc>
              <w:tc>
                <w:tcPr>
                  <w:tcW w:w="686" w:type="dxa"/>
                  <w:vMerge w:val="restart"/>
                  <w:tcBorders>
                    <w:top w:val="single" w:color="auto" w:sz="12" w:space="0"/>
                    <w:left w:val="single" w:color="auto" w:sz="4" w:space="0"/>
                    <w:bottom w:val="single" w:color="auto" w:sz="4" w:space="0"/>
                    <w:right w:val="nil"/>
                    <w:tl2br w:val="nil"/>
                    <w:tr2bl w:val="nil"/>
                  </w:tcBorders>
                  <w:noWrap w:val="0"/>
                  <w:vAlign w:val="center"/>
                </w:tcPr>
                <w:p w14:paraId="13B1E1C6">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去向</w:t>
                  </w:r>
                </w:p>
              </w:tc>
            </w:tr>
            <w:tr w14:paraId="1C73D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1" w:type="dxa"/>
                  <w:vMerge w:val="continue"/>
                  <w:tcBorders>
                    <w:top w:val="single" w:color="auto" w:sz="4" w:space="0"/>
                    <w:left w:val="nil"/>
                    <w:bottom w:val="single" w:color="auto" w:sz="4" w:space="0"/>
                    <w:right w:val="single" w:color="auto" w:sz="4" w:space="0"/>
                    <w:tl2br w:val="nil"/>
                    <w:tr2bl w:val="nil"/>
                  </w:tcBorders>
                  <w:noWrap w:val="0"/>
                  <w:vAlign w:val="center"/>
                </w:tcPr>
                <w:p w14:paraId="45EAE22E">
                  <w:pPr>
                    <w:pStyle w:val="30"/>
                    <w:bidi w:val="0"/>
                    <w:rPr>
                      <w:rFonts w:hint="default" w:ascii="Times New Roman" w:hAnsi="Times New Roman" w:cs="Times New Roman"/>
                      <w:color w:val="auto"/>
                      <w:sz w:val="18"/>
                      <w:szCs w:val="18"/>
                    </w:rPr>
                  </w:pPr>
                </w:p>
              </w:tc>
              <w:tc>
                <w:tcPr>
                  <w:tcW w:w="96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56A1CB0">
                  <w:pPr>
                    <w:pStyle w:val="30"/>
                    <w:bidi w:val="0"/>
                    <w:rPr>
                      <w:rFonts w:hint="default" w:ascii="Times New Roman" w:hAnsi="Times New Roman" w:cs="Times New Roman"/>
                      <w:color w:val="auto"/>
                      <w:sz w:val="18"/>
                      <w:szCs w:val="18"/>
                    </w:rPr>
                  </w:pPr>
                </w:p>
              </w:tc>
              <w:tc>
                <w:tcPr>
                  <w:tcW w:w="870"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621D2D9">
                  <w:pPr>
                    <w:pStyle w:val="30"/>
                    <w:bidi w:val="0"/>
                    <w:rPr>
                      <w:rFonts w:hint="default" w:ascii="Times New Roman" w:hAnsi="Times New Roman" w:cs="Times New Roman"/>
                      <w:color w:val="auto"/>
                      <w:sz w:val="18"/>
                      <w:szCs w:val="18"/>
                    </w:rPr>
                  </w:pPr>
                </w:p>
              </w:tc>
              <w:tc>
                <w:tcPr>
                  <w:tcW w:w="8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2EC381C">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77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77A4E2">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处理能力(t/d)</w:t>
                  </w:r>
                </w:p>
              </w:tc>
              <w:tc>
                <w:tcPr>
                  <w:tcW w:w="15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D8B60B">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治理工艺</w:t>
                  </w:r>
                </w:p>
              </w:tc>
              <w:tc>
                <w:tcPr>
                  <w:tcW w:w="79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FA876D2">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是否为可行性技术</w:t>
                  </w:r>
                </w:p>
              </w:tc>
              <w:tc>
                <w:tcPr>
                  <w:tcW w:w="61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2459422">
                  <w:pPr>
                    <w:pStyle w:val="30"/>
                    <w:bidi w:val="0"/>
                    <w:rPr>
                      <w:rFonts w:hint="default" w:ascii="Times New Roman" w:hAnsi="Times New Roman" w:cs="Times New Roman"/>
                      <w:color w:val="auto"/>
                      <w:sz w:val="18"/>
                      <w:szCs w:val="18"/>
                    </w:rPr>
                  </w:pPr>
                </w:p>
              </w:tc>
              <w:tc>
                <w:tcPr>
                  <w:tcW w:w="686" w:type="dxa"/>
                  <w:vMerge w:val="continue"/>
                  <w:tcBorders>
                    <w:top w:val="single" w:color="auto" w:sz="4" w:space="0"/>
                    <w:left w:val="single" w:color="auto" w:sz="4" w:space="0"/>
                    <w:bottom w:val="single" w:color="auto" w:sz="4" w:space="0"/>
                    <w:right w:val="nil"/>
                    <w:tl2br w:val="nil"/>
                    <w:tr2bl w:val="nil"/>
                  </w:tcBorders>
                  <w:noWrap w:val="0"/>
                  <w:vAlign w:val="center"/>
                </w:tcPr>
                <w:p w14:paraId="2636AF76">
                  <w:pPr>
                    <w:pStyle w:val="30"/>
                    <w:bidi w:val="0"/>
                    <w:rPr>
                      <w:rFonts w:hint="default" w:ascii="Times New Roman" w:hAnsi="Times New Roman" w:cs="Times New Roman"/>
                      <w:color w:val="auto"/>
                      <w:sz w:val="18"/>
                      <w:szCs w:val="18"/>
                    </w:rPr>
                  </w:pPr>
                </w:p>
              </w:tc>
            </w:tr>
            <w:tr w14:paraId="052A0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1" w:type="dxa"/>
                  <w:tcBorders>
                    <w:top w:val="single" w:color="auto" w:sz="4" w:space="0"/>
                    <w:left w:val="nil"/>
                    <w:bottom w:val="single" w:color="auto" w:sz="4" w:space="0"/>
                    <w:right w:val="single" w:color="auto" w:sz="4" w:space="0"/>
                    <w:tl2br w:val="nil"/>
                    <w:tr2bl w:val="nil"/>
                  </w:tcBorders>
                  <w:noWrap w:val="0"/>
                  <w:vAlign w:val="center"/>
                </w:tcPr>
                <w:p w14:paraId="5F72DCBE">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DW001</w:t>
                  </w:r>
                </w:p>
              </w:tc>
              <w:tc>
                <w:tcPr>
                  <w:tcW w:w="9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F60BFA6">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生活污水</w:t>
                  </w:r>
                </w:p>
              </w:tc>
              <w:tc>
                <w:tcPr>
                  <w:tcW w:w="8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F0718D0">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pH、</w:t>
                  </w: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vertAlign w:val="subscript"/>
                    </w:rPr>
                    <w:t>cr</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SS</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NH</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-H</w:t>
                  </w:r>
                  <w:r>
                    <w:rPr>
                      <w:rFonts w:hint="eastAsia" w:ascii="Times New Roman" w:hAnsi="Times New Roman" w:cs="Times New Roman"/>
                      <w:color w:val="auto"/>
                      <w:sz w:val="18"/>
                      <w:szCs w:val="18"/>
                      <w:lang w:eastAsia="zh-CN"/>
                    </w:rPr>
                    <w:t>、</w:t>
                  </w:r>
                  <w:r>
                    <w:rPr>
                      <w:rFonts w:hint="eastAsia"/>
                      <w:color w:val="auto"/>
                      <w:lang w:val="en-US" w:eastAsia="zh-CN"/>
                    </w:rPr>
                    <w:t>总磷</w:t>
                  </w:r>
                </w:p>
              </w:tc>
              <w:tc>
                <w:tcPr>
                  <w:tcW w:w="8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A7742C">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化粪池TW001</w:t>
                  </w:r>
                </w:p>
              </w:tc>
              <w:tc>
                <w:tcPr>
                  <w:tcW w:w="77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3C85DF">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6.0</w:t>
                  </w:r>
                </w:p>
              </w:tc>
              <w:tc>
                <w:tcPr>
                  <w:tcW w:w="15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2DF5F3">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沉淀+厌氧发酵</w:t>
                  </w:r>
                </w:p>
              </w:tc>
              <w:tc>
                <w:tcPr>
                  <w:tcW w:w="79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AC459D">
                  <w:pPr>
                    <w:pStyle w:val="30"/>
                    <w:bidi w:val="0"/>
                    <w:rPr>
                      <w:rFonts w:hint="eastAsia" w:ascii="Times New Roman" w:hAnsi="Times New Roman" w:eastAsia="宋体" w:cs="Times New Roman"/>
                      <w:color w:val="auto"/>
                      <w:sz w:val="18"/>
                      <w:szCs w:val="18"/>
                      <w:lang w:eastAsia="zh-CN"/>
                    </w:rPr>
                  </w:pPr>
                  <w:r>
                    <w:rPr>
                      <w:rFonts w:hint="eastAsia" w:ascii="Times New Roman" w:hAnsi="Times New Roman" w:cs="Times New Roman"/>
                      <w:color w:val="auto"/>
                      <w:sz w:val="18"/>
                      <w:szCs w:val="18"/>
                      <w:lang w:eastAsia="zh-CN"/>
                    </w:rPr>
                    <w:t>是</w:t>
                  </w:r>
                </w:p>
              </w:tc>
              <w:tc>
                <w:tcPr>
                  <w:tcW w:w="6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1E51E9A">
                  <w:pPr>
                    <w:pStyle w:val="30"/>
                    <w:bidi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间接排放</w:t>
                  </w:r>
                </w:p>
              </w:tc>
              <w:tc>
                <w:tcPr>
                  <w:tcW w:w="686" w:type="dxa"/>
                  <w:tcBorders>
                    <w:top w:val="single" w:color="auto" w:sz="4" w:space="0"/>
                    <w:left w:val="single" w:color="auto" w:sz="4" w:space="0"/>
                    <w:bottom w:val="single" w:color="auto" w:sz="4" w:space="0"/>
                    <w:right w:val="nil"/>
                    <w:tl2br w:val="nil"/>
                    <w:tr2bl w:val="nil"/>
                  </w:tcBorders>
                  <w:noWrap w:val="0"/>
                  <w:vAlign w:val="center"/>
                </w:tcPr>
                <w:p w14:paraId="14085A26">
                  <w:pPr>
                    <w:pStyle w:val="30"/>
                    <w:bidi w:val="0"/>
                    <w:rPr>
                      <w:rFonts w:hint="eastAsia" w:ascii="Times New Roman" w:hAnsi="Times New Roman" w:eastAsia="宋体" w:cs="Times New Roman"/>
                      <w:color w:val="auto"/>
                      <w:sz w:val="18"/>
                      <w:szCs w:val="18"/>
                      <w:lang w:eastAsia="zh-CN"/>
                    </w:rPr>
                  </w:pPr>
                  <w:r>
                    <w:rPr>
                      <w:rFonts w:hint="eastAsia" w:ascii="Times New Roman" w:hAnsi="Times New Roman" w:cs="Times New Roman"/>
                      <w:color w:val="auto"/>
                      <w:sz w:val="18"/>
                      <w:szCs w:val="18"/>
                      <w:lang w:eastAsia="zh-CN"/>
                    </w:rPr>
                    <w:t>铜桥港污水处理厂</w:t>
                  </w:r>
                </w:p>
              </w:tc>
            </w:tr>
          </w:tbl>
          <w:p w14:paraId="2E4D045E">
            <w:pPr>
              <w:pStyle w:val="29"/>
              <w:bidi w:val="0"/>
              <w:rPr>
                <w:rFonts w:hint="default" w:ascii="Times New Roman" w:hAnsi="Times New Roman" w:cs="Times New Roman"/>
                <w:color w:val="auto"/>
              </w:rPr>
            </w:pPr>
            <w:r>
              <w:rPr>
                <w:rFonts w:hint="default" w:ascii="Times New Roman" w:hAnsi="Times New Roman" w:cs="Times New Roman"/>
                <w:b/>
                <w:bCs/>
                <w:color w:val="auto"/>
              </w:rPr>
              <w:t>2.3 废水排放口基本信息</w:t>
            </w:r>
          </w:p>
          <w:p w14:paraId="0F4EB227">
            <w:pPr>
              <w:pStyle w:val="29"/>
              <w:bidi w:val="0"/>
              <w:rPr>
                <w:rFonts w:hint="default" w:ascii="Times New Roman" w:hAnsi="Times New Roman" w:cs="Times New Roman"/>
                <w:color w:val="auto"/>
              </w:rPr>
            </w:pPr>
            <w:r>
              <w:rPr>
                <w:rFonts w:hint="default" w:ascii="Times New Roman" w:hAnsi="Times New Roman" w:cs="Times New Roman"/>
                <w:color w:val="auto"/>
              </w:rPr>
              <w:t>本项目废水排放口基本信息情况见表4-</w:t>
            </w:r>
            <w:r>
              <w:rPr>
                <w:rFonts w:hint="eastAsia" w:ascii="Times New Roman" w:hAnsi="Times New Roman" w:cs="Times New Roman"/>
                <w:color w:val="auto"/>
                <w:lang w:val="en-US" w:eastAsia="zh-CN"/>
              </w:rPr>
              <w:t>11</w:t>
            </w:r>
            <w:r>
              <w:rPr>
                <w:rFonts w:hint="default" w:ascii="Times New Roman" w:hAnsi="Times New Roman" w:cs="Times New Roman"/>
                <w:color w:val="auto"/>
              </w:rPr>
              <w:t>。</w:t>
            </w:r>
          </w:p>
          <w:p w14:paraId="0AB54B88">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表4-1</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 xml:space="preserve">  废水排放口基本信息</w:t>
            </w:r>
          </w:p>
          <w:tbl>
            <w:tblPr>
              <w:tblStyle w:val="18"/>
              <w:tblW w:w="79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037"/>
              <w:gridCol w:w="1435"/>
              <w:gridCol w:w="1340"/>
              <w:gridCol w:w="1238"/>
              <w:gridCol w:w="1230"/>
              <w:gridCol w:w="718"/>
            </w:tblGrid>
            <w:tr w14:paraId="05509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tcBorders>
                    <w:top w:val="single" w:color="auto" w:sz="12" w:space="0"/>
                    <w:left w:val="nil"/>
                    <w:bottom w:val="single" w:color="auto" w:sz="4" w:space="0"/>
                    <w:right w:val="single" w:color="auto" w:sz="4" w:space="0"/>
                    <w:tl2br w:val="nil"/>
                    <w:tr2bl w:val="nil"/>
                  </w:tcBorders>
                  <w:noWrap w:val="0"/>
                  <w:vAlign w:val="center"/>
                </w:tcPr>
                <w:p w14:paraId="21F814D2">
                  <w:pPr>
                    <w:pStyle w:val="30"/>
                    <w:bidi w:val="0"/>
                    <w:rPr>
                      <w:rFonts w:hint="default" w:ascii="Times New Roman" w:hAnsi="Times New Roman" w:cs="Times New Roman"/>
                      <w:color w:val="auto"/>
                    </w:rPr>
                  </w:pPr>
                  <w:r>
                    <w:rPr>
                      <w:rFonts w:hint="default" w:ascii="Times New Roman" w:hAnsi="Times New Roman" w:cs="Times New Roman"/>
                      <w:color w:val="auto"/>
                    </w:rPr>
                    <w:t>排放口编号</w:t>
                  </w:r>
                </w:p>
              </w:tc>
              <w:tc>
                <w:tcPr>
                  <w:tcW w:w="1037"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2826B5AC">
                  <w:pPr>
                    <w:pStyle w:val="30"/>
                    <w:bidi w:val="0"/>
                    <w:rPr>
                      <w:rFonts w:hint="default" w:ascii="Times New Roman" w:hAnsi="Times New Roman" w:cs="Times New Roman"/>
                      <w:color w:val="auto"/>
                    </w:rPr>
                  </w:pPr>
                  <w:r>
                    <w:rPr>
                      <w:rFonts w:hint="default" w:ascii="Times New Roman" w:hAnsi="Times New Roman" w:cs="Times New Roman"/>
                      <w:color w:val="auto"/>
                    </w:rPr>
                    <w:t>排放口名称</w:t>
                  </w:r>
                </w:p>
              </w:tc>
              <w:tc>
                <w:tcPr>
                  <w:tcW w:w="2775" w:type="dxa"/>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1E4B857F">
                  <w:pPr>
                    <w:pStyle w:val="30"/>
                    <w:bidi w:val="0"/>
                    <w:rPr>
                      <w:rFonts w:hint="default" w:ascii="Times New Roman" w:hAnsi="Times New Roman" w:cs="Times New Roman"/>
                      <w:color w:val="auto"/>
                    </w:rPr>
                  </w:pPr>
                  <w:r>
                    <w:rPr>
                      <w:rFonts w:hint="default" w:ascii="Times New Roman" w:hAnsi="Times New Roman" w:cs="Times New Roman"/>
                      <w:color w:val="auto"/>
                    </w:rPr>
                    <w:t>排放口地理坐标</w:t>
                  </w:r>
                </w:p>
              </w:tc>
              <w:tc>
                <w:tcPr>
                  <w:tcW w:w="1238"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3B59B4E0">
                  <w:pPr>
                    <w:pStyle w:val="30"/>
                    <w:bidi w:val="0"/>
                    <w:rPr>
                      <w:rFonts w:hint="default" w:ascii="Times New Roman" w:hAnsi="Times New Roman" w:cs="Times New Roman"/>
                      <w:color w:val="auto"/>
                    </w:rPr>
                  </w:pPr>
                  <w:r>
                    <w:rPr>
                      <w:rFonts w:hint="default" w:ascii="Times New Roman" w:hAnsi="Times New Roman" w:cs="Times New Roman"/>
                      <w:color w:val="auto"/>
                    </w:rPr>
                    <w:t>废水排放量（万 t/a）</w:t>
                  </w:r>
                </w:p>
              </w:tc>
              <w:tc>
                <w:tcPr>
                  <w:tcW w:w="1230"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87362C2">
                  <w:pPr>
                    <w:pStyle w:val="30"/>
                    <w:bidi w:val="0"/>
                    <w:rPr>
                      <w:rFonts w:hint="default" w:ascii="Times New Roman" w:hAnsi="Times New Roman" w:cs="Times New Roman"/>
                      <w:color w:val="auto"/>
                    </w:rPr>
                  </w:pPr>
                  <w:r>
                    <w:rPr>
                      <w:rFonts w:hint="default" w:ascii="Times New Roman" w:hAnsi="Times New Roman" w:cs="Times New Roman"/>
                      <w:color w:val="auto"/>
                    </w:rPr>
                    <w:t>排放去向</w:t>
                  </w:r>
                </w:p>
              </w:tc>
              <w:tc>
                <w:tcPr>
                  <w:tcW w:w="718" w:type="dxa"/>
                  <w:vMerge w:val="restart"/>
                  <w:tcBorders>
                    <w:top w:val="single" w:color="auto" w:sz="12" w:space="0"/>
                    <w:left w:val="single" w:color="auto" w:sz="4" w:space="0"/>
                    <w:bottom w:val="single" w:color="auto" w:sz="4" w:space="0"/>
                    <w:right w:val="nil"/>
                    <w:tl2br w:val="nil"/>
                    <w:tr2bl w:val="nil"/>
                  </w:tcBorders>
                  <w:noWrap w:val="0"/>
                  <w:vAlign w:val="center"/>
                </w:tcPr>
                <w:p w14:paraId="0EE640A6">
                  <w:pPr>
                    <w:pStyle w:val="30"/>
                    <w:bidi w:val="0"/>
                    <w:rPr>
                      <w:rFonts w:hint="default" w:ascii="Times New Roman" w:hAnsi="Times New Roman" w:cs="Times New Roman"/>
                      <w:color w:val="auto"/>
                    </w:rPr>
                  </w:pPr>
                  <w:r>
                    <w:rPr>
                      <w:rFonts w:hint="default" w:ascii="Times New Roman" w:hAnsi="Times New Roman" w:cs="Times New Roman"/>
                      <w:color w:val="auto"/>
                    </w:rPr>
                    <w:t>排放规律</w:t>
                  </w:r>
                </w:p>
              </w:tc>
            </w:tr>
            <w:tr w14:paraId="7D953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tcBorders>
                    <w:top w:val="single" w:color="auto" w:sz="4" w:space="0"/>
                    <w:left w:val="nil"/>
                    <w:bottom w:val="single" w:color="auto" w:sz="4" w:space="0"/>
                    <w:right w:val="single" w:color="auto" w:sz="4" w:space="0"/>
                    <w:tl2br w:val="nil"/>
                    <w:tr2bl w:val="nil"/>
                  </w:tcBorders>
                  <w:noWrap w:val="0"/>
                  <w:vAlign w:val="center"/>
                </w:tcPr>
                <w:p w14:paraId="325EA688">
                  <w:pPr>
                    <w:pStyle w:val="30"/>
                    <w:bidi w:val="0"/>
                    <w:rPr>
                      <w:rFonts w:hint="default" w:ascii="Times New Roman" w:hAnsi="Times New Roman" w:cs="Times New Roman"/>
                      <w:color w:val="auto"/>
                    </w:rPr>
                  </w:pPr>
                </w:p>
              </w:tc>
              <w:tc>
                <w:tcPr>
                  <w:tcW w:w="10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7B872F">
                  <w:pPr>
                    <w:pStyle w:val="30"/>
                    <w:bidi w:val="0"/>
                    <w:rPr>
                      <w:rFonts w:hint="default" w:ascii="Times New Roman" w:hAnsi="Times New Roman" w:cs="Times New Roman"/>
                      <w:color w:val="auto"/>
                    </w:rPr>
                  </w:pPr>
                </w:p>
              </w:tc>
              <w:tc>
                <w:tcPr>
                  <w:tcW w:w="14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18EE257">
                  <w:pPr>
                    <w:pStyle w:val="30"/>
                    <w:bidi w:val="0"/>
                    <w:rPr>
                      <w:rFonts w:hint="default" w:ascii="Times New Roman" w:hAnsi="Times New Roman" w:cs="Times New Roman"/>
                      <w:color w:val="auto"/>
                    </w:rPr>
                  </w:pPr>
                  <w:r>
                    <w:rPr>
                      <w:rFonts w:hint="default" w:ascii="Times New Roman" w:hAnsi="Times New Roman" w:cs="Times New Roman"/>
                      <w:color w:val="auto"/>
                    </w:rPr>
                    <w:t>经度</w:t>
                  </w:r>
                </w:p>
              </w:tc>
              <w:tc>
                <w:tcPr>
                  <w:tcW w:w="13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1C7610">
                  <w:pPr>
                    <w:pStyle w:val="30"/>
                    <w:bidi w:val="0"/>
                    <w:rPr>
                      <w:rFonts w:hint="default" w:ascii="Times New Roman" w:hAnsi="Times New Roman" w:cs="Times New Roman"/>
                      <w:color w:val="auto"/>
                    </w:rPr>
                  </w:pPr>
                  <w:r>
                    <w:rPr>
                      <w:rFonts w:hint="default" w:ascii="Times New Roman" w:hAnsi="Times New Roman" w:cs="Times New Roman"/>
                      <w:color w:val="auto"/>
                    </w:rPr>
                    <w:t>纬度</w:t>
                  </w:r>
                </w:p>
              </w:tc>
              <w:tc>
                <w:tcPr>
                  <w:tcW w:w="123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C0EEE1D">
                  <w:pPr>
                    <w:pStyle w:val="30"/>
                    <w:bidi w:val="0"/>
                    <w:rPr>
                      <w:rFonts w:hint="default" w:ascii="Times New Roman" w:hAnsi="Times New Roman" w:cs="Times New Roman"/>
                      <w:color w:val="auto"/>
                    </w:rPr>
                  </w:pPr>
                </w:p>
              </w:tc>
              <w:tc>
                <w:tcPr>
                  <w:tcW w:w="1230"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EE3D5E5">
                  <w:pPr>
                    <w:pStyle w:val="30"/>
                    <w:bidi w:val="0"/>
                    <w:rPr>
                      <w:rFonts w:hint="default" w:ascii="Times New Roman" w:hAnsi="Times New Roman" w:cs="Times New Roman"/>
                      <w:color w:val="auto"/>
                    </w:rPr>
                  </w:pPr>
                </w:p>
              </w:tc>
              <w:tc>
                <w:tcPr>
                  <w:tcW w:w="718" w:type="dxa"/>
                  <w:vMerge w:val="continue"/>
                  <w:tcBorders>
                    <w:top w:val="single" w:color="auto" w:sz="4" w:space="0"/>
                    <w:left w:val="single" w:color="auto" w:sz="4" w:space="0"/>
                    <w:bottom w:val="single" w:color="auto" w:sz="4" w:space="0"/>
                    <w:right w:val="nil"/>
                    <w:tl2br w:val="nil"/>
                    <w:tr2bl w:val="nil"/>
                  </w:tcBorders>
                  <w:noWrap w:val="0"/>
                  <w:vAlign w:val="center"/>
                </w:tcPr>
                <w:p w14:paraId="1F599177">
                  <w:pPr>
                    <w:pStyle w:val="30"/>
                    <w:bidi w:val="0"/>
                    <w:rPr>
                      <w:rFonts w:hint="default" w:ascii="Times New Roman" w:hAnsi="Times New Roman" w:cs="Times New Roman"/>
                      <w:color w:val="auto"/>
                    </w:rPr>
                  </w:pPr>
                </w:p>
              </w:tc>
            </w:tr>
            <w:tr w14:paraId="4ECFB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tcBorders>
                    <w:top w:val="single" w:color="auto" w:sz="4" w:space="0"/>
                    <w:left w:val="nil"/>
                    <w:bottom w:val="single" w:color="auto" w:sz="12" w:space="0"/>
                    <w:right w:val="single" w:color="auto" w:sz="4" w:space="0"/>
                    <w:tl2br w:val="nil"/>
                    <w:tr2bl w:val="nil"/>
                  </w:tcBorders>
                  <w:noWrap w:val="0"/>
                  <w:vAlign w:val="center"/>
                </w:tcPr>
                <w:p w14:paraId="5274B1FC">
                  <w:pPr>
                    <w:pStyle w:val="30"/>
                    <w:bidi w:val="0"/>
                    <w:rPr>
                      <w:rFonts w:hint="default" w:ascii="Times New Roman" w:hAnsi="Times New Roman" w:cs="Times New Roman"/>
                      <w:color w:val="auto"/>
                    </w:rPr>
                  </w:pPr>
                  <w:r>
                    <w:rPr>
                      <w:rFonts w:hint="default" w:ascii="Times New Roman" w:hAnsi="Times New Roman" w:cs="Times New Roman"/>
                      <w:color w:val="auto"/>
                    </w:rPr>
                    <w:t>DW001</w:t>
                  </w:r>
                </w:p>
              </w:tc>
              <w:tc>
                <w:tcPr>
                  <w:tcW w:w="1037"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1F029882">
                  <w:pPr>
                    <w:pStyle w:val="30"/>
                    <w:bidi w:val="0"/>
                    <w:rPr>
                      <w:rFonts w:hint="default" w:ascii="Times New Roman" w:hAnsi="Times New Roman" w:cs="Times New Roman"/>
                      <w:color w:val="auto"/>
                    </w:rPr>
                  </w:pPr>
                  <w:r>
                    <w:rPr>
                      <w:rFonts w:hint="default" w:ascii="Times New Roman" w:hAnsi="Times New Roman" w:cs="Times New Roman"/>
                      <w:color w:val="auto"/>
                      <w:lang w:val="en-US" w:eastAsia="zh-CN"/>
                    </w:rPr>
                    <w:t>生活污水</w:t>
                  </w:r>
                  <w:r>
                    <w:rPr>
                      <w:rFonts w:hint="default" w:ascii="Times New Roman" w:hAnsi="Times New Roman" w:cs="Times New Roman"/>
                      <w:color w:val="auto"/>
                    </w:rPr>
                    <w:t>排放口</w:t>
                  </w:r>
                </w:p>
              </w:tc>
              <w:tc>
                <w:tcPr>
                  <w:tcW w:w="1435"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1BFCF976">
                  <w:pPr>
                    <w:pStyle w:val="30"/>
                    <w:bidi w:val="0"/>
                    <w:rPr>
                      <w:rFonts w:hint="eastAsia" w:ascii="Times New Roman" w:hAnsi="Times New Roman" w:eastAsia="宋体" w:cs="Times New Roman"/>
                      <w:color w:val="auto"/>
                      <w:lang w:val="en-US" w:eastAsia="zh-CN"/>
                    </w:rPr>
                  </w:pPr>
                  <w:r>
                    <w:rPr>
                      <w:rFonts w:hint="default" w:ascii="Times New Roman" w:hAnsi="Times New Roman" w:cs="Times New Roman"/>
                      <w:color w:val="auto"/>
                    </w:rPr>
                    <w:t>112°35′34.31311″</w:t>
                  </w:r>
                </w:p>
              </w:tc>
              <w:tc>
                <w:tcPr>
                  <w:tcW w:w="134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3290743A">
                  <w:pPr>
                    <w:pStyle w:val="30"/>
                    <w:bidi w:val="0"/>
                    <w:rPr>
                      <w:rFonts w:hint="eastAsia" w:ascii="Times New Roman" w:hAnsi="Times New Roman" w:eastAsia="宋体" w:cs="Times New Roman"/>
                      <w:color w:val="auto"/>
                      <w:lang w:val="en-US" w:eastAsia="zh-CN"/>
                    </w:rPr>
                  </w:pPr>
                  <w:r>
                    <w:rPr>
                      <w:rFonts w:hint="default" w:ascii="Times New Roman" w:hAnsi="Times New Roman" w:cs="Times New Roman"/>
                      <w:color w:val="auto"/>
                    </w:rPr>
                    <w:t>26°49′36.03922″</w:t>
                  </w:r>
                </w:p>
              </w:tc>
              <w:tc>
                <w:tcPr>
                  <w:tcW w:w="1238"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09D5CAC">
                  <w:pPr>
                    <w:pStyle w:val="30"/>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0.0</w:t>
                  </w:r>
                  <w:r>
                    <w:rPr>
                      <w:rFonts w:hint="eastAsia" w:ascii="Times New Roman" w:hAnsi="Times New Roman" w:cs="Times New Roman"/>
                      <w:color w:val="auto"/>
                      <w:lang w:val="en-US" w:eastAsia="zh-CN"/>
                    </w:rPr>
                    <w:t>144</w:t>
                  </w:r>
                </w:p>
              </w:tc>
              <w:tc>
                <w:tcPr>
                  <w:tcW w:w="123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E8F8EB6">
                  <w:pPr>
                    <w:pStyle w:val="30"/>
                    <w:bidi w:val="0"/>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铜桥港污水处理厂</w:t>
                  </w:r>
                </w:p>
              </w:tc>
              <w:tc>
                <w:tcPr>
                  <w:tcW w:w="718" w:type="dxa"/>
                  <w:tcBorders>
                    <w:top w:val="single" w:color="auto" w:sz="4" w:space="0"/>
                    <w:left w:val="single" w:color="auto" w:sz="4" w:space="0"/>
                    <w:bottom w:val="single" w:color="auto" w:sz="12" w:space="0"/>
                    <w:right w:val="nil"/>
                    <w:tl2br w:val="nil"/>
                    <w:tr2bl w:val="nil"/>
                  </w:tcBorders>
                  <w:noWrap w:val="0"/>
                  <w:vAlign w:val="center"/>
                </w:tcPr>
                <w:p w14:paraId="12DFBB52">
                  <w:pPr>
                    <w:pStyle w:val="30"/>
                    <w:bidi w:val="0"/>
                    <w:rPr>
                      <w:rFonts w:hint="default" w:ascii="Times New Roman" w:hAnsi="Times New Roman" w:cs="Times New Roman"/>
                      <w:color w:val="auto"/>
                    </w:rPr>
                  </w:pPr>
                  <w:r>
                    <w:rPr>
                      <w:rFonts w:hint="default" w:ascii="Times New Roman" w:hAnsi="Times New Roman" w:cs="Times New Roman"/>
                      <w:color w:val="auto"/>
                    </w:rPr>
                    <w:t>间断排放</w:t>
                  </w:r>
                </w:p>
              </w:tc>
            </w:tr>
          </w:tbl>
          <w:p w14:paraId="73F4A4CC">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2.4 依托铜桥港污水处理厂可行性分析</w:t>
            </w:r>
          </w:p>
          <w:p w14:paraId="00D7A8A4">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rPr>
            </w:pPr>
            <w:r>
              <w:rPr>
                <w:rFonts w:hint="eastAsia"/>
                <w:color w:val="auto"/>
                <w:sz w:val="24"/>
                <w:szCs w:val="24"/>
              </w:rPr>
              <w:t>①接管可行性分析</w:t>
            </w:r>
          </w:p>
          <w:p w14:paraId="12B535A8">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rPr>
            </w:pPr>
            <w:r>
              <w:rPr>
                <w:rFonts w:hint="eastAsia"/>
                <w:color w:val="auto"/>
                <w:sz w:val="24"/>
                <w:szCs w:val="24"/>
              </w:rPr>
              <w:t>根据现场调查，项目属于</w:t>
            </w:r>
            <w:r>
              <w:rPr>
                <w:rFonts w:hint="eastAsia"/>
                <w:color w:val="auto"/>
                <w:sz w:val="24"/>
                <w:szCs w:val="24"/>
                <w:lang w:eastAsia="zh-CN"/>
              </w:rPr>
              <w:t>铜桥港污水处理厂</w:t>
            </w:r>
            <w:r>
              <w:rPr>
                <w:rFonts w:hint="eastAsia"/>
                <w:color w:val="auto"/>
                <w:sz w:val="24"/>
                <w:szCs w:val="24"/>
              </w:rPr>
              <w:t>处理管网纳污范围，管网已铺设。</w:t>
            </w:r>
          </w:p>
          <w:p w14:paraId="4E23780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rPr>
            </w:pPr>
            <w:r>
              <w:rPr>
                <w:rFonts w:hint="eastAsia"/>
                <w:color w:val="auto"/>
                <w:sz w:val="24"/>
                <w:szCs w:val="24"/>
              </w:rPr>
              <w:t>②水质接管可行性分析</w:t>
            </w:r>
          </w:p>
          <w:p w14:paraId="7D9455F1">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u w:val="none"/>
              </w:rPr>
            </w:pPr>
            <w:r>
              <w:rPr>
                <w:rFonts w:hint="eastAsia"/>
                <w:color w:val="auto"/>
                <w:sz w:val="24"/>
                <w:szCs w:val="24"/>
              </w:rPr>
              <w:t>本项目排放的废水主要污染物为 COD、BOD</w:t>
            </w:r>
            <w:r>
              <w:rPr>
                <w:rFonts w:hint="eastAsia"/>
                <w:color w:val="auto"/>
                <w:sz w:val="24"/>
                <w:szCs w:val="24"/>
                <w:vertAlign w:val="subscript"/>
              </w:rPr>
              <w:t>5</w:t>
            </w:r>
            <w:r>
              <w:rPr>
                <w:rFonts w:hint="eastAsia"/>
                <w:color w:val="auto"/>
                <w:sz w:val="24"/>
                <w:szCs w:val="24"/>
              </w:rPr>
              <w:t>、SS、NH</w:t>
            </w:r>
            <w:r>
              <w:rPr>
                <w:rFonts w:hint="eastAsia"/>
                <w:color w:val="auto"/>
                <w:sz w:val="24"/>
                <w:szCs w:val="24"/>
                <w:vertAlign w:val="subscript"/>
              </w:rPr>
              <w:t>3</w:t>
            </w:r>
            <w:r>
              <w:rPr>
                <w:rFonts w:hint="eastAsia"/>
                <w:color w:val="auto"/>
                <w:sz w:val="24"/>
                <w:szCs w:val="24"/>
              </w:rPr>
              <w:t>-N 等，无重金属等有毒有害</w:t>
            </w:r>
            <w:r>
              <w:rPr>
                <w:rFonts w:hint="eastAsia"/>
                <w:color w:val="auto"/>
                <w:sz w:val="24"/>
                <w:szCs w:val="24"/>
                <w:u w:val="none"/>
              </w:rPr>
              <w:t>物质。根据工程分析结果，本项目生活污水</w:t>
            </w:r>
            <w:r>
              <w:rPr>
                <w:rFonts w:hint="eastAsia"/>
                <w:color w:val="auto"/>
                <w:sz w:val="24"/>
                <w:szCs w:val="24"/>
                <w:u w:val="none"/>
                <w:lang w:val="en-US" w:eastAsia="zh-CN"/>
              </w:rPr>
              <w:t>经</w:t>
            </w:r>
            <w:r>
              <w:rPr>
                <w:rFonts w:hint="eastAsia"/>
                <w:color w:val="auto"/>
                <w:sz w:val="24"/>
                <w:szCs w:val="24"/>
                <w:u w:val="none"/>
                <w:lang w:eastAsia="zh-CN"/>
              </w:rPr>
              <w:t>化粪池和隔油池</w:t>
            </w:r>
            <w:r>
              <w:rPr>
                <w:rFonts w:hint="eastAsia"/>
                <w:color w:val="auto"/>
                <w:sz w:val="24"/>
                <w:szCs w:val="24"/>
                <w:u w:val="none"/>
              </w:rPr>
              <w:t>处理后，满足排入城镇污水处理厂水质要求。</w:t>
            </w:r>
          </w:p>
          <w:p w14:paraId="0FAF8053">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u w:val="none"/>
              </w:rPr>
            </w:pPr>
            <w:r>
              <w:rPr>
                <w:rFonts w:hint="eastAsia"/>
                <w:color w:val="auto"/>
                <w:sz w:val="24"/>
                <w:szCs w:val="24"/>
                <w:u w:val="none"/>
              </w:rPr>
              <w:t>③水量接管可行性分析</w:t>
            </w:r>
          </w:p>
          <w:p w14:paraId="7E74104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both"/>
              <w:textAlignment w:val="auto"/>
              <w:rPr>
                <w:color w:val="auto"/>
                <w:sz w:val="24"/>
                <w:szCs w:val="24"/>
                <w:u w:val="single"/>
              </w:rPr>
            </w:pPr>
            <w:r>
              <w:rPr>
                <w:rFonts w:hint="eastAsia"/>
                <w:color w:val="auto"/>
                <w:sz w:val="24"/>
                <w:szCs w:val="24"/>
                <w:u w:val="single"/>
                <w:lang w:eastAsia="zh-CN"/>
              </w:rPr>
              <w:t>铜桥港污水处理厂</w:t>
            </w:r>
            <w:r>
              <w:rPr>
                <w:rFonts w:hint="eastAsia"/>
                <w:color w:val="auto"/>
                <w:sz w:val="24"/>
                <w:szCs w:val="24"/>
                <w:u w:val="single"/>
                <w:lang w:val="en-US" w:eastAsia="zh-CN"/>
              </w:rPr>
              <w:t>位于湖南省衡阳市雁峰区白沙洲塑田村，处理能力</w:t>
            </w:r>
            <w:r>
              <w:rPr>
                <w:rFonts w:hint="eastAsia"/>
                <w:color w:val="auto"/>
                <w:sz w:val="24"/>
                <w:szCs w:val="24"/>
                <w:highlight w:val="none"/>
                <w:u w:val="single"/>
                <w:lang w:val="en-US" w:eastAsia="zh-CN"/>
              </w:rPr>
              <w:t>10</w:t>
            </w:r>
            <w:r>
              <w:rPr>
                <w:rFonts w:hint="eastAsia"/>
                <w:color w:val="auto"/>
                <w:sz w:val="24"/>
                <w:szCs w:val="24"/>
                <w:highlight w:val="none"/>
                <w:u w:val="single"/>
              </w:rPr>
              <w:t>万m</w:t>
            </w:r>
            <w:r>
              <w:rPr>
                <w:rFonts w:hint="eastAsia"/>
                <w:color w:val="auto"/>
                <w:sz w:val="24"/>
                <w:szCs w:val="24"/>
                <w:highlight w:val="none"/>
                <w:u w:val="single"/>
                <w:vertAlign w:val="superscript"/>
              </w:rPr>
              <w:t>3</w:t>
            </w:r>
            <w:r>
              <w:rPr>
                <w:rFonts w:hint="eastAsia"/>
                <w:color w:val="auto"/>
                <w:sz w:val="24"/>
                <w:szCs w:val="24"/>
                <w:highlight w:val="none"/>
                <w:u w:val="single"/>
              </w:rPr>
              <w:t>/d</w:t>
            </w:r>
            <w:r>
              <w:rPr>
                <w:rFonts w:hint="eastAsia"/>
                <w:color w:val="auto"/>
                <w:sz w:val="24"/>
                <w:szCs w:val="24"/>
                <w:highlight w:val="none"/>
                <w:u w:val="single"/>
                <w:lang w:eastAsia="zh-CN"/>
              </w:rPr>
              <w:t>，</w:t>
            </w:r>
            <w:r>
              <w:rPr>
                <w:rFonts w:hint="eastAsia"/>
                <w:color w:val="auto"/>
                <w:sz w:val="24"/>
                <w:szCs w:val="24"/>
                <w:highlight w:val="none"/>
                <w:u w:val="single"/>
                <w:lang w:val="en-US" w:eastAsia="zh-CN"/>
              </w:rPr>
              <w:t>采用A</w:t>
            </w:r>
            <w:r>
              <w:rPr>
                <w:rFonts w:hint="eastAsia"/>
                <w:color w:val="auto"/>
                <w:sz w:val="24"/>
                <w:szCs w:val="24"/>
                <w:highlight w:val="none"/>
                <w:u w:val="single"/>
                <w:vertAlign w:val="superscript"/>
                <w:lang w:val="en-US" w:eastAsia="zh-CN"/>
              </w:rPr>
              <w:t>2</w:t>
            </w:r>
            <w:r>
              <w:rPr>
                <w:rFonts w:hint="eastAsia"/>
                <w:color w:val="auto"/>
                <w:sz w:val="24"/>
                <w:szCs w:val="24"/>
                <w:highlight w:val="none"/>
                <w:u w:val="single"/>
                <w:lang w:val="en-US" w:eastAsia="zh-CN"/>
              </w:rPr>
              <w:t>/O生物池处理工艺(即粗细格栅+旋流沉沙池+改良性A</w:t>
            </w:r>
            <w:r>
              <w:rPr>
                <w:rFonts w:hint="eastAsia"/>
                <w:color w:val="auto"/>
                <w:sz w:val="24"/>
                <w:szCs w:val="24"/>
                <w:highlight w:val="none"/>
                <w:u w:val="single"/>
                <w:vertAlign w:val="superscript"/>
                <w:lang w:val="en-US" w:eastAsia="zh-CN"/>
              </w:rPr>
              <w:t>2</w:t>
            </w:r>
            <w:r>
              <w:rPr>
                <w:rFonts w:hint="eastAsia"/>
                <w:color w:val="auto"/>
                <w:sz w:val="24"/>
                <w:szCs w:val="24"/>
                <w:highlight w:val="none"/>
                <w:u w:val="single"/>
                <w:lang w:val="en-US" w:eastAsia="zh-CN"/>
              </w:rPr>
              <w:t>/O生物池+二沉池+絮凝沉淀池+V型滤池工艺+二氧化氯消毒工艺)，出水水质满足</w:t>
            </w:r>
            <w:r>
              <w:rPr>
                <w:rFonts w:hint="eastAsia"/>
                <w:color w:val="auto"/>
                <w:sz w:val="24"/>
                <w:szCs w:val="24"/>
                <w:u w:val="single"/>
              </w:rPr>
              <w:t>《湖南省城镇污水处理厂主要水污染物排放标准》（DB43/T1546-2018）二级标准</w:t>
            </w:r>
            <w:r>
              <w:rPr>
                <w:rFonts w:hint="eastAsia"/>
                <w:color w:val="auto"/>
                <w:sz w:val="24"/>
                <w:szCs w:val="24"/>
                <w:u w:val="single"/>
                <w:lang w:val="en-US" w:eastAsia="zh-CN"/>
              </w:rPr>
              <w:t>及</w:t>
            </w:r>
            <w:r>
              <w:rPr>
                <w:rFonts w:hint="eastAsia"/>
                <w:color w:val="auto"/>
                <w:sz w:val="24"/>
                <w:szCs w:val="24"/>
                <w:u w:val="single"/>
              </w:rPr>
              <w:t>《城镇污水处理厂污染物排放标准》（GB18918-2002）一级 A 标准</w:t>
            </w:r>
            <w:r>
              <w:rPr>
                <w:rFonts w:hint="eastAsia"/>
                <w:color w:val="auto"/>
                <w:sz w:val="24"/>
                <w:szCs w:val="24"/>
                <w:highlight w:val="none"/>
                <w:u w:val="single"/>
              </w:rPr>
              <w:t>。本项目废水产生量较少，为</w:t>
            </w:r>
            <w:r>
              <w:rPr>
                <w:rFonts w:hint="eastAsia"/>
                <w:color w:val="auto"/>
                <w:sz w:val="24"/>
                <w:szCs w:val="24"/>
                <w:highlight w:val="none"/>
                <w:u w:val="single"/>
                <w:lang w:val="en-US" w:eastAsia="zh-CN"/>
              </w:rPr>
              <w:t>5.8</w:t>
            </w:r>
            <w:r>
              <w:rPr>
                <w:rFonts w:hint="eastAsia"/>
                <w:color w:val="auto"/>
                <w:sz w:val="24"/>
                <w:szCs w:val="24"/>
                <w:highlight w:val="none"/>
                <w:u w:val="single"/>
              </w:rPr>
              <w:t>m</w:t>
            </w:r>
            <w:r>
              <w:rPr>
                <w:rFonts w:hint="eastAsia"/>
                <w:color w:val="auto"/>
                <w:sz w:val="24"/>
                <w:szCs w:val="24"/>
                <w:highlight w:val="none"/>
                <w:u w:val="single"/>
                <w:vertAlign w:val="superscript"/>
              </w:rPr>
              <w:t>3</w:t>
            </w:r>
            <w:r>
              <w:rPr>
                <w:rFonts w:hint="eastAsia"/>
                <w:color w:val="auto"/>
                <w:sz w:val="24"/>
                <w:szCs w:val="24"/>
                <w:highlight w:val="none"/>
                <w:u w:val="single"/>
              </w:rPr>
              <w:t>/d，本项目营运期排入该污水处理厂的废水量约占该污水处理厂处理能力的</w:t>
            </w:r>
            <w:r>
              <w:rPr>
                <w:rFonts w:hint="eastAsia"/>
                <w:color w:val="auto"/>
                <w:sz w:val="24"/>
                <w:szCs w:val="24"/>
                <w:highlight w:val="none"/>
                <w:u w:val="single"/>
                <w:lang w:val="en-US" w:eastAsia="zh-CN"/>
              </w:rPr>
              <w:t>0.0058</w:t>
            </w:r>
            <w:r>
              <w:rPr>
                <w:rFonts w:hint="eastAsia"/>
                <w:color w:val="auto"/>
                <w:sz w:val="24"/>
                <w:szCs w:val="24"/>
                <w:highlight w:val="none"/>
                <w:u w:val="single"/>
              </w:rPr>
              <w:t>%，占比</w:t>
            </w:r>
            <w:r>
              <w:rPr>
                <w:rFonts w:hint="eastAsia"/>
                <w:color w:val="auto"/>
                <w:sz w:val="24"/>
                <w:szCs w:val="24"/>
                <w:u w:val="single"/>
              </w:rPr>
              <w:t>较小，未超出</w:t>
            </w:r>
            <w:r>
              <w:rPr>
                <w:rFonts w:hint="eastAsia"/>
                <w:color w:val="auto"/>
                <w:sz w:val="24"/>
                <w:szCs w:val="24"/>
                <w:u w:val="single"/>
                <w:lang w:eastAsia="zh-CN"/>
              </w:rPr>
              <w:t>铜桥港污水处理厂</w:t>
            </w:r>
            <w:r>
              <w:rPr>
                <w:rFonts w:hint="eastAsia"/>
                <w:color w:val="auto"/>
                <w:sz w:val="24"/>
                <w:szCs w:val="24"/>
                <w:u w:val="single"/>
              </w:rPr>
              <w:t>纳污处理能力。且本项目营运期排放的废水主要为生活污水，水质成分简单，对</w:t>
            </w:r>
            <w:r>
              <w:rPr>
                <w:rFonts w:hint="eastAsia"/>
                <w:color w:val="auto"/>
                <w:sz w:val="24"/>
                <w:szCs w:val="24"/>
                <w:u w:val="single"/>
                <w:lang w:eastAsia="zh-CN"/>
              </w:rPr>
              <w:t>铜桥港污水处理厂</w:t>
            </w:r>
            <w:r>
              <w:rPr>
                <w:rFonts w:hint="eastAsia"/>
                <w:color w:val="auto"/>
                <w:sz w:val="24"/>
                <w:szCs w:val="24"/>
                <w:u w:val="single"/>
              </w:rPr>
              <w:t>冲击较小，措施可行。</w:t>
            </w:r>
          </w:p>
          <w:p w14:paraId="0BBFC8F6">
            <w:pPr>
              <w:pStyle w:val="29"/>
              <w:bidi w:val="0"/>
              <w:rPr>
                <w:rFonts w:hint="default" w:ascii="Times New Roman" w:hAnsi="Times New Roman" w:cs="Times New Roman"/>
                <w:color w:val="auto"/>
                <w:lang w:val="en-US" w:eastAsia="zh-CN"/>
              </w:rPr>
            </w:pPr>
            <w:r>
              <w:rPr>
                <w:rFonts w:hint="eastAsia"/>
                <w:color w:val="auto"/>
                <w:sz w:val="24"/>
                <w:szCs w:val="24"/>
              </w:rPr>
              <w:t>综上所述，建设项目废水排放量较小，占</w:t>
            </w:r>
            <w:r>
              <w:rPr>
                <w:rFonts w:hint="eastAsia"/>
                <w:color w:val="auto"/>
                <w:sz w:val="24"/>
                <w:szCs w:val="24"/>
                <w:lang w:eastAsia="zh-CN"/>
              </w:rPr>
              <w:t>铜桥港污水处理厂</w:t>
            </w:r>
            <w:r>
              <w:rPr>
                <w:rFonts w:hint="eastAsia"/>
                <w:color w:val="auto"/>
                <w:sz w:val="24"/>
                <w:szCs w:val="24"/>
              </w:rPr>
              <w:t>的比重较小，污水水质简单，可达到污水处理厂的接管标准要，从处理能力、废水量和处理效果方面考虑，项目废水进入污水处理厂处理是可靠的，对污水处理厂影响较小。</w:t>
            </w:r>
          </w:p>
          <w:p w14:paraId="65F52D88">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综上所述，本项目生活污水经处理达标后排入铜桥港污水处理厂，其水质、水量均不会对其产生冲击，从而降低其处理效率。</w:t>
            </w:r>
          </w:p>
          <w:p w14:paraId="15577E92">
            <w:pPr>
              <w:pStyle w:val="29"/>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b/>
                <w:bCs/>
                <w:color w:val="auto"/>
                <w:highlight w:val="none"/>
                <w:lang w:val="en-US" w:eastAsia="zh-CN"/>
              </w:rPr>
              <w:t>2.5 废水监测计划</w:t>
            </w:r>
          </w:p>
          <w:p w14:paraId="6FECBE6D">
            <w:pPr>
              <w:pStyle w:val="29"/>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本项目废水监测计划参照</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排污单位自行监测技术指南 涂装</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（HJ 1086—2020）</w:t>
            </w:r>
            <w:r>
              <w:rPr>
                <w:rFonts w:hint="eastAsia" w:ascii="Times New Roman" w:hAnsi="Times New Roman" w:cs="Times New Roman"/>
                <w:color w:val="auto"/>
                <w:highlight w:val="none"/>
                <w:lang w:val="en-US" w:eastAsia="zh-CN"/>
              </w:rPr>
              <w:t>相关内容，生活污水间接排放时，可不进行自行监测。</w:t>
            </w:r>
          </w:p>
          <w:p w14:paraId="01938DBF">
            <w:pPr>
              <w:pStyle w:val="29"/>
              <w:bidi w:val="0"/>
              <w:rPr>
                <w:rFonts w:hint="default" w:ascii="Times New Roman" w:hAnsi="Times New Roman" w:eastAsia="宋体" w:cs="Times New Roman"/>
                <w:color w:val="auto"/>
                <w:highlight w:val="yellow"/>
                <w:lang w:val="en-US" w:eastAsia="zh-CN"/>
              </w:rPr>
            </w:pPr>
            <w:r>
              <w:rPr>
                <w:rFonts w:hint="eastAsia" w:ascii="Times New Roman" w:hAnsi="Times New Roman" w:cs="Times New Roman"/>
                <w:b/>
                <w:bCs/>
                <w:color w:val="auto"/>
                <w:highlight w:val="none"/>
                <w:lang w:val="en-US" w:eastAsia="zh-CN"/>
              </w:rPr>
              <w:t>2.6 地表水环境影响分析</w:t>
            </w:r>
          </w:p>
          <w:p w14:paraId="2D4EECEA">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无工艺废水，水帘柜循环废水作为危废委托有资质单位处理</w:t>
            </w:r>
            <w:r>
              <w:rPr>
                <w:rFonts w:hint="default" w:ascii="Times New Roman" w:hAnsi="Times New Roman" w:cs="Times New Roman"/>
                <w:color w:val="auto"/>
                <w:highlight w:val="none"/>
              </w:rPr>
              <w:t>；生活污水经化粪池处理达到《污水综合排放标准》（GB8978-1996）表4 中三级标准（其中氨氮、总磷参照执行《污水排入城镇下水道水质标准》GB/T 31962-2015表1中B级排放限值要求）后经市政污水管网进入</w:t>
            </w:r>
            <w:r>
              <w:rPr>
                <w:rFonts w:hint="eastAsia" w:ascii="Times New Roman" w:hAnsi="Times New Roman" w:cs="Times New Roman"/>
                <w:color w:val="auto"/>
                <w:highlight w:val="none"/>
                <w:lang w:eastAsia="zh-CN"/>
              </w:rPr>
              <w:t>铜桥港污水处理厂，</w:t>
            </w:r>
            <w:r>
              <w:rPr>
                <w:rFonts w:hint="eastAsia" w:ascii="Times New Roman" w:hAnsi="Times New Roman" w:cs="Times New Roman"/>
                <w:color w:val="auto"/>
                <w:highlight w:val="none"/>
                <w:lang w:val="en-US" w:eastAsia="zh-CN"/>
              </w:rPr>
              <w:t>再经污水处理厂处理达到《城镇污水处理厂污染物排放标准》（GB 18918-2002）一级A标准后排入湘江。</w:t>
            </w:r>
          </w:p>
          <w:p w14:paraId="3D542495">
            <w:pPr>
              <w:pStyle w:val="29"/>
              <w:bidi w:val="0"/>
              <w:rPr>
                <w:rFonts w:hint="default" w:ascii="Times New Roman" w:hAnsi="Times New Roman" w:cs="Times New Roman"/>
                <w:color w:val="auto"/>
              </w:rPr>
            </w:pPr>
            <w:r>
              <w:rPr>
                <w:rFonts w:hint="default" w:ascii="Times New Roman" w:hAnsi="Times New Roman" w:cs="Times New Roman"/>
                <w:color w:val="auto"/>
                <w:highlight w:val="none"/>
              </w:rPr>
              <w:t>综上所述，本项目运营期废水不会对项目周边地表水环境造成不利影响。</w:t>
            </w:r>
          </w:p>
          <w:p w14:paraId="61A43200">
            <w:pPr>
              <w:pStyle w:val="29"/>
              <w:bidi w:val="0"/>
              <w:rPr>
                <w:rFonts w:hint="default" w:ascii="Times New Roman" w:hAnsi="Times New Roman" w:eastAsia="宋体" w:cs="Times New Roman"/>
                <w:color w:val="auto"/>
                <w:lang w:val="en-US" w:eastAsia="zh-CN"/>
              </w:rPr>
            </w:pPr>
            <w:r>
              <w:rPr>
                <w:rFonts w:hint="eastAsia" w:ascii="Times New Roman" w:hAnsi="Times New Roman" w:cs="Times New Roman"/>
                <w:b/>
                <w:bCs/>
                <w:color w:val="auto"/>
                <w:lang w:val="en-US" w:eastAsia="zh-CN"/>
              </w:rPr>
              <w:t>3、噪声</w:t>
            </w:r>
          </w:p>
          <w:p w14:paraId="369AE488">
            <w:pPr>
              <w:pStyle w:val="29"/>
              <w:bidi w:val="0"/>
              <w:rPr>
                <w:rFonts w:hint="default" w:ascii="Times New Roman" w:hAnsi="Times New Roman" w:cs="Times New Roman"/>
                <w:color w:val="auto"/>
              </w:rPr>
            </w:pPr>
            <w:r>
              <w:rPr>
                <w:rFonts w:hint="default" w:ascii="Times New Roman" w:hAnsi="Times New Roman" w:cs="Times New Roman"/>
                <w:b/>
                <w:bCs/>
                <w:color w:val="auto"/>
              </w:rPr>
              <w:t>3.1 噪声源调查</w:t>
            </w:r>
          </w:p>
          <w:p w14:paraId="1BFB8DEC">
            <w:pPr>
              <w:pStyle w:val="29"/>
              <w:bidi w:val="0"/>
              <w:rPr>
                <w:rFonts w:hint="default" w:ascii="Times New Roman" w:hAnsi="Times New Roman" w:cs="Times New Roman"/>
                <w:color w:val="auto"/>
              </w:rPr>
            </w:pPr>
            <w:r>
              <w:rPr>
                <w:rFonts w:hint="default" w:ascii="Times New Roman" w:hAnsi="Times New Roman" w:cs="Times New Roman"/>
                <w:color w:val="auto"/>
              </w:rPr>
              <w:t>本项目运营期噪声主要来自设备运行噪声，如</w:t>
            </w:r>
            <w:r>
              <w:rPr>
                <w:rFonts w:hint="eastAsia" w:ascii="Times New Roman" w:hAnsi="Times New Roman" w:cs="Times New Roman"/>
                <w:color w:val="auto"/>
                <w:lang w:val="en-US" w:eastAsia="zh-CN"/>
              </w:rPr>
              <w:t>激光切割、数控转塔冲床、液压剪板机、折弯机</w:t>
            </w:r>
            <w:r>
              <w:rPr>
                <w:rFonts w:hint="default" w:ascii="Times New Roman" w:hAnsi="Times New Roman" w:cs="Times New Roman"/>
                <w:color w:val="auto"/>
              </w:rPr>
              <w:t>等。</w:t>
            </w:r>
          </w:p>
          <w:p w14:paraId="0E5DDE3B">
            <w:pPr>
              <w:pStyle w:val="29"/>
              <w:bidi w:val="0"/>
              <w:rPr>
                <w:rFonts w:hint="default" w:ascii="Times New Roman" w:hAnsi="Times New Roman" w:cs="Times New Roman"/>
                <w:color w:val="auto"/>
              </w:rPr>
            </w:pPr>
            <w:r>
              <w:rPr>
                <w:rFonts w:hint="default" w:ascii="Times New Roman" w:hAnsi="Times New Roman" w:cs="Times New Roman"/>
                <w:color w:val="auto"/>
              </w:rPr>
              <w:t>室内声源情况见表4-1</w:t>
            </w:r>
            <w:r>
              <w:rPr>
                <w:rFonts w:hint="eastAsia" w:ascii="Times New Roman" w:hAnsi="Times New Roman" w:cs="Times New Roman"/>
                <w:color w:val="auto"/>
                <w:lang w:val="en-US" w:eastAsia="zh-CN"/>
              </w:rPr>
              <w:t>2</w:t>
            </w:r>
            <w:r>
              <w:rPr>
                <w:rFonts w:hint="default" w:ascii="Times New Roman" w:hAnsi="Times New Roman" w:cs="Times New Roman"/>
                <w:color w:val="auto"/>
              </w:rPr>
              <w:t>，室外声源情况见表4-1</w:t>
            </w:r>
            <w:r>
              <w:rPr>
                <w:rFonts w:hint="eastAsia" w:ascii="Times New Roman" w:hAnsi="Times New Roman" w:cs="Times New Roman"/>
                <w:color w:val="auto"/>
                <w:lang w:val="en-US" w:eastAsia="zh-CN"/>
              </w:rPr>
              <w:t>3</w:t>
            </w:r>
            <w:r>
              <w:rPr>
                <w:rFonts w:hint="default" w:ascii="Times New Roman" w:hAnsi="Times New Roman" w:cs="Times New Roman"/>
                <w:color w:val="auto"/>
              </w:rPr>
              <w:t>。</w:t>
            </w:r>
          </w:p>
          <w:p w14:paraId="619377B7">
            <w:pPr>
              <w:pStyle w:val="31"/>
              <w:bidi w:val="0"/>
              <w:rPr>
                <w:rFonts w:hint="default" w:ascii="Times New Roman" w:hAnsi="Times New Roman" w:cs="Times New Roman"/>
                <w:color w:val="auto"/>
              </w:rPr>
            </w:pPr>
            <w:r>
              <w:rPr>
                <w:rFonts w:hint="default" w:ascii="Times New Roman" w:hAnsi="Times New Roman" w:cs="Times New Roman"/>
                <w:color w:val="auto"/>
              </w:rPr>
              <w:t>表4-1</w:t>
            </w:r>
            <w:r>
              <w:rPr>
                <w:rFonts w:hint="eastAsia" w:ascii="Times New Roman" w:hAnsi="Times New Roman" w:cs="Times New Roman"/>
                <w:color w:val="auto"/>
                <w:lang w:val="en-US" w:eastAsia="zh-CN"/>
              </w:rPr>
              <w:t>2</w:t>
            </w:r>
            <w:r>
              <w:rPr>
                <w:rFonts w:hint="default" w:ascii="Times New Roman" w:hAnsi="Times New Roman" w:cs="Times New Roman"/>
                <w:color w:val="auto"/>
              </w:rPr>
              <w:t xml:space="preserve">  工业企业噪声源强调查清单（室内声源）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380"/>
              <w:gridCol w:w="533"/>
              <w:gridCol w:w="846"/>
              <w:gridCol w:w="691"/>
              <w:gridCol w:w="498"/>
              <w:gridCol w:w="465"/>
              <w:gridCol w:w="458"/>
              <w:gridCol w:w="404"/>
              <w:gridCol w:w="349"/>
              <w:gridCol w:w="489"/>
              <w:gridCol w:w="673"/>
              <w:gridCol w:w="644"/>
              <w:gridCol w:w="563"/>
              <w:gridCol w:w="535"/>
              <w:gridCol w:w="418"/>
            </w:tblGrid>
            <w:tr w14:paraId="1AC99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12" w:space="0"/>
                    <w:left w:val="nil"/>
                    <w:bottom w:val="single" w:color="auto" w:sz="4" w:space="0"/>
                    <w:right w:val="single" w:color="auto" w:sz="4" w:space="0"/>
                    <w:tl2br w:val="nil"/>
                    <w:tr2bl w:val="nil"/>
                  </w:tcBorders>
                  <w:noWrap w:val="0"/>
                  <w:vAlign w:val="center"/>
                </w:tcPr>
                <w:p w14:paraId="5C000373">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序号</w:t>
                  </w:r>
                </w:p>
              </w:tc>
              <w:tc>
                <w:tcPr>
                  <w:tcW w:w="533" w:type="dxa"/>
                  <w:vMerge w:val="restart"/>
                  <w:tcBorders>
                    <w:top w:val="single" w:color="auto" w:sz="12" w:space="0"/>
                    <w:left w:val="single" w:color="auto" w:sz="4" w:space="0"/>
                    <w:right w:val="single" w:color="auto" w:sz="4" w:space="0"/>
                    <w:tl2br w:val="nil"/>
                    <w:tr2bl w:val="nil"/>
                  </w:tcBorders>
                  <w:noWrap w:val="0"/>
                  <w:vAlign w:val="center"/>
                </w:tcPr>
                <w:p w14:paraId="0521459A">
                  <w:pPr>
                    <w:pStyle w:val="30"/>
                    <w:rPr>
                      <w:rFonts w:hint="eastAsia" w:ascii="Times New Roman" w:hAnsi="Times New Roman"/>
                      <w:b/>
                      <w:bCs/>
                      <w:color w:val="auto"/>
                      <w:sz w:val="18"/>
                      <w:szCs w:val="18"/>
                    </w:rPr>
                  </w:pPr>
                  <w:r>
                    <w:rPr>
                      <w:rFonts w:hint="eastAsia" w:ascii="Times New Roman" w:hAnsi="Times New Roman"/>
                      <w:b/>
                      <w:bCs/>
                      <w:color w:val="auto"/>
                      <w:sz w:val="18"/>
                      <w:szCs w:val="18"/>
                    </w:rPr>
                    <w:t>建筑物名称</w:t>
                  </w:r>
                </w:p>
              </w:tc>
              <w:tc>
                <w:tcPr>
                  <w:tcW w:w="846"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884069E">
                  <w:pPr>
                    <w:pStyle w:val="30"/>
                    <w:ind w:firstLine="0" w:firstLineChars="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声源名称</w:t>
                  </w:r>
                </w:p>
              </w:tc>
              <w:tc>
                <w:tcPr>
                  <w:tcW w:w="691"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442AFFA9">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 xml:space="preserve">距噪声源 </w:t>
                  </w:r>
                  <w:r>
                    <w:rPr>
                      <w:rFonts w:hint="default" w:ascii="Times New Roman" w:hAnsi="Times New Roman" w:eastAsia="Times New Roman"/>
                      <w:b/>
                      <w:bCs/>
                      <w:color w:val="auto"/>
                      <w:sz w:val="18"/>
                      <w:szCs w:val="18"/>
                    </w:rPr>
                    <w:t xml:space="preserve">1 </w:t>
                  </w:r>
                  <w:r>
                    <w:rPr>
                      <w:rFonts w:hint="eastAsia" w:ascii="Times New Roman" w:hAnsi="Times New Roman"/>
                      <w:b/>
                      <w:bCs/>
                      <w:color w:val="auto"/>
                      <w:sz w:val="18"/>
                      <w:szCs w:val="18"/>
                    </w:rPr>
                    <w:t>米处声压级/dB(A)</w:t>
                  </w:r>
                </w:p>
              </w:tc>
              <w:tc>
                <w:tcPr>
                  <w:tcW w:w="498"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1479823A">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声源控制措施</w:t>
                  </w:r>
                </w:p>
              </w:tc>
              <w:tc>
                <w:tcPr>
                  <w:tcW w:w="1327" w:type="dxa"/>
                  <w:gridSpan w:val="3"/>
                  <w:tcBorders>
                    <w:top w:val="single" w:color="auto" w:sz="12" w:space="0"/>
                    <w:left w:val="single" w:color="auto" w:sz="4" w:space="0"/>
                    <w:bottom w:val="single" w:color="auto" w:sz="4" w:space="0"/>
                    <w:right w:val="single" w:color="auto" w:sz="4" w:space="0"/>
                    <w:tl2br w:val="nil"/>
                    <w:tr2bl w:val="nil"/>
                  </w:tcBorders>
                  <w:noWrap w:val="0"/>
                  <w:vAlign w:val="center"/>
                </w:tcPr>
                <w:p w14:paraId="05E9DFCE">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空间相对位置/m</w:t>
                  </w:r>
                </w:p>
              </w:tc>
              <w:tc>
                <w:tcPr>
                  <w:tcW w:w="838" w:type="dxa"/>
                  <w:gridSpan w:val="2"/>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2EF317FE">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距室内边界距离/m</w:t>
                  </w:r>
                </w:p>
              </w:tc>
              <w:tc>
                <w:tcPr>
                  <w:tcW w:w="673"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864EAC6">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室内边界声级/dB(A)</w:t>
                  </w:r>
                </w:p>
              </w:tc>
              <w:tc>
                <w:tcPr>
                  <w:tcW w:w="644"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E58D603">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运行时段</w:t>
                  </w:r>
                </w:p>
              </w:tc>
              <w:tc>
                <w:tcPr>
                  <w:tcW w:w="563"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6FCC6F78">
                  <w:pPr>
                    <w:pStyle w:val="30"/>
                    <w:rPr>
                      <w:rFonts w:hint="eastAsia" w:ascii="Times New Roman" w:hAnsi="Times New Roman"/>
                      <w:b/>
                      <w:bCs/>
                      <w:color w:val="auto"/>
                      <w:sz w:val="18"/>
                      <w:szCs w:val="18"/>
                    </w:rPr>
                  </w:pPr>
                  <w:r>
                    <w:rPr>
                      <w:rFonts w:hint="eastAsia" w:ascii="Times New Roman" w:hAnsi="Times New Roman"/>
                      <w:b/>
                      <w:bCs/>
                      <w:color w:val="auto"/>
                      <w:sz w:val="18"/>
                      <w:szCs w:val="18"/>
                    </w:rPr>
                    <w:t>建筑物插入损失/dB(A)</w:t>
                  </w:r>
                </w:p>
              </w:tc>
              <w:tc>
                <w:tcPr>
                  <w:tcW w:w="953" w:type="dxa"/>
                  <w:gridSpan w:val="2"/>
                  <w:tcBorders>
                    <w:top w:val="single" w:color="auto" w:sz="12" w:space="0"/>
                    <w:left w:val="single" w:color="auto" w:sz="4" w:space="0"/>
                    <w:bottom w:val="single" w:color="auto" w:sz="4" w:space="0"/>
                    <w:right w:val="nil"/>
                    <w:tl2br w:val="nil"/>
                    <w:tr2bl w:val="nil"/>
                  </w:tcBorders>
                  <w:noWrap w:val="0"/>
                  <w:vAlign w:val="center"/>
                </w:tcPr>
                <w:p w14:paraId="1C278ADA">
                  <w:pPr>
                    <w:pStyle w:val="30"/>
                    <w:rPr>
                      <w:rFonts w:hint="eastAsia" w:ascii="Times New Roman" w:hAnsi="Times New Roman"/>
                      <w:b/>
                      <w:bCs/>
                      <w:color w:val="auto"/>
                      <w:sz w:val="18"/>
                      <w:szCs w:val="18"/>
                    </w:rPr>
                  </w:pPr>
                  <w:r>
                    <w:rPr>
                      <w:rFonts w:hint="eastAsia" w:ascii="Times New Roman" w:hAnsi="Times New Roman"/>
                      <w:b/>
                      <w:bCs/>
                      <w:color w:val="auto"/>
                      <w:sz w:val="18"/>
                      <w:szCs w:val="18"/>
                    </w:rPr>
                    <w:t>建筑外噪</w:t>
                  </w:r>
                </w:p>
                <w:p w14:paraId="53B6AC06">
                  <w:pPr>
                    <w:pStyle w:val="30"/>
                    <w:rPr>
                      <w:rFonts w:hint="eastAsia" w:ascii="Times New Roman" w:hAnsi="Times New Roman"/>
                      <w:b/>
                      <w:bCs/>
                      <w:color w:val="auto"/>
                      <w:sz w:val="18"/>
                      <w:szCs w:val="18"/>
                    </w:rPr>
                  </w:pPr>
                  <w:r>
                    <w:rPr>
                      <w:rFonts w:hint="eastAsia" w:ascii="Times New Roman" w:hAnsi="Times New Roman"/>
                      <w:b/>
                      <w:bCs/>
                      <w:color w:val="auto"/>
                      <w:sz w:val="18"/>
                      <w:szCs w:val="18"/>
                    </w:rPr>
                    <w:t>声</w:t>
                  </w:r>
                </w:p>
              </w:tc>
            </w:tr>
            <w:tr w14:paraId="4B62A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26C8F0C0">
                  <w:pPr>
                    <w:pStyle w:val="30"/>
                    <w:rPr>
                      <w:rFonts w:hint="default" w:ascii="Times New Roman" w:hAnsi="Times New Roman" w:eastAsia="Times New Roman"/>
                      <w:b/>
                      <w:bCs/>
                      <w:color w:val="auto"/>
                      <w:sz w:val="18"/>
                      <w:szCs w:val="18"/>
                    </w:rPr>
                  </w:pPr>
                </w:p>
              </w:tc>
              <w:tc>
                <w:tcPr>
                  <w:tcW w:w="533" w:type="dxa"/>
                  <w:vMerge w:val="continue"/>
                  <w:tcBorders>
                    <w:left w:val="single" w:color="auto" w:sz="4" w:space="0"/>
                    <w:bottom w:val="single" w:color="auto" w:sz="4" w:space="0"/>
                    <w:right w:val="single" w:color="auto" w:sz="4" w:space="0"/>
                    <w:tl2br w:val="nil"/>
                    <w:tr2bl w:val="nil"/>
                  </w:tcBorders>
                  <w:noWrap w:val="0"/>
                  <w:vAlign w:val="center"/>
                </w:tcPr>
                <w:p w14:paraId="71273C1C">
                  <w:pPr>
                    <w:pStyle w:val="30"/>
                    <w:rPr>
                      <w:rFonts w:hint="default" w:ascii="Times New Roman" w:hAnsi="Times New Roman" w:eastAsia="Times New Roman"/>
                      <w:b/>
                      <w:bCs/>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1C53D07">
                  <w:pPr>
                    <w:pStyle w:val="30"/>
                    <w:rPr>
                      <w:rFonts w:hint="default" w:ascii="Times New Roman" w:hAnsi="Times New Roman" w:eastAsia="Times New Roman"/>
                      <w:b/>
                      <w:bCs/>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E897BF1">
                  <w:pPr>
                    <w:pStyle w:val="30"/>
                    <w:rPr>
                      <w:rFonts w:hint="default" w:ascii="Times New Roman" w:hAnsi="Times New Roman" w:eastAsia="Times New Roman"/>
                      <w:b/>
                      <w:bCs/>
                      <w:color w:val="auto"/>
                      <w:sz w:val="18"/>
                      <w:szCs w:val="18"/>
                    </w:rPr>
                  </w:pPr>
                </w:p>
              </w:tc>
              <w:tc>
                <w:tcPr>
                  <w:tcW w:w="49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B14830D">
                  <w:pPr>
                    <w:pStyle w:val="30"/>
                    <w:rPr>
                      <w:rFonts w:hint="default" w:ascii="Times New Roman" w:hAnsi="Times New Roman" w:eastAsia="Times New Roman"/>
                      <w:b/>
                      <w:bCs/>
                      <w:color w:val="auto"/>
                      <w:sz w:val="18"/>
                      <w:szCs w:val="18"/>
                    </w:rPr>
                  </w:pPr>
                </w:p>
              </w:tc>
              <w:tc>
                <w:tcPr>
                  <w:tcW w:w="4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10FD73">
                  <w:pPr>
                    <w:pStyle w:val="30"/>
                    <w:rPr>
                      <w:rFonts w:hint="default" w:ascii="Times New Roman" w:hAnsi="Times New Roman" w:eastAsia="Times New Roman"/>
                      <w:b/>
                      <w:bCs/>
                      <w:color w:val="auto"/>
                      <w:sz w:val="18"/>
                      <w:szCs w:val="18"/>
                    </w:rPr>
                  </w:pPr>
                  <w:r>
                    <w:rPr>
                      <w:rFonts w:hint="default" w:ascii="Times New Roman" w:hAnsi="Times New Roman" w:eastAsia="Times New Roman"/>
                      <w:b/>
                      <w:bCs/>
                      <w:color w:val="auto"/>
                      <w:sz w:val="18"/>
                      <w:szCs w:val="18"/>
                    </w:rPr>
                    <w:t>X</w:t>
                  </w:r>
                </w:p>
              </w:tc>
              <w:tc>
                <w:tcPr>
                  <w:tcW w:w="45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B83DC5">
                  <w:pPr>
                    <w:pStyle w:val="30"/>
                    <w:rPr>
                      <w:rFonts w:hint="default" w:ascii="Times New Roman" w:hAnsi="Times New Roman" w:eastAsia="Times New Roman"/>
                      <w:b/>
                      <w:bCs/>
                      <w:color w:val="auto"/>
                      <w:sz w:val="18"/>
                      <w:szCs w:val="18"/>
                    </w:rPr>
                  </w:pPr>
                  <w:r>
                    <w:rPr>
                      <w:rFonts w:hint="default" w:ascii="Times New Roman" w:hAnsi="Times New Roman" w:eastAsia="Times New Roman"/>
                      <w:b/>
                      <w:bCs/>
                      <w:color w:val="auto"/>
                      <w:sz w:val="18"/>
                      <w:szCs w:val="18"/>
                    </w:rPr>
                    <w:t>Y</w:t>
                  </w:r>
                </w:p>
              </w:tc>
              <w:tc>
                <w:tcPr>
                  <w:tcW w:w="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315D189">
                  <w:pPr>
                    <w:pStyle w:val="30"/>
                    <w:rPr>
                      <w:rFonts w:hint="default" w:ascii="Times New Roman" w:hAnsi="Times New Roman" w:eastAsia="Times New Roman"/>
                      <w:b/>
                      <w:bCs/>
                      <w:color w:val="auto"/>
                      <w:sz w:val="18"/>
                      <w:szCs w:val="18"/>
                    </w:rPr>
                  </w:pPr>
                  <w:r>
                    <w:rPr>
                      <w:rFonts w:hint="default" w:ascii="Times New Roman" w:hAnsi="Times New Roman" w:eastAsia="Times New Roman"/>
                      <w:b/>
                      <w:bCs/>
                      <w:color w:val="auto"/>
                      <w:sz w:val="18"/>
                      <w:szCs w:val="18"/>
                    </w:rPr>
                    <w:t>Z</w:t>
                  </w:r>
                </w:p>
              </w:tc>
              <w:tc>
                <w:tcPr>
                  <w:tcW w:w="838" w:type="dxa"/>
                  <w:gridSpan w:val="2"/>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A9AB110">
                  <w:pPr>
                    <w:pStyle w:val="30"/>
                    <w:rPr>
                      <w:rFonts w:hint="default" w:ascii="Times New Roman" w:hAnsi="Times New Roman" w:eastAsia="Times New Roman"/>
                      <w:b/>
                      <w:bCs/>
                      <w:color w:val="auto"/>
                      <w:sz w:val="18"/>
                      <w:szCs w:val="18"/>
                    </w:rPr>
                  </w:pPr>
                </w:p>
              </w:tc>
              <w:tc>
                <w:tcPr>
                  <w:tcW w:w="673"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0E95F7C">
                  <w:pPr>
                    <w:pStyle w:val="30"/>
                    <w:rPr>
                      <w:rFonts w:hint="default" w:ascii="Times New Roman" w:hAnsi="Times New Roman" w:eastAsia="Times New Roman"/>
                      <w:b/>
                      <w:bCs/>
                      <w:color w:val="auto"/>
                      <w:sz w:val="18"/>
                      <w:szCs w:val="18"/>
                    </w:rPr>
                  </w:pPr>
                </w:p>
              </w:tc>
              <w:tc>
                <w:tcPr>
                  <w:tcW w:w="64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A25BC94">
                  <w:pPr>
                    <w:pStyle w:val="30"/>
                    <w:rPr>
                      <w:rFonts w:hint="default" w:ascii="Times New Roman" w:hAnsi="Times New Roman" w:eastAsia="Times New Roman"/>
                      <w:b/>
                      <w:bCs/>
                      <w:color w:val="auto"/>
                      <w:sz w:val="18"/>
                      <w:szCs w:val="18"/>
                    </w:rPr>
                  </w:pPr>
                </w:p>
              </w:tc>
              <w:tc>
                <w:tcPr>
                  <w:tcW w:w="563"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85617FB">
                  <w:pPr>
                    <w:pStyle w:val="30"/>
                    <w:rPr>
                      <w:rFonts w:hint="default" w:ascii="Times New Roman" w:hAnsi="Times New Roman" w:eastAsia="Times New Roman"/>
                      <w:b/>
                      <w:bCs/>
                      <w:color w:val="auto"/>
                      <w:sz w:val="18"/>
                      <w:szCs w:val="18"/>
                    </w:rPr>
                  </w:pP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DE7A70">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声压级/</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7FF77752">
                  <w:pPr>
                    <w:pStyle w:val="30"/>
                    <w:rPr>
                      <w:rFonts w:hint="default" w:ascii="Times New Roman" w:hAnsi="Times New Roman" w:eastAsia="Times New Roman"/>
                      <w:b/>
                      <w:bCs/>
                      <w:color w:val="auto"/>
                      <w:sz w:val="18"/>
                      <w:szCs w:val="18"/>
                    </w:rPr>
                  </w:pPr>
                  <w:r>
                    <w:rPr>
                      <w:rFonts w:hint="eastAsia" w:ascii="Times New Roman" w:hAnsi="Times New Roman"/>
                      <w:b/>
                      <w:bCs/>
                      <w:color w:val="auto"/>
                      <w:sz w:val="18"/>
                      <w:szCs w:val="18"/>
                    </w:rPr>
                    <w:t>建筑物外距离/m</w:t>
                  </w:r>
                </w:p>
              </w:tc>
            </w:tr>
            <w:tr w14:paraId="69AAC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465014A6">
                  <w:pPr>
                    <w:pStyle w:val="30"/>
                    <w:rPr>
                      <w:rFonts w:hint="default" w:ascii="Times New Roman" w:hAnsi="Times New Roman" w:eastAsia="Times New Roman"/>
                      <w:color w:val="auto"/>
                      <w:sz w:val="18"/>
                      <w:szCs w:val="18"/>
                    </w:rPr>
                  </w:pPr>
                  <w:r>
                    <w:rPr>
                      <w:rFonts w:hint="default" w:ascii="Times New Roman" w:hAnsi="Times New Roman" w:eastAsia="Times New Roman"/>
                      <w:color w:val="auto"/>
                      <w:sz w:val="18"/>
                      <w:szCs w:val="18"/>
                    </w:rPr>
                    <w:t>1</w:t>
                  </w:r>
                </w:p>
              </w:tc>
              <w:tc>
                <w:tcPr>
                  <w:tcW w:w="533" w:type="dxa"/>
                  <w:vMerge w:val="restart"/>
                  <w:tcBorders>
                    <w:top w:val="single" w:color="auto" w:sz="4" w:space="0"/>
                    <w:left w:val="single" w:color="auto" w:sz="4" w:space="0"/>
                    <w:right w:val="single" w:color="auto" w:sz="4" w:space="0"/>
                    <w:tl2br w:val="nil"/>
                    <w:tr2bl w:val="nil"/>
                  </w:tcBorders>
                  <w:noWrap w:val="0"/>
                  <w:vAlign w:val="center"/>
                </w:tcPr>
                <w:p w14:paraId="63FC0469">
                  <w:pPr>
                    <w:pStyle w:val="30"/>
                    <w:spacing w:beforeLines="0" w:afterLines="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生产厂房</w:t>
                  </w: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9DB80A1">
                  <w:pPr>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Cs w:val="21"/>
                      <w:lang w:val="en-US" w:eastAsia="zh-CN"/>
                    </w:rPr>
                    <w:t>打磨机</w:t>
                  </w:r>
                  <w:r>
                    <w:rPr>
                      <w:rFonts w:hint="eastAsia" w:cs="Times New Roman"/>
                      <w:color w:val="auto"/>
                      <w:szCs w:val="21"/>
                      <w:lang w:val="en-US" w:eastAsia="zh-CN"/>
                    </w:rPr>
                    <w:t>（4台）</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642DCC4">
                  <w:pPr>
                    <w:pStyle w:val="14"/>
                    <w:widowControl w:val="0"/>
                    <w:spacing w:before="0" w:beforeAutospacing="0" w:after="0" w:afterAutospacing="0"/>
                    <w:jc w:val="center"/>
                    <w:rPr>
                      <w:rFonts w:hint="default"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85</w:t>
                  </w:r>
                </w:p>
              </w:tc>
              <w:tc>
                <w:tcPr>
                  <w:tcW w:w="498" w:type="dxa"/>
                  <w:vMerge w:val="restart"/>
                  <w:tcBorders>
                    <w:top w:val="single" w:color="auto" w:sz="4" w:space="0"/>
                    <w:left w:val="single" w:color="auto" w:sz="4" w:space="0"/>
                    <w:right w:val="single" w:color="auto" w:sz="4" w:space="0"/>
                    <w:tl2br w:val="nil"/>
                    <w:tr2bl w:val="nil"/>
                  </w:tcBorders>
                  <w:noWrap w:val="0"/>
                  <w:vAlign w:val="center"/>
                </w:tcPr>
                <w:p w14:paraId="28BCFD05">
                  <w:pPr>
                    <w:pStyle w:val="30"/>
                    <w:spacing w:beforeLines="0" w:afterLines="0"/>
                    <w:rPr>
                      <w:rFonts w:hint="default" w:ascii="Times New Roman" w:hAnsi="Times New Roman" w:eastAsia="Times New Roman"/>
                      <w:color w:val="auto"/>
                      <w:sz w:val="18"/>
                      <w:szCs w:val="18"/>
                    </w:rPr>
                  </w:pPr>
                  <w:r>
                    <w:rPr>
                      <w:rFonts w:hint="eastAsia" w:ascii="Times New Roman" w:hAnsi="Times New Roman"/>
                      <w:color w:val="auto"/>
                      <w:sz w:val="18"/>
                      <w:szCs w:val="18"/>
                    </w:rPr>
                    <w:t>选用低噪声设备、基础减振</w:t>
                  </w:r>
                </w:p>
              </w:tc>
              <w:tc>
                <w:tcPr>
                  <w:tcW w:w="46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8B4A26D">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36</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F15936A">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18</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383CA9F">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68E016B">
                  <w:pPr>
                    <w:pStyle w:val="30"/>
                    <w:rPr>
                      <w:rFonts w:hint="default" w:ascii="Times New Roman" w:hAnsi="Times New Roman" w:eastAsia="Times New Roman"/>
                      <w:color w:val="auto"/>
                      <w:sz w:val="18"/>
                      <w:szCs w:val="18"/>
                    </w:rPr>
                  </w:pPr>
                  <w:r>
                    <w:rPr>
                      <w:rFonts w:hint="eastAsia" w:ascii="Times New Roman" w:hAnsi="Times New Roman"/>
                      <w:color w:val="auto"/>
                      <w:sz w:val="18"/>
                      <w:szCs w:val="18"/>
                    </w:rPr>
                    <w:t>东</w:t>
                  </w:r>
                </w:p>
              </w:tc>
              <w:tc>
                <w:tcPr>
                  <w:tcW w:w="48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3E1A04B">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6A8957D8">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72.9 </w:t>
                  </w:r>
                </w:p>
              </w:tc>
              <w:tc>
                <w:tcPr>
                  <w:tcW w:w="644" w:type="dxa"/>
                  <w:vMerge w:val="restart"/>
                  <w:tcBorders>
                    <w:top w:val="single" w:color="auto" w:sz="4" w:space="0"/>
                    <w:left w:val="single" w:color="auto" w:sz="4" w:space="0"/>
                    <w:right w:val="single" w:color="auto" w:sz="4" w:space="0"/>
                    <w:tl2br w:val="nil"/>
                    <w:tr2bl w:val="nil"/>
                  </w:tcBorders>
                  <w:noWrap w:val="0"/>
                  <w:vAlign w:val="center"/>
                </w:tcPr>
                <w:p w14:paraId="1DC95934">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8：</w:t>
                  </w:r>
                  <w:r>
                    <w:rPr>
                      <w:rFonts w:hint="default" w:ascii="Times New Roman" w:hAnsi="Times New Roman"/>
                      <w:color w:val="auto"/>
                      <w:sz w:val="18"/>
                      <w:szCs w:val="18"/>
                      <w:lang w:val="en-US" w:eastAsia="zh-CN"/>
                    </w:rPr>
                    <w:t>00-1</w:t>
                  </w:r>
                  <w:r>
                    <w:rPr>
                      <w:rFonts w:hint="eastAsia" w:ascii="Times New Roman" w:hAnsi="Times New Roman"/>
                      <w:color w:val="auto"/>
                      <w:sz w:val="18"/>
                      <w:szCs w:val="18"/>
                      <w:lang w:val="en-US" w:eastAsia="zh-CN"/>
                    </w:rPr>
                    <w:t>8：</w:t>
                  </w:r>
                  <w:r>
                    <w:rPr>
                      <w:rFonts w:hint="default" w:ascii="Times New Roman" w:hAnsi="Times New Roman"/>
                      <w:color w:val="auto"/>
                      <w:sz w:val="18"/>
                      <w:szCs w:val="18"/>
                      <w:lang w:val="en-US" w:eastAsia="zh-CN"/>
                    </w:rPr>
                    <w:t>00</w:t>
                  </w: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97DC69B">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21C95D">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57.9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47A92492">
                  <w:pPr>
                    <w:pStyle w:val="30"/>
                    <w:ind w:firstLine="0" w:firstLineChars="0"/>
                    <w:rPr>
                      <w:rFonts w:hint="eastAsia"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363A1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4D264370">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114041C6">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2FCEFA2">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0A7BA49">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2A18BEF5">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0A96DB1">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4AF9148">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D36D7D4">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59A4DD">
                  <w:pPr>
                    <w:pStyle w:val="30"/>
                    <w:rPr>
                      <w:rFonts w:hint="default" w:ascii="Times New Roman" w:hAnsi="Times New Roman" w:eastAsia="Times New Roman"/>
                      <w:color w:val="auto"/>
                      <w:sz w:val="18"/>
                      <w:szCs w:val="18"/>
                    </w:rPr>
                  </w:pPr>
                  <w:r>
                    <w:rPr>
                      <w:rFonts w:hint="eastAsia" w:ascii="Times New Roman" w:hAnsi="Times New Roman"/>
                      <w:color w:val="auto"/>
                      <w:sz w:val="18"/>
                      <w:szCs w:val="18"/>
                    </w:rPr>
                    <w:t>南</w:t>
                  </w:r>
                </w:p>
              </w:tc>
              <w:tc>
                <w:tcPr>
                  <w:tcW w:w="48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4FE548">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16</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2DA73142">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66.9 </w:t>
                  </w:r>
                </w:p>
              </w:tc>
              <w:tc>
                <w:tcPr>
                  <w:tcW w:w="644" w:type="dxa"/>
                  <w:vMerge w:val="continue"/>
                  <w:tcBorders>
                    <w:left w:val="single" w:color="auto" w:sz="4" w:space="0"/>
                    <w:right w:val="single" w:color="auto" w:sz="4" w:space="0"/>
                    <w:tl2br w:val="nil"/>
                    <w:tr2bl w:val="nil"/>
                  </w:tcBorders>
                  <w:noWrap w:val="0"/>
                  <w:vAlign w:val="center"/>
                </w:tcPr>
                <w:p w14:paraId="099C6EAF">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7058B9">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F51A4A2">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51.9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7ABA79E2">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528B0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11" w:hRule="atLeast"/>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4DC18293">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00675EE0">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DEB2053">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6EE18D7">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C8EF5AE">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D828587">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3855218">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67A4215">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BAF101">
                  <w:pPr>
                    <w:pStyle w:val="30"/>
                    <w:rPr>
                      <w:rFonts w:hint="default" w:ascii="Times New Roman" w:hAnsi="Times New Roman" w:eastAsia="Times New Roman"/>
                      <w:color w:val="auto"/>
                      <w:sz w:val="18"/>
                      <w:szCs w:val="18"/>
                    </w:rPr>
                  </w:pPr>
                  <w:r>
                    <w:rPr>
                      <w:rFonts w:hint="eastAsia" w:ascii="Times New Roman" w:hAnsi="Times New Roman"/>
                      <w:color w:val="auto"/>
                      <w:sz w:val="18"/>
                      <w:szCs w:val="18"/>
                    </w:rPr>
                    <w:t>西</w:t>
                  </w:r>
                </w:p>
              </w:tc>
              <w:tc>
                <w:tcPr>
                  <w:tcW w:w="48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95FE0F3">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44</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72DD34A1">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58.1 </w:t>
                  </w:r>
                </w:p>
              </w:tc>
              <w:tc>
                <w:tcPr>
                  <w:tcW w:w="644" w:type="dxa"/>
                  <w:vMerge w:val="continue"/>
                  <w:tcBorders>
                    <w:left w:val="single" w:color="auto" w:sz="4" w:space="0"/>
                    <w:right w:val="single" w:color="auto" w:sz="4" w:space="0"/>
                    <w:tl2br w:val="nil"/>
                    <w:tr2bl w:val="nil"/>
                  </w:tcBorders>
                  <w:noWrap w:val="0"/>
                  <w:vAlign w:val="center"/>
                </w:tcPr>
                <w:p w14:paraId="6ED6A41D">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5AED5D">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7B2C784">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43.1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27AED83F">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54E2F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65B17AF4">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2417C782">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3E273D6">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C13B195">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56767BB6">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74CBCB6">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206D938">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143B576">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7EDFFA">
                  <w:pPr>
                    <w:pStyle w:val="30"/>
                    <w:rPr>
                      <w:rFonts w:hint="default" w:ascii="Times New Roman" w:hAnsi="Times New Roman" w:eastAsia="Times New Roman"/>
                      <w:color w:val="auto"/>
                      <w:sz w:val="18"/>
                      <w:szCs w:val="18"/>
                    </w:rPr>
                  </w:pPr>
                  <w:r>
                    <w:rPr>
                      <w:rFonts w:hint="eastAsia" w:ascii="Times New Roman" w:hAnsi="Times New Roman"/>
                      <w:color w:val="auto"/>
                      <w:sz w:val="18"/>
                      <w:szCs w:val="18"/>
                    </w:rPr>
                    <w:t>北</w:t>
                  </w:r>
                </w:p>
              </w:tc>
              <w:tc>
                <w:tcPr>
                  <w:tcW w:w="48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24BA3C">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22</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2BDDE2CE">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64.2 </w:t>
                  </w:r>
                </w:p>
              </w:tc>
              <w:tc>
                <w:tcPr>
                  <w:tcW w:w="644" w:type="dxa"/>
                  <w:vMerge w:val="continue"/>
                  <w:tcBorders>
                    <w:left w:val="single" w:color="auto" w:sz="4" w:space="0"/>
                    <w:right w:val="single" w:color="auto" w:sz="4" w:space="0"/>
                    <w:tl2br w:val="nil"/>
                    <w:tr2bl w:val="nil"/>
                  </w:tcBorders>
                  <w:noWrap w:val="0"/>
                  <w:vAlign w:val="center"/>
                </w:tcPr>
                <w:p w14:paraId="12C1D352">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7288236">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607D8A">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49.2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3FAEBC22">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336BA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5E006970">
                  <w:pPr>
                    <w:pStyle w:val="30"/>
                    <w:rPr>
                      <w:rFonts w:hint="default" w:ascii="Times New Roman" w:hAnsi="Times New Roman" w:eastAsia="Times New Roman"/>
                      <w:color w:val="auto"/>
                      <w:sz w:val="18"/>
                      <w:szCs w:val="18"/>
                    </w:rPr>
                  </w:pPr>
                  <w:r>
                    <w:rPr>
                      <w:rFonts w:hint="default" w:ascii="Times New Roman" w:hAnsi="Times New Roman" w:eastAsia="Times New Roman"/>
                      <w:color w:val="auto"/>
                      <w:sz w:val="18"/>
                      <w:szCs w:val="18"/>
                    </w:rPr>
                    <w:t>2</w:t>
                  </w:r>
                </w:p>
              </w:tc>
              <w:tc>
                <w:tcPr>
                  <w:tcW w:w="533" w:type="dxa"/>
                  <w:vMerge w:val="continue"/>
                  <w:tcBorders>
                    <w:left w:val="single" w:color="auto" w:sz="4" w:space="0"/>
                    <w:right w:val="single" w:color="auto" w:sz="4" w:space="0"/>
                    <w:tl2br w:val="nil"/>
                    <w:tr2bl w:val="nil"/>
                  </w:tcBorders>
                  <w:noWrap w:val="0"/>
                  <w:vAlign w:val="center"/>
                </w:tcPr>
                <w:p w14:paraId="6D4CBF95">
                  <w:pPr>
                    <w:pStyle w:val="30"/>
                    <w:spacing w:beforeLines="0" w:afterLines="0"/>
                    <w:rPr>
                      <w:rFonts w:hint="eastAsia" w:ascii="Times New Roman" w:hAnsi="Times New Roman"/>
                      <w:color w:val="auto"/>
                      <w:sz w:val="18"/>
                      <w:szCs w:val="18"/>
                    </w:rPr>
                  </w:pP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18908E14">
                  <w:pPr>
                    <w:jc w:val="center"/>
                    <w:rPr>
                      <w:rFonts w:hint="default" w:ascii="Times New Roman" w:hAnsi="Times New Roman" w:cs="Times New Roman"/>
                      <w:color w:val="auto"/>
                      <w:sz w:val="18"/>
                      <w:szCs w:val="18"/>
                      <w:lang w:val="en-US" w:eastAsia="zh-CN"/>
                    </w:rPr>
                  </w:pPr>
                  <w:r>
                    <w:rPr>
                      <w:rFonts w:hint="eastAsia"/>
                      <w:color w:val="auto"/>
                      <w:lang w:val="en-US" w:eastAsia="zh-CN"/>
                    </w:rPr>
                    <w:t>气磨机（6台）</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484C1A6">
                  <w:pPr>
                    <w:pStyle w:val="14"/>
                    <w:widowControl w:val="0"/>
                    <w:spacing w:before="0" w:beforeAutospacing="0" w:after="0" w:afterAutospacing="0"/>
                    <w:jc w:val="center"/>
                    <w:rPr>
                      <w:rFonts w:hint="default"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85</w:t>
                  </w:r>
                </w:p>
              </w:tc>
              <w:tc>
                <w:tcPr>
                  <w:tcW w:w="498" w:type="dxa"/>
                  <w:vMerge w:val="continue"/>
                  <w:tcBorders>
                    <w:left w:val="single" w:color="auto" w:sz="4" w:space="0"/>
                    <w:right w:val="single" w:color="auto" w:sz="4" w:space="0"/>
                    <w:tl2br w:val="nil"/>
                    <w:tr2bl w:val="nil"/>
                  </w:tcBorders>
                  <w:noWrap w:val="0"/>
                  <w:vAlign w:val="center"/>
                </w:tcPr>
                <w:p w14:paraId="61DBC9F2">
                  <w:pPr>
                    <w:pStyle w:val="30"/>
                    <w:spacing w:beforeLines="0" w:afterLines="0"/>
                    <w:rPr>
                      <w:rFonts w:hint="default" w:ascii="Times New Roman" w:hAnsi="Times New Roman" w:eastAsia="Times New Roman"/>
                      <w:color w:val="auto"/>
                      <w:sz w:val="18"/>
                      <w:szCs w:val="18"/>
                    </w:rPr>
                  </w:pPr>
                </w:p>
              </w:tc>
              <w:tc>
                <w:tcPr>
                  <w:tcW w:w="46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41E86D36">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34</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EDBED5F">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16</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3D84604">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A6FA0D">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7057F5B">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olor w:val="auto"/>
                      <w:sz w:val="18"/>
                      <w:szCs w:val="18"/>
                      <w:lang w:val="en-US" w:eastAsia="zh-CN"/>
                    </w:rPr>
                    <w:t>9</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695EF41C">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73.7 </w:t>
                  </w:r>
                </w:p>
              </w:tc>
              <w:tc>
                <w:tcPr>
                  <w:tcW w:w="644" w:type="dxa"/>
                  <w:vMerge w:val="continue"/>
                  <w:tcBorders>
                    <w:left w:val="single" w:color="auto" w:sz="4" w:space="0"/>
                    <w:right w:val="single" w:color="auto" w:sz="4" w:space="0"/>
                    <w:tl2br w:val="nil"/>
                    <w:tr2bl w:val="nil"/>
                  </w:tcBorders>
                  <w:noWrap w:val="0"/>
                  <w:vAlign w:val="center"/>
                </w:tcPr>
                <w:p w14:paraId="5ACC0104">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5C80DB">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5F4879E">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58.7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613EAD88">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40040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70C0AFEB">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14972CA2">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31A5D0E">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6FC2CAC">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00407D2A">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4337297">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781AE0E">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55A4563">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3ED31A">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70CB4B9">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olor w:val="auto"/>
                      <w:sz w:val="18"/>
                      <w:szCs w:val="18"/>
                      <w:lang w:val="en-US" w:eastAsia="zh-CN"/>
                    </w:rPr>
                    <w:t>17</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1CBC6C4B">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68.2 </w:t>
                  </w:r>
                </w:p>
              </w:tc>
              <w:tc>
                <w:tcPr>
                  <w:tcW w:w="644" w:type="dxa"/>
                  <w:vMerge w:val="continue"/>
                  <w:tcBorders>
                    <w:left w:val="single" w:color="auto" w:sz="4" w:space="0"/>
                    <w:right w:val="single" w:color="auto" w:sz="4" w:space="0"/>
                    <w:tl2br w:val="nil"/>
                    <w:tr2bl w:val="nil"/>
                  </w:tcBorders>
                  <w:noWrap w:val="0"/>
                  <w:vAlign w:val="center"/>
                </w:tcPr>
                <w:p w14:paraId="5420F0C0">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7355086">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C78E0B">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53.2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22CD828A">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77F860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4284131C">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2BD6890A">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C33A43C">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69F6534">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104E04DB">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7741B86">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CD6B1BD">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F6190F8">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E41486">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F642B68">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olor w:val="auto"/>
                      <w:sz w:val="18"/>
                      <w:szCs w:val="18"/>
                      <w:lang w:val="en-US" w:eastAsia="zh-CN"/>
                    </w:rPr>
                    <w:t>43</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39F8EF4A">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60.1 </w:t>
                  </w:r>
                </w:p>
              </w:tc>
              <w:tc>
                <w:tcPr>
                  <w:tcW w:w="644" w:type="dxa"/>
                  <w:vMerge w:val="continue"/>
                  <w:tcBorders>
                    <w:left w:val="single" w:color="auto" w:sz="4" w:space="0"/>
                    <w:right w:val="single" w:color="auto" w:sz="4" w:space="0"/>
                    <w:tl2br w:val="nil"/>
                    <w:tr2bl w:val="nil"/>
                  </w:tcBorders>
                  <w:noWrap w:val="0"/>
                  <w:vAlign w:val="center"/>
                </w:tcPr>
                <w:p w14:paraId="04B31B52">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0047E1">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835898">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45.1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2F8113D8">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477FA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4585E384">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1837A5E3">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AD7D20D">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62BAEA9">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09F95EBB">
                  <w:pPr>
                    <w:pStyle w:val="30"/>
                    <w:spacing w:beforeLines="0" w:afterLines="0"/>
                    <w:rPr>
                      <w:rFonts w:hint="default" w:ascii="Times New Roman" w:hAnsi="Times New Roman" w:eastAsia="Times New Roman"/>
                      <w:color w:val="auto"/>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BE1095B">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5E412A9">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B40CEB2">
                  <w:pPr>
                    <w:pStyle w:val="30"/>
                    <w:rPr>
                      <w:rFonts w:hint="default" w:ascii="Times New Roman" w:hAnsi="Times New Roman"/>
                      <w:color w:val="auto"/>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75C5B8E">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EE3CA44">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olor w:val="auto"/>
                      <w:sz w:val="18"/>
                      <w:szCs w:val="18"/>
                      <w:lang w:val="en-US" w:eastAsia="zh-CN"/>
                    </w:rPr>
                    <w:t>23</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680938E8">
                  <w:pPr>
                    <w:pStyle w:val="30"/>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 xml:space="preserve">65.6 </w:t>
                  </w:r>
                </w:p>
              </w:tc>
              <w:tc>
                <w:tcPr>
                  <w:tcW w:w="644" w:type="dxa"/>
                  <w:vMerge w:val="continue"/>
                  <w:tcBorders>
                    <w:left w:val="single" w:color="auto" w:sz="4" w:space="0"/>
                    <w:right w:val="single" w:color="auto" w:sz="4" w:space="0"/>
                    <w:tl2br w:val="nil"/>
                    <w:tr2bl w:val="nil"/>
                  </w:tcBorders>
                  <w:noWrap w:val="0"/>
                  <w:vAlign w:val="center"/>
                </w:tcPr>
                <w:p w14:paraId="56143245">
                  <w:pPr>
                    <w:pStyle w:val="30"/>
                    <w:rPr>
                      <w:rFonts w:hint="default" w:ascii="Times New Roman" w:hAnsi="Times New Roman"/>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3B44D3E">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33778A">
                  <w:pPr>
                    <w:pStyle w:val="30"/>
                    <w:rPr>
                      <w:rFonts w:hint="default" w:ascii="Times New Roman" w:hAnsi="Times New Roman"/>
                      <w:color w:val="auto"/>
                      <w:sz w:val="18"/>
                      <w:szCs w:val="18"/>
                      <w:lang w:val="en-US" w:eastAsia="zh-CN"/>
                    </w:rPr>
                  </w:pPr>
                  <w:r>
                    <w:rPr>
                      <w:rFonts w:hint="default" w:ascii="Times New Roman" w:hAnsi="Times New Roman"/>
                      <w:color w:val="auto"/>
                      <w:sz w:val="18"/>
                      <w:szCs w:val="18"/>
                      <w:lang w:val="en-US" w:eastAsia="zh-CN"/>
                    </w:rPr>
                    <w:t xml:space="preserve">50.6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26CA5468">
                  <w:pPr>
                    <w:pStyle w:val="30"/>
                    <w:ind w:firstLine="0" w:firstLineChars="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01644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29A6D552">
                  <w:pPr>
                    <w:pStyle w:val="30"/>
                    <w:rPr>
                      <w:rFonts w:hint="eastAsia" w:ascii="Times New Roman" w:hAnsi="Times New Roman" w:eastAsia="宋体"/>
                      <w:color w:val="auto"/>
                      <w:sz w:val="18"/>
                      <w:szCs w:val="18"/>
                      <w:lang w:eastAsia="zh-CN"/>
                    </w:rPr>
                  </w:pPr>
                  <w:r>
                    <w:rPr>
                      <w:rFonts w:hint="eastAsia" w:ascii="Times New Roman" w:hAnsi="Times New Roman" w:eastAsia="宋体"/>
                      <w:color w:val="auto"/>
                      <w:sz w:val="18"/>
                      <w:szCs w:val="18"/>
                      <w:lang w:val="en-US" w:eastAsia="zh-CN"/>
                    </w:rPr>
                    <w:t>3</w:t>
                  </w:r>
                </w:p>
              </w:tc>
              <w:tc>
                <w:tcPr>
                  <w:tcW w:w="533" w:type="dxa"/>
                  <w:vMerge w:val="continue"/>
                  <w:tcBorders>
                    <w:left w:val="single" w:color="auto" w:sz="4" w:space="0"/>
                    <w:right w:val="single" w:color="auto" w:sz="4" w:space="0"/>
                    <w:tl2br w:val="nil"/>
                    <w:tr2bl w:val="nil"/>
                  </w:tcBorders>
                  <w:noWrap w:val="0"/>
                  <w:vAlign w:val="center"/>
                </w:tcPr>
                <w:p w14:paraId="47437294">
                  <w:pPr>
                    <w:pStyle w:val="30"/>
                    <w:spacing w:beforeLines="0" w:afterLines="0"/>
                    <w:rPr>
                      <w:rFonts w:hint="eastAsia" w:ascii="Times New Roman" w:hAnsi="Times New Roman"/>
                      <w:color w:val="auto"/>
                      <w:sz w:val="18"/>
                      <w:szCs w:val="18"/>
                    </w:rPr>
                  </w:pP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4E83A857">
                  <w:pPr>
                    <w:jc w:val="center"/>
                    <w:rPr>
                      <w:rFonts w:hint="default" w:ascii="Times New Roman" w:hAnsi="Times New Roman" w:cs="Times New Roman"/>
                      <w:color w:val="auto"/>
                      <w:sz w:val="18"/>
                      <w:szCs w:val="18"/>
                    </w:rPr>
                  </w:pPr>
                  <w:r>
                    <w:rPr>
                      <w:rFonts w:hint="eastAsia"/>
                      <w:color w:val="auto"/>
                      <w:lang w:val="en-US" w:eastAsia="zh-CN"/>
                    </w:rPr>
                    <w:t>喷漆房（喷枪）</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5E55971">
                  <w:pPr>
                    <w:pStyle w:val="14"/>
                    <w:widowControl w:val="0"/>
                    <w:spacing w:before="0" w:beforeAutospacing="0" w:after="0" w:afterAutospacing="0"/>
                    <w:jc w:val="center"/>
                    <w:rPr>
                      <w:rFonts w:hint="default"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85</w:t>
                  </w:r>
                </w:p>
              </w:tc>
              <w:tc>
                <w:tcPr>
                  <w:tcW w:w="498" w:type="dxa"/>
                  <w:vMerge w:val="continue"/>
                  <w:tcBorders>
                    <w:left w:val="single" w:color="auto" w:sz="4" w:space="0"/>
                    <w:right w:val="single" w:color="auto" w:sz="4" w:space="0"/>
                    <w:tl2br w:val="nil"/>
                    <w:tr2bl w:val="nil"/>
                  </w:tcBorders>
                  <w:noWrap w:val="0"/>
                  <w:vAlign w:val="center"/>
                </w:tcPr>
                <w:p w14:paraId="7746A645">
                  <w:pPr>
                    <w:pStyle w:val="30"/>
                    <w:spacing w:beforeLines="0" w:afterLines="0"/>
                    <w:rPr>
                      <w:rFonts w:hint="default" w:ascii="Times New Roman" w:hAnsi="Times New Roman" w:eastAsia="Times New Roman"/>
                      <w:color w:val="FF0000"/>
                      <w:sz w:val="18"/>
                      <w:szCs w:val="18"/>
                    </w:rPr>
                  </w:pPr>
                </w:p>
              </w:tc>
              <w:tc>
                <w:tcPr>
                  <w:tcW w:w="46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CC74191">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44</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B33821D">
                  <w:pPr>
                    <w:pStyle w:val="30"/>
                    <w:bidi w:val="0"/>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24</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F8C4A62">
                  <w:pPr>
                    <w:pStyle w:val="30"/>
                    <w:rPr>
                      <w:rFonts w:hint="default" w:ascii="Times New Roman" w:hAnsi="Times New Roman" w:eastAsia="宋体"/>
                      <w:color w:val="auto"/>
                      <w:sz w:val="18"/>
                      <w:szCs w:val="18"/>
                      <w:lang w:val="en-US" w:eastAsia="zh-CN"/>
                    </w:rPr>
                  </w:pPr>
                  <w:r>
                    <w:rPr>
                      <w:rFonts w:hint="eastAsia" w:ascii="Times New Roman" w:hAnsi="Times New Roman"/>
                      <w:color w:val="auto"/>
                      <w:sz w:val="18"/>
                      <w:szCs w:val="18"/>
                      <w:lang w:val="en-US" w:eastAsia="zh-CN"/>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67F960">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5AC108A">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s="宋体"/>
                      <w:color w:val="auto"/>
                      <w:kern w:val="2"/>
                      <w:sz w:val="18"/>
                      <w:szCs w:val="18"/>
                      <w:lang w:val="en-US" w:eastAsia="zh-CN" w:bidi="ar-SA"/>
                    </w:rPr>
                    <w:t>4</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1399C92F">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73.0 </w:t>
                  </w:r>
                </w:p>
              </w:tc>
              <w:tc>
                <w:tcPr>
                  <w:tcW w:w="644" w:type="dxa"/>
                  <w:vMerge w:val="continue"/>
                  <w:tcBorders>
                    <w:left w:val="single" w:color="auto" w:sz="4" w:space="0"/>
                    <w:right w:val="single" w:color="auto" w:sz="4" w:space="0"/>
                    <w:tl2br w:val="nil"/>
                    <w:tr2bl w:val="nil"/>
                  </w:tcBorders>
                  <w:noWrap w:val="0"/>
                  <w:vAlign w:val="center"/>
                </w:tcPr>
                <w:p w14:paraId="181F2049">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77798B">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FB2AC1">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58.0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7D1D81F0">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3D3DB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33" w:hRule="atLeast"/>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21DB8B4D">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6112D89E">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CB30D70">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A48A630">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4542EA8">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10B88EA">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5F6D1EC">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4A92ED1">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5757D59">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A098A15">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s="宋体"/>
                      <w:color w:val="auto"/>
                      <w:kern w:val="2"/>
                      <w:sz w:val="18"/>
                      <w:szCs w:val="18"/>
                      <w:lang w:val="en-US" w:eastAsia="zh-CN" w:bidi="ar-SA"/>
                    </w:rPr>
                    <w:t>30</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4A88640D">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55.5 </w:t>
                  </w:r>
                </w:p>
              </w:tc>
              <w:tc>
                <w:tcPr>
                  <w:tcW w:w="644" w:type="dxa"/>
                  <w:vMerge w:val="continue"/>
                  <w:tcBorders>
                    <w:left w:val="single" w:color="auto" w:sz="4" w:space="0"/>
                    <w:right w:val="single" w:color="auto" w:sz="4" w:space="0"/>
                    <w:tl2br w:val="nil"/>
                    <w:tr2bl w:val="nil"/>
                  </w:tcBorders>
                  <w:noWrap w:val="0"/>
                  <w:vAlign w:val="center"/>
                </w:tcPr>
                <w:p w14:paraId="52B337D4">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EF8C14">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89D55F">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40.5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035BAF3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547AE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5B99776D">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7D33FEEE">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8672CFB">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6151B4E">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0FBF7A89">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7E064E8">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90C98A4">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346BA3C">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76ABD67">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BEB5B83">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s="宋体"/>
                      <w:color w:val="auto"/>
                      <w:kern w:val="2"/>
                      <w:sz w:val="18"/>
                      <w:szCs w:val="18"/>
                      <w:lang w:val="en-US" w:eastAsia="zh-CN" w:bidi="ar-SA"/>
                    </w:rPr>
                    <w:t>38</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3CC3159B">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53.4 </w:t>
                  </w:r>
                </w:p>
              </w:tc>
              <w:tc>
                <w:tcPr>
                  <w:tcW w:w="644" w:type="dxa"/>
                  <w:vMerge w:val="continue"/>
                  <w:tcBorders>
                    <w:left w:val="single" w:color="auto" w:sz="4" w:space="0"/>
                    <w:right w:val="single" w:color="auto" w:sz="4" w:space="0"/>
                    <w:tl2br w:val="nil"/>
                    <w:tr2bl w:val="nil"/>
                  </w:tcBorders>
                  <w:noWrap w:val="0"/>
                  <w:vAlign w:val="center"/>
                </w:tcPr>
                <w:p w14:paraId="7C2727EE">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190FAB">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EA5989A">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38.4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78EE70A0">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41098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234F4064">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5BFF0668">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76B24C4">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C740351">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3523C32D">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D981AC5">
                  <w:pPr>
                    <w:pStyle w:val="30"/>
                    <w:bidi w:val="0"/>
                    <w:rPr>
                      <w:rFonts w:hint="default" w:ascii="Times New Roman" w:hAnsi="Times New Roman" w:cs="Times New Roman"/>
                      <w:color w:val="auto"/>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AF862C1">
                  <w:pPr>
                    <w:pStyle w:val="30"/>
                    <w:bidi w:val="0"/>
                    <w:rPr>
                      <w:rFonts w:hint="default" w:ascii="Times New Roman" w:hAnsi="Times New Roman" w:cs="Times New Roman"/>
                      <w:color w:val="auto"/>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9F7AD86">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CEB691">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BF64762">
                  <w:pPr>
                    <w:pStyle w:val="30"/>
                    <w:ind w:firstLine="0" w:firstLineChars="0"/>
                    <w:rPr>
                      <w:rFonts w:hint="default" w:ascii="Times New Roman" w:hAnsi="Times New Roman" w:eastAsia="宋体" w:cs="宋体"/>
                      <w:color w:val="auto"/>
                      <w:kern w:val="2"/>
                      <w:sz w:val="18"/>
                      <w:szCs w:val="18"/>
                      <w:lang w:val="en-US" w:eastAsia="zh-CN" w:bidi="ar-SA"/>
                    </w:rPr>
                  </w:pPr>
                  <w:r>
                    <w:rPr>
                      <w:rFonts w:hint="eastAsia" w:ascii="Times New Roman" w:hAnsi="Times New Roman" w:cs="宋体"/>
                      <w:color w:val="auto"/>
                      <w:kern w:val="2"/>
                      <w:sz w:val="18"/>
                      <w:szCs w:val="18"/>
                      <w:lang w:val="en-US" w:eastAsia="zh-CN" w:bidi="ar-SA"/>
                    </w:rPr>
                    <w:t>6</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456811D4">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69.4 </w:t>
                  </w:r>
                </w:p>
              </w:tc>
              <w:tc>
                <w:tcPr>
                  <w:tcW w:w="644" w:type="dxa"/>
                  <w:vMerge w:val="continue"/>
                  <w:tcBorders>
                    <w:left w:val="single" w:color="auto" w:sz="4" w:space="0"/>
                    <w:right w:val="single" w:color="auto" w:sz="4" w:space="0"/>
                    <w:tl2br w:val="nil"/>
                    <w:tr2bl w:val="nil"/>
                  </w:tcBorders>
                  <w:noWrap w:val="0"/>
                  <w:vAlign w:val="center"/>
                </w:tcPr>
                <w:p w14:paraId="057DCF36">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5D646A">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F077EA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54.4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3D1A63B5">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405C51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5CCDA5F4">
                  <w:pPr>
                    <w:pStyle w:val="30"/>
                    <w:rPr>
                      <w:rFonts w:hint="eastAsia" w:ascii="Times New Roman" w:hAnsi="Times New Roman" w:eastAsia="宋体"/>
                      <w:color w:val="auto"/>
                      <w:sz w:val="18"/>
                      <w:szCs w:val="18"/>
                      <w:lang w:eastAsia="zh-CN"/>
                    </w:rPr>
                  </w:pPr>
                  <w:r>
                    <w:rPr>
                      <w:rFonts w:hint="eastAsia" w:ascii="Times New Roman" w:hAnsi="Times New Roman" w:eastAsia="宋体"/>
                      <w:color w:val="auto"/>
                      <w:sz w:val="18"/>
                      <w:szCs w:val="18"/>
                      <w:lang w:val="en-US" w:eastAsia="zh-CN"/>
                    </w:rPr>
                    <w:t>4</w:t>
                  </w:r>
                </w:p>
              </w:tc>
              <w:tc>
                <w:tcPr>
                  <w:tcW w:w="533" w:type="dxa"/>
                  <w:vMerge w:val="continue"/>
                  <w:tcBorders>
                    <w:left w:val="single" w:color="auto" w:sz="4" w:space="0"/>
                    <w:right w:val="single" w:color="auto" w:sz="4" w:space="0"/>
                    <w:tl2br w:val="nil"/>
                    <w:tr2bl w:val="nil"/>
                  </w:tcBorders>
                  <w:noWrap w:val="0"/>
                  <w:vAlign w:val="center"/>
                </w:tcPr>
                <w:p w14:paraId="4A4C4796">
                  <w:pPr>
                    <w:pStyle w:val="30"/>
                    <w:spacing w:beforeLines="0" w:afterLines="0"/>
                    <w:rPr>
                      <w:rFonts w:hint="eastAsia" w:ascii="Times New Roman" w:hAnsi="Times New Roman"/>
                      <w:color w:val="auto"/>
                      <w:sz w:val="18"/>
                      <w:szCs w:val="18"/>
                    </w:rPr>
                  </w:pP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88F4141">
                  <w:pPr>
                    <w:jc w:val="center"/>
                    <w:rPr>
                      <w:rFonts w:hint="default" w:ascii="Times New Roman" w:hAnsi="Times New Roman" w:cs="Times New Roman"/>
                      <w:color w:val="auto"/>
                      <w:sz w:val="18"/>
                      <w:szCs w:val="18"/>
                    </w:rPr>
                  </w:pPr>
                  <w:r>
                    <w:rPr>
                      <w:rFonts w:hint="eastAsia"/>
                      <w:color w:val="auto"/>
                      <w:lang w:val="en-US" w:eastAsia="zh-CN"/>
                    </w:rPr>
                    <w:t>烤漆房</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AC6C182">
                  <w:pPr>
                    <w:pStyle w:val="14"/>
                    <w:widowControl w:val="0"/>
                    <w:spacing w:before="0" w:beforeAutospacing="0" w:after="0" w:afterAutospacing="0"/>
                    <w:jc w:val="center"/>
                    <w:rPr>
                      <w:rFonts w:hint="default"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80</w:t>
                  </w:r>
                </w:p>
              </w:tc>
              <w:tc>
                <w:tcPr>
                  <w:tcW w:w="498" w:type="dxa"/>
                  <w:vMerge w:val="continue"/>
                  <w:tcBorders>
                    <w:left w:val="single" w:color="auto" w:sz="4" w:space="0"/>
                    <w:right w:val="single" w:color="auto" w:sz="4" w:space="0"/>
                    <w:tl2br w:val="nil"/>
                    <w:tr2bl w:val="nil"/>
                  </w:tcBorders>
                  <w:noWrap w:val="0"/>
                  <w:vAlign w:val="center"/>
                </w:tcPr>
                <w:p w14:paraId="286C53B3">
                  <w:pPr>
                    <w:pStyle w:val="30"/>
                    <w:spacing w:beforeLines="0" w:afterLines="0"/>
                    <w:rPr>
                      <w:rFonts w:hint="default" w:ascii="Times New Roman" w:hAnsi="Times New Roman" w:eastAsia="Times New Roman"/>
                      <w:color w:val="FF0000"/>
                      <w:sz w:val="18"/>
                      <w:szCs w:val="18"/>
                    </w:rPr>
                  </w:pPr>
                </w:p>
              </w:tc>
              <w:tc>
                <w:tcPr>
                  <w:tcW w:w="465" w:type="dxa"/>
                  <w:vMerge w:val="restar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F19C1D">
                  <w:pPr>
                    <w:pStyle w:val="30"/>
                    <w:bidi w:val="0"/>
                    <w:ind w:firstLine="0" w:firstLineChars="0"/>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44</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EA0253">
                  <w:pPr>
                    <w:pStyle w:val="30"/>
                    <w:bidi w:val="0"/>
                    <w:ind w:firstLine="0" w:firstLineChars="0"/>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28</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5C10D3B">
                  <w:pPr>
                    <w:pStyle w:val="30"/>
                    <w:rPr>
                      <w:rFonts w:hint="default" w:ascii="Times New Roman" w:hAnsi="Times New Roman" w:eastAsia="宋体"/>
                      <w:color w:val="FF0000"/>
                      <w:sz w:val="18"/>
                      <w:szCs w:val="18"/>
                      <w:lang w:val="en-US" w:eastAsia="zh-CN"/>
                    </w:rPr>
                  </w:pPr>
                  <w:r>
                    <w:rPr>
                      <w:rFonts w:hint="eastAsia" w:ascii="Times New Roman" w:hAnsi="Times New Roman"/>
                      <w:color w:val="000000" w:themeColor="text1"/>
                      <w:sz w:val="18"/>
                      <w:szCs w:val="18"/>
                      <w:lang w:val="en-US" w:eastAsia="zh-CN"/>
                      <w14:textFill>
                        <w14:solidFill>
                          <w14:schemeClr w14:val="tx1"/>
                        </w14:solidFill>
                      </w14:textFill>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63EF3C">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5EB866F">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15</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7E5CACA8">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56.5 </w:t>
                  </w:r>
                </w:p>
              </w:tc>
              <w:tc>
                <w:tcPr>
                  <w:tcW w:w="644" w:type="dxa"/>
                  <w:vMerge w:val="continue"/>
                  <w:tcBorders>
                    <w:left w:val="single" w:color="auto" w:sz="4" w:space="0"/>
                    <w:right w:val="single" w:color="auto" w:sz="4" w:space="0"/>
                    <w:tl2br w:val="nil"/>
                    <w:tr2bl w:val="nil"/>
                  </w:tcBorders>
                  <w:noWrap w:val="0"/>
                  <w:vAlign w:val="center"/>
                </w:tcPr>
                <w:p w14:paraId="6A721D08">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7A6FBE">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91D769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41.5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4795069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3ED14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501E7BAE">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77721613">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2BE2CEF">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F454F85">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43769B5F">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9B4F489">
                  <w:pPr>
                    <w:pStyle w:val="30"/>
                    <w:bidi w:val="0"/>
                    <w:rPr>
                      <w:rFonts w:hint="default" w:ascii="Times New Roman" w:hAnsi="Times New Roman" w:cs="Times New Roman"/>
                      <w:color w:val="FF0000"/>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509FF07">
                  <w:pPr>
                    <w:pStyle w:val="30"/>
                    <w:bidi w:val="0"/>
                    <w:rPr>
                      <w:rFonts w:hint="default" w:ascii="Times New Roman" w:hAnsi="Times New Roman" w:cs="Times New Roman"/>
                      <w:color w:val="FF0000"/>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D87D7EC">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CC07D20">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D80F43">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31</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1E24AA0E">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50.2 </w:t>
                  </w:r>
                </w:p>
              </w:tc>
              <w:tc>
                <w:tcPr>
                  <w:tcW w:w="644" w:type="dxa"/>
                  <w:vMerge w:val="continue"/>
                  <w:tcBorders>
                    <w:left w:val="single" w:color="auto" w:sz="4" w:space="0"/>
                    <w:right w:val="single" w:color="auto" w:sz="4" w:space="0"/>
                    <w:tl2br w:val="nil"/>
                    <w:tr2bl w:val="nil"/>
                  </w:tcBorders>
                  <w:noWrap w:val="0"/>
                  <w:vAlign w:val="center"/>
                </w:tcPr>
                <w:p w14:paraId="58657659">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367FA73">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A33D3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35.2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1E531664">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77838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46" w:hRule="atLeast"/>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38710155">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72745694">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905A90E">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94D6C0D">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63CF652">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C55CB1A">
                  <w:pPr>
                    <w:pStyle w:val="30"/>
                    <w:bidi w:val="0"/>
                    <w:rPr>
                      <w:rFonts w:hint="default" w:ascii="Times New Roman" w:hAnsi="Times New Roman" w:cs="Times New Roman"/>
                      <w:color w:val="FF0000"/>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AFD0E1E">
                  <w:pPr>
                    <w:pStyle w:val="30"/>
                    <w:bidi w:val="0"/>
                    <w:rPr>
                      <w:rFonts w:hint="default" w:ascii="Times New Roman" w:hAnsi="Times New Roman" w:cs="Times New Roman"/>
                      <w:color w:val="FF0000"/>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7BA883F">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6112EE">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D075DD0">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27</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1720BC70">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51.4 </w:t>
                  </w:r>
                </w:p>
              </w:tc>
              <w:tc>
                <w:tcPr>
                  <w:tcW w:w="644" w:type="dxa"/>
                  <w:vMerge w:val="continue"/>
                  <w:tcBorders>
                    <w:left w:val="single" w:color="auto" w:sz="4" w:space="0"/>
                    <w:right w:val="single" w:color="auto" w:sz="4" w:space="0"/>
                    <w:tl2br w:val="nil"/>
                    <w:tr2bl w:val="nil"/>
                  </w:tcBorders>
                  <w:noWrap w:val="0"/>
                  <w:vAlign w:val="center"/>
                </w:tcPr>
                <w:p w14:paraId="46B58C90">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716055">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B06F67">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36.4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3364344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360EA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7FE959E0">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0AA0FD37">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EE67932">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8AF10A5">
                  <w:pPr>
                    <w:pStyle w:val="14"/>
                    <w:widowControl w:val="0"/>
                    <w:spacing w:before="0" w:beforeAutospacing="0" w:after="0" w:afterAutospacing="0"/>
                    <w:jc w:val="center"/>
                    <w:rPr>
                      <w:rFonts w:hint="eastAsia" w:ascii="Times New Roman" w:hAnsi="Times New Roman" w:cs="Times New Roman"/>
                      <w:color w:val="auto"/>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1BC5F99C">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C89BB07">
                  <w:pPr>
                    <w:pStyle w:val="30"/>
                    <w:bidi w:val="0"/>
                    <w:rPr>
                      <w:rFonts w:hint="default" w:ascii="Times New Roman" w:hAnsi="Times New Roman" w:cs="Times New Roman"/>
                      <w:color w:val="FF0000"/>
                      <w:sz w:val="18"/>
                      <w:szCs w:val="18"/>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4D48047">
                  <w:pPr>
                    <w:pStyle w:val="30"/>
                    <w:bidi w:val="0"/>
                    <w:rPr>
                      <w:rFonts w:hint="default" w:ascii="Times New Roman" w:hAnsi="Times New Roman" w:cs="Times New Roman"/>
                      <w:color w:val="FF0000"/>
                      <w:sz w:val="18"/>
                      <w:szCs w:val="18"/>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448A01">
                  <w:pPr>
                    <w:pStyle w:val="30"/>
                    <w:rPr>
                      <w:rFonts w:hint="default" w:ascii="Times New Roman" w:hAnsi="Times New Roman"/>
                      <w:color w:val="FF0000"/>
                      <w:sz w:val="18"/>
                      <w:szCs w:val="18"/>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23F506">
                  <w:pPr>
                    <w:pStyle w:val="14"/>
                    <w:widowControl w:val="0"/>
                    <w:spacing w:before="0" w:beforeAutospacing="0" w:after="0" w:afterAutospacing="0"/>
                    <w:jc w:val="center"/>
                    <w:rPr>
                      <w:rFonts w:hint="default" w:ascii="Times New Roman" w:hAnsi="Times New Roman" w:eastAsia="Times New Roman" w:cs="Times New Roman"/>
                      <w:color w:val="auto"/>
                      <w:kern w:val="2"/>
                      <w:sz w:val="18"/>
                      <w:szCs w:val="18"/>
                    </w:rPr>
                  </w:pPr>
                  <w:r>
                    <w:rPr>
                      <w:rFonts w:hint="eastAsia"/>
                      <w:color w:val="auto"/>
                      <w:kern w:val="2"/>
                      <w:sz w:val="18"/>
                      <w:szCs w:val="24"/>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70CC917">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5</w:t>
                  </w:r>
                </w:p>
              </w:tc>
              <w:tc>
                <w:tcPr>
                  <w:tcW w:w="673"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bottom"/>
                </w:tcPr>
                <w:p w14:paraId="768064BF">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66.0 </w:t>
                  </w:r>
                </w:p>
              </w:tc>
              <w:tc>
                <w:tcPr>
                  <w:tcW w:w="644" w:type="dxa"/>
                  <w:vMerge w:val="continue"/>
                  <w:tcBorders>
                    <w:left w:val="single" w:color="auto" w:sz="4" w:space="0"/>
                    <w:right w:val="single" w:color="auto" w:sz="4" w:space="0"/>
                    <w:tl2br w:val="nil"/>
                    <w:tr2bl w:val="nil"/>
                  </w:tcBorders>
                  <w:noWrap w:val="0"/>
                  <w:vAlign w:val="center"/>
                </w:tcPr>
                <w:p w14:paraId="0A89A453">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9286875">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3EB5BF">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51.0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101C1223">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6B6E4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39A43AD1">
                  <w:pPr>
                    <w:pStyle w:val="30"/>
                    <w:rPr>
                      <w:rFonts w:hint="eastAsia" w:ascii="Times New Roman" w:hAnsi="Times New Roman" w:eastAsia="宋体"/>
                      <w:color w:val="auto"/>
                      <w:sz w:val="18"/>
                      <w:szCs w:val="18"/>
                      <w:lang w:eastAsia="zh-CN"/>
                    </w:rPr>
                  </w:pPr>
                  <w:r>
                    <w:rPr>
                      <w:rFonts w:hint="eastAsia" w:ascii="Times New Roman" w:hAnsi="Times New Roman"/>
                      <w:color w:val="auto"/>
                      <w:sz w:val="18"/>
                      <w:szCs w:val="18"/>
                      <w:lang w:val="en-US" w:eastAsia="zh-CN"/>
                    </w:rPr>
                    <w:t>5</w:t>
                  </w:r>
                </w:p>
              </w:tc>
              <w:tc>
                <w:tcPr>
                  <w:tcW w:w="533" w:type="dxa"/>
                  <w:vMerge w:val="continue"/>
                  <w:tcBorders>
                    <w:left w:val="single" w:color="auto" w:sz="4" w:space="0"/>
                    <w:right w:val="single" w:color="auto" w:sz="4" w:space="0"/>
                    <w:tl2br w:val="nil"/>
                    <w:tr2bl w:val="nil"/>
                  </w:tcBorders>
                  <w:noWrap w:val="0"/>
                  <w:vAlign w:val="center"/>
                </w:tcPr>
                <w:p w14:paraId="64B1B6AC">
                  <w:pPr>
                    <w:pStyle w:val="30"/>
                    <w:spacing w:beforeLines="0" w:afterLines="0"/>
                    <w:rPr>
                      <w:rFonts w:hint="eastAsia" w:ascii="Times New Roman" w:hAnsi="Times New Roman"/>
                      <w:color w:val="auto"/>
                      <w:sz w:val="18"/>
                      <w:szCs w:val="18"/>
                    </w:rPr>
                  </w:pP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AB79DCC">
                  <w:pPr>
                    <w:jc w:val="center"/>
                    <w:rPr>
                      <w:rFonts w:hint="eastAsia"/>
                      <w:color w:val="auto"/>
                      <w:lang w:val="en-US" w:eastAsia="zh-CN"/>
                    </w:rPr>
                  </w:pPr>
                  <w:r>
                    <w:rPr>
                      <w:rFonts w:hint="eastAsia"/>
                      <w:color w:val="auto"/>
                      <w:lang w:val="en-US" w:eastAsia="zh-CN"/>
                    </w:rPr>
                    <w:t>水式打磨柜</w:t>
                  </w:r>
                </w:p>
                <w:p w14:paraId="12CEE529">
                  <w:pPr>
                    <w:jc w:val="center"/>
                    <w:rPr>
                      <w:rFonts w:hint="default" w:ascii="Times New Roman" w:hAnsi="Times New Roman" w:cs="Times New Roman"/>
                      <w:color w:val="auto"/>
                      <w:sz w:val="18"/>
                      <w:szCs w:val="18"/>
                      <w:lang w:val="en-US" w:eastAsia="zh-CN"/>
                    </w:rPr>
                  </w:pPr>
                  <w:r>
                    <w:rPr>
                      <w:rFonts w:hint="eastAsia"/>
                      <w:color w:val="auto"/>
                      <w:lang w:val="en-US" w:eastAsia="zh-CN"/>
                    </w:rPr>
                    <w:t>(2台)</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826AB12">
                  <w:pPr>
                    <w:pStyle w:val="14"/>
                    <w:widowControl w:val="0"/>
                    <w:spacing w:before="0" w:beforeAutospacing="0" w:after="0" w:afterAutospacing="0"/>
                    <w:jc w:val="center"/>
                    <w:rPr>
                      <w:rFonts w:hint="default"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80</w:t>
                  </w:r>
                </w:p>
              </w:tc>
              <w:tc>
                <w:tcPr>
                  <w:tcW w:w="498" w:type="dxa"/>
                  <w:vMerge w:val="continue"/>
                  <w:tcBorders>
                    <w:left w:val="single" w:color="auto" w:sz="4" w:space="0"/>
                    <w:right w:val="single" w:color="auto" w:sz="4" w:space="0"/>
                    <w:tl2br w:val="nil"/>
                    <w:tr2bl w:val="nil"/>
                  </w:tcBorders>
                  <w:noWrap w:val="0"/>
                  <w:vAlign w:val="center"/>
                </w:tcPr>
                <w:p w14:paraId="4C6F29E3">
                  <w:pPr>
                    <w:pStyle w:val="30"/>
                    <w:spacing w:beforeLines="0" w:afterLines="0"/>
                    <w:rPr>
                      <w:rFonts w:hint="default" w:ascii="Times New Roman" w:hAnsi="Times New Roman" w:eastAsia="Times New Roman"/>
                      <w:color w:val="FF0000"/>
                      <w:sz w:val="18"/>
                      <w:szCs w:val="18"/>
                    </w:rPr>
                  </w:pPr>
                </w:p>
              </w:tc>
              <w:tc>
                <w:tcPr>
                  <w:tcW w:w="46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BFE6BDA">
                  <w:pPr>
                    <w:pStyle w:val="30"/>
                    <w:bidi w:val="0"/>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33</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38B0C9C">
                  <w:pPr>
                    <w:pStyle w:val="30"/>
                    <w:bidi w:val="0"/>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28</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1EE08218">
                  <w:pPr>
                    <w:pStyle w:val="30"/>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D6F660">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63088E7">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olor w:val="auto"/>
                      <w:sz w:val="18"/>
                      <w:szCs w:val="18"/>
                      <w:lang w:val="en-US" w:eastAsia="zh-CN"/>
                    </w:rPr>
                    <w:t>19</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51E997CE">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57.4 </w:t>
                  </w:r>
                </w:p>
              </w:tc>
              <w:tc>
                <w:tcPr>
                  <w:tcW w:w="644" w:type="dxa"/>
                  <w:vMerge w:val="continue"/>
                  <w:tcBorders>
                    <w:left w:val="single" w:color="auto" w:sz="4" w:space="0"/>
                    <w:right w:val="single" w:color="auto" w:sz="4" w:space="0"/>
                    <w:tl2br w:val="nil"/>
                    <w:tr2bl w:val="nil"/>
                  </w:tcBorders>
                  <w:noWrap w:val="0"/>
                  <w:vAlign w:val="center"/>
                </w:tcPr>
                <w:p w14:paraId="02AE269C">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7DA2BD">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D94988">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42.4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0F59C7C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7B820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278A781E">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0FBAB650">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9141050">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0B49BD4">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2BBCCEF3">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0D32EF1">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772A363">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CBD8D2C">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F87FFFF">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D03AABE">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olor w:val="auto"/>
                      <w:sz w:val="18"/>
                      <w:szCs w:val="18"/>
                      <w:lang w:val="en-US" w:eastAsia="zh-CN"/>
                    </w:rPr>
                    <w:t>28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462DC0CF">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54.1 </w:t>
                  </w:r>
                </w:p>
              </w:tc>
              <w:tc>
                <w:tcPr>
                  <w:tcW w:w="644" w:type="dxa"/>
                  <w:vMerge w:val="continue"/>
                  <w:tcBorders>
                    <w:left w:val="single" w:color="auto" w:sz="4" w:space="0"/>
                    <w:right w:val="single" w:color="auto" w:sz="4" w:space="0"/>
                    <w:tl2br w:val="nil"/>
                    <w:tr2bl w:val="nil"/>
                  </w:tcBorders>
                  <w:noWrap w:val="0"/>
                  <w:vAlign w:val="center"/>
                </w:tcPr>
                <w:p w14:paraId="39327627">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789157A">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9EFD259">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39.1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45437F8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22D78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090C3190">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1667F142">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C809904">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4AD9322">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29786C33">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5F27E15">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A9111FE">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76A910D">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1C1D0E">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F8F32D">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olor w:val="auto"/>
                      <w:sz w:val="18"/>
                      <w:szCs w:val="18"/>
                      <w:lang w:val="en-US" w:eastAsia="zh-CN"/>
                    </w:rPr>
                    <w:t>31</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4C9C2C61">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53.2 </w:t>
                  </w:r>
                </w:p>
              </w:tc>
              <w:tc>
                <w:tcPr>
                  <w:tcW w:w="644" w:type="dxa"/>
                  <w:vMerge w:val="continue"/>
                  <w:tcBorders>
                    <w:left w:val="single" w:color="auto" w:sz="4" w:space="0"/>
                    <w:right w:val="single" w:color="auto" w:sz="4" w:space="0"/>
                    <w:tl2br w:val="nil"/>
                    <w:tr2bl w:val="nil"/>
                  </w:tcBorders>
                  <w:noWrap w:val="0"/>
                  <w:vAlign w:val="center"/>
                </w:tcPr>
                <w:p w14:paraId="6DD0F317">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7B5B0D">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7392B1">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38.2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0E96E131">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0F5A4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623B3EF7">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5277945D">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E7F2BBB">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2EA8F3E">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3EB30980">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80AA9EF">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B2999FC">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ADE6017">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D7C719">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637F3BB">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olor w:val="auto"/>
                      <w:sz w:val="18"/>
                      <w:szCs w:val="18"/>
                      <w:lang w:val="en-US" w:eastAsia="zh-CN"/>
                    </w:rPr>
                    <w:t>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6A7147B0">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64.9 </w:t>
                  </w:r>
                </w:p>
              </w:tc>
              <w:tc>
                <w:tcPr>
                  <w:tcW w:w="644" w:type="dxa"/>
                  <w:vMerge w:val="continue"/>
                  <w:tcBorders>
                    <w:left w:val="single" w:color="auto" w:sz="4" w:space="0"/>
                    <w:right w:val="single" w:color="auto" w:sz="4" w:space="0"/>
                    <w:tl2br w:val="nil"/>
                    <w:tr2bl w:val="nil"/>
                  </w:tcBorders>
                  <w:noWrap w:val="0"/>
                  <w:vAlign w:val="center"/>
                </w:tcPr>
                <w:p w14:paraId="4FB61FD7">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0D47E64">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34DF6E">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49.9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7B6FE5AA">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658B7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bottom w:val="single" w:color="auto" w:sz="4" w:space="0"/>
                    <w:right w:val="single" w:color="auto" w:sz="4" w:space="0"/>
                    <w:tl2br w:val="nil"/>
                    <w:tr2bl w:val="nil"/>
                  </w:tcBorders>
                  <w:noWrap w:val="0"/>
                  <w:vAlign w:val="center"/>
                </w:tcPr>
                <w:p w14:paraId="6AE1B292">
                  <w:pPr>
                    <w:pStyle w:val="30"/>
                    <w:rPr>
                      <w:rFonts w:hint="eastAsia" w:ascii="Times New Roman" w:hAnsi="Times New Roman" w:eastAsia="宋体"/>
                      <w:color w:val="auto"/>
                      <w:sz w:val="18"/>
                      <w:szCs w:val="18"/>
                      <w:lang w:eastAsia="zh-CN"/>
                    </w:rPr>
                  </w:pPr>
                  <w:r>
                    <w:rPr>
                      <w:rFonts w:hint="eastAsia" w:ascii="Times New Roman" w:hAnsi="Times New Roman"/>
                      <w:color w:val="auto"/>
                      <w:sz w:val="18"/>
                      <w:szCs w:val="18"/>
                      <w:lang w:val="en-US" w:eastAsia="zh-CN"/>
                    </w:rPr>
                    <w:t>6</w:t>
                  </w:r>
                </w:p>
              </w:tc>
              <w:tc>
                <w:tcPr>
                  <w:tcW w:w="533" w:type="dxa"/>
                  <w:vMerge w:val="continue"/>
                  <w:tcBorders>
                    <w:left w:val="single" w:color="auto" w:sz="4" w:space="0"/>
                    <w:right w:val="single" w:color="auto" w:sz="4" w:space="0"/>
                    <w:tl2br w:val="nil"/>
                    <w:tr2bl w:val="nil"/>
                  </w:tcBorders>
                  <w:noWrap w:val="0"/>
                  <w:vAlign w:val="center"/>
                </w:tcPr>
                <w:p w14:paraId="2CC61995">
                  <w:pPr>
                    <w:pStyle w:val="30"/>
                    <w:spacing w:beforeLines="0" w:afterLines="0"/>
                    <w:rPr>
                      <w:rFonts w:hint="eastAsia" w:ascii="Times New Roman" w:hAnsi="Times New Roman"/>
                      <w:color w:val="auto"/>
                      <w:sz w:val="18"/>
                      <w:szCs w:val="18"/>
                    </w:rPr>
                  </w:pPr>
                </w:p>
              </w:tc>
              <w:tc>
                <w:tcPr>
                  <w:tcW w:w="84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59A5424">
                  <w:pPr>
                    <w:jc w:val="center"/>
                    <w:rPr>
                      <w:rFonts w:hint="eastAsia"/>
                      <w:color w:val="auto"/>
                      <w:lang w:val="en-US" w:eastAsia="zh-CN"/>
                    </w:rPr>
                  </w:pPr>
                  <w:r>
                    <w:rPr>
                      <w:rFonts w:hint="eastAsia"/>
                      <w:color w:val="auto"/>
                      <w:lang w:val="en-US" w:eastAsia="zh-CN"/>
                    </w:rPr>
                    <w:t>水帘柜</w:t>
                  </w:r>
                </w:p>
                <w:p w14:paraId="09E20B3E">
                  <w:pPr>
                    <w:jc w:val="center"/>
                    <w:rPr>
                      <w:rFonts w:hint="default"/>
                      <w:color w:val="auto"/>
                      <w:lang w:val="en-US" w:eastAsia="zh-CN"/>
                    </w:rPr>
                  </w:pPr>
                  <w:r>
                    <w:rPr>
                      <w:rFonts w:hint="eastAsia"/>
                      <w:color w:val="auto"/>
                      <w:lang w:val="en-US" w:eastAsia="zh-CN"/>
                    </w:rPr>
                    <w:t>(2台)</w:t>
                  </w:r>
                </w:p>
              </w:tc>
              <w:tc>
                <w:tcPr>
                  <w:tcW w:w="691"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73C1AFC">
                  <w:pPr>
                    <w:pStyle w:val="14"/>
                    <w:widowControl w:val="0"/>
                    <w:spacing w:before="0" w:beforeAutospacing="0" w:after="0" w:afterAutospacing="0"/>
                    <w:jc w:val="center"/>
                    <w:rPr>
                      <w:rFonts w:hint="default" w:ascii="Times New Roman" w:hAnsi="Times New Roman" w:eastAsia="宋体" w:cs="Times New Roman"/>
                      <w:color w:val="000000" w:themeColor="text1"/>
                      <w:kern w:val="2"/>
                      <w:sz w:val="18"/>
                      <w:szCs w:val="18"/>
                      <w:lang w:val="en-US" w:eastAsia="zh-CN"/>
                      <w14:textFill>
                        <w14:solidFill>
                          <w14:schemeClr w14:val="tx1"/>
                        </w14:solidFill>
                      </w14:textFill>
                    </w:rPr>
                  </w:pPr>
                  <w:r>
                    <w:rPr>
                      <w:rFonts w:hint="eastAsia" w:ascii="Times New Roman" w:hAnsi="Times New Roman" w:cs="Times New Roman"/>
                      <w:color w:val="000000" w:themeColor="text1"/>
                      <w:kern w:val="2"/>
                      <w:sz w:val="18"/>
                      <w:szCs w:val="18"/>
                      <w:lang w:val="en-US" w:eastAsia="zh-CN"/>
                      <w14:textFill>
                        <w14:solidFill>
                          <w14:schemeClr w14:val="tx1"/>
                        </w14:solidFill>
                      </w14:textFill>
                    </w:rPr>
                    <w:t>80</w:t>
                  </w:r>
                </w:p>
              </w:tc>
              <w:tc>
                <w:tcPr>
                  <w:tcW w:w="498" w:type="dxa"/>
                  <w:vMerge w:val="continue"/>
                  <w:tcBorders>
                    <w:left w:val="single" w:color="auto" w:sz="4" w:space="0"/>
                    <w:right w:val="single" w:color="auto" w:sz="4" w:space="0"/>
                    <w:tl2br w:val="nil"/>
                    <w:tr2bl w:val="nil"/>
                  </w:tcBorders>
                  <w:noWrap w:val="0"/>
                  <w:vAlign w:val="center"/>
                </w:tcPr>
                <w:p w14:paraId="471FC702">
                  <w:pPr>
                    <w:pStyle w:val="30"/>
                    <w:spacing w:beforeLines="0" w:afterLines="0"/>
                    <w:rPr>
                      <w:rFonts w:hint="default" w:ascii="Times New Roman" w:hAnsi="Times New Roman" w:eastAsia="Times New Roman"/>
                      <w:color w:val="FF0000"/>
                      <w:sz w:val="18"/>
                      <w:szCs w:val="18"/>
                    </w:rPr>
                  </w:pPr>
                </w:p>
              </w:tc>
              <w:tc>
                <w:tcPr>
                  <w:tcW w:w="465" w:type="dxa"/>
                  <w:vMerge w:val="restar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339E4D7">
                  <w:pPr>
                    <w:pStyle w:val="30"/>
                    <w:bidi w:val="0"/>
                    <w:ind w:firstLine="0" w:firstLineChars="0"/>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44</w:t>
                  </w:r>
                </w:p>
              </w:tc>
              <w:tc>
                <w:tcPr>
                  <w:tcW w:w="458" w:type="dxa"/>
                  <w:vMerge w:val="restar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DA3473">
                  <w:pPr>
                    <w:pStyle w:val="30"/>
                    <w:bidi w:val="0"/>
                    <w:ind w:firstLine="0" w:firstLineChars="0"/>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25</w:t>
                  </w:r>
                </w:p>
              </w:tc>
              <w:tc>
                <w:tcPr>
                  <w:tcW w:w="404"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FFBB717">
                  <w:pPr>
                    <w:pStyle w:val="30"/>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C303F6">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F5616FF">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4</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1FDCBC2D">
                  <w:pPr>
                    <w:pStyle w:val="30"/>
                    <w:ind w:firstLine="0" w:firstLineChars="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68.0 </w:t>
                  </w:r>
                </w:p>
              </w:tc>
              <w:tc>
                <w:tcPr>
                  <w:tcW w:w="644" w:type="dxa"/>
                  <w:vMerge w:val="continue"/>
                  <w:tcBorders>
                    <w:left w:val="single" w:color="auto" w:sz="4" w:space="0"/>
                    <w:right w:val="single" w:color="auto" w:sz="4" w:space="0"/>
                    <w:tl2br w:val="nil"/>
                    <w:tr2bl w:val="nil"/>
                  </w:tcBorders>
                  <w:noWrap w:val="0"/>
                  <w:vAlign w:val="center"/>
                </w:tcPr>
                <w:p w14:paraId="01330E96">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B86923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8ADBF1">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54.0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1D2551D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58BBF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73CE3BA3">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504721ED">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B73D16B">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E7C9F72">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FB4C331">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973DA28">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8DD32F">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0522164">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6F9EC0">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CEDB66C">
                  <w:pPr>
                    <w:pStyle w:val="30"/>
                    <w:ind w:firstLine="0" w:firstLineChars="0"/>
                    <w:rPr>
                      <w:rFonts w:hint="eastAsia"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26</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59370795">
                  <w:pPr>
                    <w:pStyle w:val="30"/>
                    <w:ind w:firstLine="0" w:firstLineChars="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51.7 </w:t>
                  </w:r>
                </w:p>
              </w:tc>
              <w:tc>
                <w:tcPr>
                  <w:tcW w:w="644" w:type="dxa"/>
                  <w:vMerge w:val="continue"/>
                  <w:tcBorders>
                    <w:left w:val="single" w:color="auto" w:sz="4" w:space="0"/>
                    <w:right w:val="single" w:color="auto" w:sz="4" w:space="0"/>
                    <w:tl2br w:val="nil"/>
                    <w:tr2bl w:val="nil"/>
                  </w:tcBorders>
                  <w:noWrap w:val="0"/>
                  <w:vAlign w:val="center"/>
                </w:tcPr>
                <w:p w14:paraId="4658D25E">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45B1CF">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713297">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38.5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562AA6F2">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48290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1E263E42">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4D305C4C">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83AD864">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E89CE54">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183EC655">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324D9A9">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EFC069A">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E90070F">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D12F3D">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B4EADD">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38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5E6E5360">
                  <w:pPr>
                    <w:pStyle w:val="30"/>
                    <w:ind w:firstLine="0" w:firstLineChars="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48.4 </w:t>
                  </w:r>
                </w:p>
              </w:tc>
              <w:tc>
                <w:tcPr>
                  <w:tcW w:w="644" w:type="dxa"/>
                  <w:vMerge w:val="continue"/>
                  <w:tcBorders>
                    <w:left w:val="single" w:color="auto" w:sz="4" w:space="0"/>
                    <w:right w:val="single" w:color="auto" w:sz="4" w:space="0"/>
                    <w:tl2br w:val="nil"/>
                    <w:tr2bl w:val="nil"/>
                  </w:tcBorders>
                  <w:noWrap w:val="0"/>
                  <w:vAlign w:val="center"/>
                </w:tcPr>
                <w:p w14:paraId="61D8A209">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3D5FAA">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A63599">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36.6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42A1B056">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0AAEB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top w:val="single" w:color="auto" w:sz="4" w:space="0"/>
                    <w:left w:val="nil"/>
                    <w:bottom w:val="single" w:color="auto" w:sz="4" w:space="0"/>
                    <w:right w:val="single" w:color="auto" w:sz="4" w:space="0"/>
                    <w:tl2br w:val="nil"/>
                    <w:tr2bl w:val="nil"/>
                  </w:tcBorders>
                  <w:noWrap w:val="0"/>
                  <w:vAlign w:val="center"/>
                </w:tcPr>
                <w:p w14:paraId="097E6EAA">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24977219">
                  <w:pPr>
                    <w:pStyle w:val="30"/>
                    <w:spacing w:beforeLines="0" w:afterLines="0"/>
                    <w:rPr>
                      <w:rFonts w:hint="default" w:ascii="Times New Roman" w:hAnsi="Times New Roman" w:eastAsia="Times New Roman"/>
                      <w:color w:val="auto"/>
                      <w:sz w:val="18"/>
                      <w:szCs w:val="18"/>
                    </w:rPr>
                  </w:pPr>
                </w:p>
              </w:tc>
              <w:tc>
                <w:tcPr>
                  <w:tcW w:w="84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1988BA9">
                  <w:pPr>
                    <w:pStyle w:val="30"/>
                    <w:bidi w:val="0"/>
                    <w:rPr>
                      <w:rFonts w:hint="default" w:ascii="Times New Roman" w:hAnsi="Times New Roman" w:cs="Times New Roman"/>
                      <w:color w:val="auto"/>
                      <w:sz w:val="18"/>
                      <w:szCs w:val="18"/>
                    </w:rPr>
                  </w:pPr>
                </w:p>
              </w:tc>
              <w:tc>
                <w:tcPr>
                  <w:tcW w:w="69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E366C7F">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AE7F758">
                  <w:pPr>
                    <w:pStyle w:val="30"/>
                    <w:spacing w:beforeLines="0" w:afterLines="0"/>
                    <w:rPr>
                      <w:rFonts w:hint="default" w:ascii="Times New Roman" w:hAnsi="Times New Roman" w:eastAsia="Times New Roman"/>
                      <w:color w:val="FF0000"/>
                      <w:sz w:val="18"/>
                      <w:szCs w:val="18"/>
                    </w:rPr>
                  </w:pPr>
                </w:p>
              </w:tc>
              <w:tc>
                <w:tcPr>
                  <w:tcW w:w="46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B7CEBD3">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1ADB7F1">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7735FF4">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919347">
                  <w:pPr>
                    <w:pStyle w:val="14"/>
                    <w:widowControl w:val="0"/>
                    <w:spacing w:before="0" w:beforeLines="0" w:beforeAutospacing="0" w:after="0" w:afterLines="0" w:afterAutospacing="0"/>
                    <w:jc w:val="center"/>
                    <w:rPr>
                      <w:rFonts w:hint="default" w:ascii="Times New Roman" w:hAnsi="Times New Roman" w:eastAsia="Times New Roman" w:cs="Times New Roman"/>
                      <w:color w:val="000000" w:themeColor="text1"/>
                      <w:kern w:val="2"/>
                      <w:sz w:val="18"/>
                      <w:szCs w:val="18"/>
                      <w14:textFill>
                        <w14:solidFill>
                          <w14:schemeClr w14:val="tx1"/>
                        </w14:solidFill>
                      </w14:textFill>
                    </w:rPr>
                  </w:pPr>
                  <w:r>
                    <w:rPr>
                      <w:rFonts w:hint="eastAsia"/>
                      <w:color w:val="000000" w:themeColor="text1"/>
                      <w:kern w:val="2"/>
                      <w:sz w:val="18"/>
                      <w:szCs w:val="24"/>
                      <w14:textFill>
                        <w14:solidFill>
                          <w14:schemeClr w14:val="tx1"/>
                        </w14:solidFill>
                      </w14:textFill>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0C89F0">
                  <w:pPr>
                    <w:pStyle w:val="30"/>
                    <w:ind w:firstLine="0" w:firstLineChars="0"/>
                    <w:rPr>
                      <w:rFonts w:hint="default" w:ascii="Times New Roman" w:hAnsi="Times New Roman" w:eastAsia="宋体" w:cs="宋体"/>
                      <w:color w:val="000000" w:themeColor="text1"/>
                      <w:kern w:val="2"/>
                      <w:sz w:val="18"/>
                      <w:szCs w:val="18"/>
                      <w:lang w:val="en-US" w:eastAsia="zh-CN" w:bidi="ar-SA"/>
                      <w14:textFill>
                        <w14:solidFill>
                          <w14:schemeClr w14:val="tx1"/>
                        </w14:solidFill>
                      </w14:textFill>
                    </w:rPr>
                  </w:pPr>
                  <w:r>
                    <w:rPr>
                      <w:rFonts w:hint="eastAsia" w:ascii="Times New Roman" w:hAnsi="Times New Roman" w:cs="宋体"/>
                      <w:color w:val="auto"/>
                      <w:kern w:val="2"/>
                      <w:sz w:val="18"/>
                      <w:szCs w:val="18"/>
                      <w:lang w:val="en-US" w:eastAsia="zh-CN" w:bidi="ar-SA"/>
                    </w:rPr>
                    <w:t>10</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258F9A18">
                  <w:pPr>
                    <w:pStyle w:val="30"/>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60.0 </w:t>
                  </w:r>
                </w:p>
              </w:tc>
              <w:tc>
                <w:tcPr>
                  <w:tcW w:w="644" w:type="dxa"/>
                  <w:vMerge w:val="continue"/>
                  <w:tcBorders>
                    <w:left w:val="single" w:color="auto" w:sz="4" w:space="0"/>
                    <w:right w:val="single" w:color="auto" w:sz="4" w:space="0"/>
                    <w:tl2br w:val="nil"/>
                    <w:tr2bl w:val="nil"/>
                  </w:tcBorders>
                  <w:noWrap w:val="0"/>
                  <w:vAlign w:val="center"/>
                </w:tcPr>
                <w:p w14:paraId="4CD7F983">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50FA05D">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16C03FD">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52.4 </w:t>
                  </w:r>
                </w:p>
              </w:tc>
              <w:tc>
                <w:tcPr>
                  <w:tcW w:w="418" w:type="dxa"/>
                  <w:tcBorders>
                    <w:top w:val="single" w:color="auto" w:sz="4" w:space="0"/>
                    <w:left w:val="single" w:color="auto" w:sz="4" w:space="0"/>
                    <w:bottom w:val="single" w:color="auto" w:sz="4" w:space="0"/>
                    <w:right w:val="nil"/>
                    <w:tl2br w:val="nil"/>
                    <w:tr2bl w:val="nil"/>
                  </w:tcBorders>
                  <w:noWrap w:val="0"/>
                  <w:vAlign w:val="center"/>
                </w:tcPr>
                <w:p w14:paraId="0EF78C67">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w:t>
                  </w:r>
                </w:p>
              </w:tc>
            </w:tr>
            <w:tr w14:paraId="73113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restart"/>
                  <w:tcBorders>
                    <w:top w:val="single" w:color="auto" w:sz="4" w:space="0"/>
                    <w:left w:val="nil"/>
                    <w:right w:val="single" w:color="auto" w:sz="4" w:space="0"/>
                    <w:tl2br w:val="nil"/>
                    <w:tr2bl w:val="nil"/>
                  </w:tcBorders>
                  <w:noWrap w:val="0"/>
                  <w:vAlign w:val="center"/>
                </w:tcPr>
                <w:p w14:paraId="1FA662ED">
                  <w:pPr>
                    <w:pStyle w:val="30"/>
                    <w:rPr>
                      <w:rFonts w:hint="eastAsia"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7</w:t>
                  </w:r>
                </w:p>
              </w:tc>
              <w:tc>
                <w:tcPr>
                  <w:tcW w:w="533" w:type="dxa"/>
                  <w:vMerge w:val="restart"/>
                  <w:tcBorders>
                    <w:left w:val="single" w:color="auto" w:sz="4" w:space="0"/>
                    <w:right w:val="single" w:color="auto" w:sz="4" w:space="0"/>
                    <w:tl2br w:val="nil"/>
                    <w:tr2bl w:val="nil"/>
                  </w:tcBorders>
                  <w:noWrap w:val="0"/>
                  <w:vAlign w:val="center"/>
                </w:tcPr>
                <w:p w14:paraId="1F1E0F3A">
                  <w:pPr>
                    <w:pStyle w:val="30"/>
                    <w:spacing w:beforeLines="0" w:afterLines="0"/>
                    <w:rPr>
                      <w:rFonts w:hint="default" w:ascii="Times New Roman" w:hAnsi="Times New Roman" w:eastAsia="Times New Roman"/>
                      <w:color w:val="auto"/>
                      <w:sz w:val="18"/>
                      <w:szCs w:val="18"/>
                    </w:rPr>
                  </w:pPr>
                </w:p>
              </w:tc>
              <w:tc>
                <w:tcPr>
                  <w:tcW w:w="846" w:type="dxa"/>
                  <w:vMerge w:val="restart"/>
                  <w:tcBorders>
                    <w:top w:val="single" w:color="auto" w:sz="4" w:space="0"/>
                    <w:left w:val="single" w:color="auto" w:sz="4" w:space="0"/>
                    <w:right w:val="single" w:color="auto" w:sz="4" w:space="0"/>
                    <w:tl2br w:val="nil"/>
                    <w:tr2bl w:val="nil"/>
                  </w:tcBorders>
                  <w:noWrap w:val="0"/>
                  <w:vAlign w:val="center"/>
                </w:tcPr>
                <w:p w14:paraId="35B63A23">
                  <w:pPr>
                    <w:pStyle w:val="30"/>
                    <w:bidi w:val="0"/>
                    <w:rPr>
                      <w:rFonts w:hint="eastAsia" w:ascii="Times New Roman" w:hAnsi="Times New Roman" w:eastAsia="宋体" w:cs="Times New Roman"/>
                      <w:color w:val="auto"/>
                      <w:sz w:val="18"/>
                      <w:szCs w:val="18"/>
                      <w:lang w:val="en-US" w:eastAsia="zh-CN"/>
                    </w:rPr>
                  </w:pPr>
                  <w:r>
                    <w:rPr>
                      <w:rFonts w:hint="eastAsia"/>
                      <w:lang w:val="en-US" w:eastAsia="zh-CN"/>
                    </w:rPr>
                    <w:t>空压机</w:t>
                  </w:r>
                </w:p>
              </w:tc>
              <w:tc>
                <w:tcPr>
                  <w:tcW w:w="691" w:type="dxa"/>
                  <w:vMerge w:val="restart"/>
                  <w:tcBorders>
                    <w:top w:val="single" w:color="auto" w:sz="4" w:space="0"/>
                    <w:left w:val="single" w:color="auto" w:sz="4" w:space="0"/>
                    <w:right w:val="single" w:color="auto" w:sz="4" w:space="0"/>
                    <w:tl2br w:val="nil"/>
                    <w:tr2bl w:val="nil"/>
                  </w:tcBorders>
                  <w:noWrap w:val="0"/>
                  <w:vAlign w:val="center"/>
                </w:tcPr>
                <w:p w14:paraId="078CDBEB">
                  <w:pPr>
                    <w:pStyle w:val="14"/>
                    <w:widowControl w:val="0"/>
                    <w:spacing w:before="0" w:beforeAutospacing="0" w:after="0" w:afterAutospacing="0"/>
                    <w:jc w:val="center"/>
                    <w:rPr>
                      <w:rFonts w:hint="default" w:ascii="Times New Roman" w:hAnsi="Times New Roman" w:eastAsia="宋体" w:cs="Times New Roman"/>
                      <w:color w:val="000000" w:themeColor="text1"/>
                      <w:kern w:val="2"/>
                      <w:sz w:val="18"/>
                      <w:szCs w:val="18"/>
                      <w:lang w:val="en-US" w:eastAsia="zh-CN"/>
                      <w14:textFill>
                        <w14:solidFill>
                          <w14:schemeClr w14:val="tx1"/>
                        </w14:solidFill>
                      </w14:textFill>
                    </w:rPr>
                  </w:pPr>
                  <w:r>
                    <w:rPr>
                      <w:rFonts w:hint="eastAsia" w:ascii="Times New Roman" w:hAnsi="Times New Roman" w:cs="Times New Roman"/>
                      <w:color w:val="000000" w:themeColor="text1"/>
                      <w:kern w:val="2"/>
                      <w:sz w:val="18"/>
                      <w:szCs w:val="18"/>
                      <w:lang w:val="en-US" w:eastAsia="zh-CN"/>
                      <w14:textFill>
                        <w14:solidFill>
                          <w14:schemeClr w14:val="tx1"/>
                        </w14:solidFill>
                      </w14:textFill>
                    </w:rPr>
                    <w:t>90</w:t>
                  </w:r>
                </w:p>
              </w:tc>
              <w:tc>
                <w:tcPr>
                  <w:tcW w:w="498" w:type="dxa"/>
                  <w:vMerge w:val="restart"/>
                  <w:tcBorders>
                    <w:left w:val="single" w:color="auto" w:sz="4" w:space="0"/>
                    <w:right w:val="single" w:color="auto" w:sz="4" w:space="0"/>
                    <w:tl2br w:val="nil"/>
                    <w:tr2bl w:val="nil"/>
                  </w:tcBorders>
                  <w:noWrap w:val="0"/>
                  <w:vAlign w:val="center"/>
                </w:tcPr>
                <w:p w14:paraId="29621FC0">
                  <w:pPr>
                    <w:pStyle w:val="30"/>
                    <w:spacing w:beforeLines="0" w:afterLines="0"/>
                    <w:rPr>
                      <w:rFonts w:hint="default" w:ascii="Times New Roman" w:hAnsi="Times New Roman" w:eastAsia="Times New Roman"/>
                      <w:color w:val="FF0000"/>
                      <w:sz w:val="18"/>
                      <w:szCs w:val="18"/>
                    </w:rPr>
                  </w:pPr>
                </w:p>
              </w:tc>
              <w:tc>
                <w:tcPr>
                  <w:tcW w:w="465" w:type="dxa"/>
                  <w:vMerge w:val="restart"/>
                  <w:tcBorders>
                    <w:top w:val="single" w:color="auto" w:sz="4" w:space="0"/>
                    <w:left w:val="single" w:color="auto" w:sz="4" w:space="0"/>
                    <w:right w:val="single" w:color="auto" w:sz="4" w:space="0"/>
                    <w:tl2br w:val="nil"/>
                    <w:tr2bl w:val="nil"/>
                  </w:tcBorders>
                  <w:noWrap w:val="0"/>
                  <w:vAlign w:val="center"/>
                </w:tcPr>
                <w:p w14:paraId="522BC560">
                  <w:pPr>
                    <w:pStyle w:val="30"/>
                    <w:bidi w:val="0"/>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36</w:t>
                  </w:r>
                </w:p>
              </w:tc>
              <w:tc>
                <w:tcPr>
                  <w:tcW w:w="458" w:type="dxa"/>
                  <w:vMerge w:val="restart"/>
                  <w:tcBorders>
                    <w:top w:val="single" w:color="auto" w:sz="4" w:space="0"/>
                    <w:left w:val="single" w:color="auto" w:sz="4" w:space="0"/>
                    <w:right w:val="single" w:color="auto" w:sz="4" w:space="0"/>
                    <w:tl2br w:val="nil"/>
                    <w:tr2bl w:val="nil"/>
                  </w:tcBorders>
                  <w:noWrap w:val="0"/>
                  <w:vAlign w:val="center"/>
                </w:tcPr>
                <w:p w14:paraId="74F9A90E">
                  <w:pPr>
                    <w:pStyle w:val="30"/>
                    <w:bidi w:val="0"/>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26</w:t>
                  </w:r>
                </w:p>
              </w:tc>
              <w:tc>
                <w:tcPr>
                  <w:tcW w:w="404" w:type="dxa"/>
                  <w:vMerge w:val="restart"/>
                  <w:tcBorders>
                    <w:top w:val="single" w:color="auto" w:sz="4" w:space="0"/>
                    <w:left w:val="single" w:color="auto" w:sz="4" w:space="0"/>
                    <w:right w:val="single" w:color="auto" w:sz="4" w:space="0"/>
                    <w:tl2br w:val="nil"/>
                    <w:tr2bl w:val="nil"/>
                  </w:tcBorders>
                  <w:noWrap w:val="0"/>
                  <w:vAlign w:val="center"/>
                </w:tcPr>
                <w:p w14:paraId="6D91E509">
                  <w:pPr>
                    <w:pStyle w:val="30"/>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1</w:t>
                  </w: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626734">
                  <w:pPr>
                    <w:pStyle w:val="14"/>
                    <w:widowControl w:val="0"/>
                    <w:spacing w:before="0" w:beforeLines="0" w:beforeAutospacing="0" w:after="0" w:afterLines="0" w:afterAutospacing="0"/>
                    <w:jc w:val="center"/>
                    <w:rPr>
                      <w:rFonts w:hint="eastAsia"/>
                      <w:color w:val="000000" w:themeColor="text1"/>
                      <w:kern w:val="2"/>
                      <w:sz w:val="18"/>
                      <w:szCs w:val="24"/>
                      <w14:textFill>
                        <w14:solidFill>
                          <w14:schemeClr w14:val="tx1"/>
                        </w14:solidFill>
                      </w14:textFill>
                    </w:rPr>
                  </w:pPr>
                  <w:r>
                    <w:rPr>
                      <w:rFonts w:hint="eastAsia"/>
                      <w:color w:val="000000" w:themeColor="text1"/>
                      <w:kern w:val="2"/>
                      <w:sz w:val="18"/>
                      <w:szCs w:val="24"/>
                      <w14:textFill>
                        <w14:solidFill>
                          <w14:schemeClr w14:val="tx1"/>
                        </w14:solidFill>
                      </w14:textFill>
                    </w:rPr>
                    <w:t>东</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82A6FB">
                  <w:pPr>
                    <w:pStyle w:val="30"/>
                    <w:ind w:firstLine="0" w:firstLineChars="0"/>
                    <w:rPr>
                      <w:rFonts w:hint="eastAsia" w:ascii="Times New Roman" w:hAnsi="Times New Roman" w:cs="宋体"/>
                      <w:color w:val="auto"/>
                      <w:kern w:val="2"/>
                      <w:sz w:val="18"/>
                      <w:szCs w:val="18"/>
                      <w:lang w:val="en-US" w:eastAsia="zh-CN" w:bidi="ar-SA"/>
                    </w:rPr>
                  </w:pPr>
                  <w:r>
                    <w:rPr>
                      <w:rFonts w:hint="eastAsia" w:ascii="Times New Roman" w:hAnsi="Times New Roman"/>
                      <w:color w:val="auto"/>
                      <w:sz w:val="18"/>
                      <w:szCs w:val="18"/>
                      <w:lang w:val="en-US" w:eastAsia="zh-CN"/>
                    </w:rPr>
                    <w:t>22</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229461E2">
                  <w:pPr>
                    <w:pStyle w:val="30"/>
                    <w:rPr>
                      <w:rFonts w:hint="eastAsia"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63.2 </w:t>
                  </w:r>
                </w:p>
              </w:tc>
              <w:tc>
                <w:tcPr>
                  <w:tcW w:w="644" w:type="dxa"/>
                  <w:vMerge w:val="continue"/>
                  <w:tcBorders>
                    <w:left w:val="single" w:color="auto" w:sz="4" w:space="0"/>
                    <w:right w:val="single" w:color="auto" w:sz="4" w:space="0"/>
                    <w:tl2br w:val="nil"/>
                    <w:tr2bl w:val="nil"/>
                  </w:tcBorders>
                  <w:noWrap w:val="0"/>
                  <w:vAlign w:val="center"/>
                </w:tcPr>
                <w:p w14:paraId="00CFFE63">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2BA4373">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DE9C3CB">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48.2 </w:t>
                  </w:r>
                </w:p>
              </w:tc>
              <w:tc>
                <w:tcPr>
                  <w:tcW w:w="418"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70AAC677">
                  <w:pPr>
                    <w:pStyle w:val="30"/>
                    <w:ind w:firstLine="0" w:firstLineChars="0"/>
                    <w:rPr>
                      <w:rFonts w:hint="default" w:ascii="Times New Roman" w:hAnsi="Times New Roman" w:eastAsia="宋体" w:cs="宋体"/>
                      <w:color w:val="auto"/>
                      <w:kern w:val="2"/>
                      <w:sz w:val="18"/>
                      <w:szCs w:val="18"/>
                      <w:lang w:val="en-US" w:eastAsia="zh-CN" w:bidi="ar-SA"/>
                    </w:rPr>
                  </w:pPr>
                  <w:r>
                    <w:rPr>
                      <w:rFonts w:hint="default" w:ascii="Times New Roman" w:hAnsi="Times New Roman" w:eastAsia="宋体"/>
                      <w:color w:val="auto"/>
                      <w:sz w:val="18"/>
                      <w:szCs w:val="18"/>
                      <w:lang w:val="en-US" w:eastAsia="zh-CN"/>
                    </w:rPr>
                    <w:t>1</w:t>
                  </w:r>
                </w:p>
              </w:tc>
            </w:tr>
            <w:tr w14:paraId="4535F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left w:val="nil"/>
                    <w:right w:val="single" w:color="auto" w:sz="4" w:space="0"/>
                    <w:tl2br w:val="nil"/>
                    <w:tr2bl w:val="nil"/>
                  </w:tcBorders>
                  <w:noWrap w:val="0"/>
                  <w:vAlign w:val="center"/>
                </w:tcPr>
                <w:p w14:paraId="6596A8EB">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70BADD28">
                  <w:pPr>
                    <w:pStyle w:val="30"/>
                    <w:spacing w:beforeLines="0" w:afterLines="0"/>
                    <w:rPr>
                      <w:rFonts w:hint="default" w:ascii="Times New Roman" w:hAnsi="Times New Roman" w:eastAsia="Times New Roman"/>
                      <w:color w:val="auto"/>
                      <w:sz w:val="18"/>
                      <w:szCs w:val="18"/>
                    </w:rPr>
                  </w:pPr>
                </w:p>
              </w:tc>
              <w:tc>
                <w:tcPr>
                  <w:tcW w:w="846" w:type="dxa"/>
                  <w:vMerge w:val="continue"/>
                  <w:tcBorders>
                    <w:left w:val="single" w:color="auto" w:sz="4" w:space="0"/>
                    <w:right w:val="single" w:color="auto" w:sz="4" w:space="0"/>
                    <w:tl2br w:val="nil"/>
                    <w:tr2bl w:val="nil"/>
                  </w:tcBorders>
                  <w:noWrap w:val="0"/>
                  <w:vAlign w:val="center"/>
                </w:tcPr>
                <w:p w14:paraId="699DBF1D">
                  <w:pPr>
                    <w:pStyle w:val="30"/>
                    <w:bidi w:val="0"/>
                    <w:rPr>
                      <w:rFonts w:hint="default" w:ascii="Times New Roman" w:hAnsi="Times New Roman" w:cs="Times New Roman"/>
                      <w:color w:val="auto"/>
                      <w:sz w:val="18"/>
                      <w:szCs w:val="18"/>
                    </w:rPr>
                  </w:pPr>
                </w:p>
              </w:tc>
              <w:tc>
                <w:tcPr>
                  <w:tcW w:w="691" w:type="dxa"/>
                  <w:vMerge w:val="continue"/>
                  <w:tcBorders>
                    <w:left w:val="single" w:color="auto" w:sz="4" w:space="0"/>
                    <w:right w:val="single" w:color="auto" w:sz="4" w:space="0"/>
                    <w:tl2br w:val="nil"/>
                    <w:tr2bl w:val="nil"/>
                  </w:tcBorders>
                  <w:noWrap w:val="0"/>
                  <w:vAlign w:val="center"/>
                </w:tcPr>
                <w:p w14:paraId="6E397E4E">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677B173D">
                  <w:pPr>
                    <w:pStyle w:val="30"/>
                    <w:spacing w:beforeLines="0" w:afterLines="0"/>
                    <w:rPr>
                      <w:rFonts w:hint="default" w:ascii="Times New Roman" w:hAnsi="Times New Roman" w:eastAsia="Times New Roman"/>
                      <w:color w:val="FF0000"/>
                      <w:sz w:val="18"/>
                      <w:szCs w:val="18"/>
                    </w:rPr>
                  </w:pPr>
                </w:p>
              </w:tc>
              <w:tc>
                <w:tcPr>
                  <w:tcW w:w="465" w:type="dxa"/>
                  <w:vMerge w:val="continue"/>
                  <w:tcBorders>
                    <w:left w:val="single" w:color="auto" w:sz="4" w:space="0"/>
                    <w:right w:val="single" w:color="auto" w:sz="4" w:space="0"/>
                    <w:tl2br w:val="nil"/>
                    <w:tr2bl w:val="nil"/>
                  </w:tcBorders>
                  <w:noWrap w:val="0"/>
                  <w:vAlign w:val="center"/>
                </w:tcPr>
                <w:p w14:paraId="7BEB9498">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left w:val="single" w:color="auto" w:sz="4" w:space="0"/>
                    <w:right w:val="single" w:color="auto" w:sz="4" w:space="0"/>
                    <w:tl2br w:val="nil"/>
                    <w:tr2bl w:val="nil"/>
                  </w:tcBorders>
                  <w:noWrap w:val="0"/>
                  <w:vAlign w:val="center"/>
                </w:tcPr>
                <w:p w14:paraId="256CCE92">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left w:val="single" w:color="auto" w:sz="4" w:space="0"/>
                    <w:right w:val="single" w:color="auto" w:sz="4" w:space="0"/>
                    <w:tl2br w:val="nil"/>
                    <w:tr2bl w:val="nil"/>
                  </w:tcBorders>
                  <w:noWrap w:val="0"/>
                  <w:vAlign w:val="center"/>
                </w:tcPr>
                <w:p w14:paraId="2733B184">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34A753">
                  <w:pPr>
                    <w:pStyle w:val="14"/>
                    <w:widowControl w:val="0"/>
                    <w:spacing w:before="0" w:beforeLines="0" w:beforeAutospacing="0" w:after="0" w:afterLines="0" w:afterAutospacing="0"/>
                    <w:jc w:val="center"/>
                    <w:rPr>
                      <w:rFonts w:hint="eastAsia"/>
                      <w:color w:val="000000" w:themeColor="text1"/>
                      <w:kern w:val="2"/>
                      <w:sz w:val="18"/>
                      <w:szCs w:val="24"/>
                      <w14:textFill>
                        <w14:solidFill>
                          <w14:schemeClr w14:val="tx1"/>
                        </w14:solidFill>
                      </w14:textFill>
                    </w:rPr>
                  </w:pPr>
                  <w:r>
                    <w:rPr>
                      <w:rFonts w:hint="eastAsia"/>
                      <w:color w:val="000000" w:themeColor="text1"/>
                      <w:kern w:val="2"/>
                      <w:sz w:val="18"/>
                      <w:szCs w:val="24"/>
                      <w14:textFill>
                        <w14:solidFill>
                          <w14:schemeClr w14:val="tx1"/>
                        </w14:solidFill>
                      </w14:textFill>
                    </w:rPr>
                    <w:t>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09BB68C">
                  <w:pPr>
                    <w:pStyle w:val="30"/>
                    <w:ind w:firstLine="0" w:firstLineChars="0"/>
                    <w:rPr>
                      <w:rFonts w:hint="eastAsia" w:ascii="Times New Roman" w:hAnsi="Times New Roman" w:cs="宋体"/>
                      <w:color w:val="auto"/>
                      <w:kern w:val="2"/>
                      <w:sz w:val="18"/>
                      <w:szCs w:val="18"/>
                      <w:lang w:val="en-US" w:eastAsia="zh-CN" w:bidi="ar-SA"/>
                    </w:rPr>
                  </w:pPr>
                  <w:r>
                    <w:rPr>
                      <w:rFonts w:hint="eastAsia" w:ascii="Times New Roman" w:hAnsi="Times New Roman"/>
                      <w:color w:val="auto"/>
                      <w:sz w:val="18"/>
                      <w:szCs w:val="18"/>
                      <w:lang w:val="en-US" w:eastAsia="zh-CN"/>
                    </w:rPr>
                    <w:t>28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5C9E1288">
                  <w:pPr>
                    <w:pStyle w:val="30"/>
                    <w:rPr>
                      <w:rFonts w:hint="eastAsia"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61.1 </w:t>
                  </w:r>
                </w:p>
              </w:tc>
              <w:tc>
                <w:tcPr>
                  <w:tcW w:w="644" w:type="dxa"/>
                  <w:vMerge w:val="continue"/>
                  <w:tcBorders>
                    <w:left w:val="single" w:color="auto" w:sz="4" w:space="0"/>
                    <w:right w:val="single" w:color="auto" w:sz="4" w:space="0"/>
                    <w:tl2br w:val="nil"/>
                    <w:tr2bl w:val="nil"/>
                  </w:tcBorders>
                  <w:noWrap w:val="0"/>
                  <w:vAlign w:val="center"/>
                </w:tcPr>
                <w:p w14:paraId="71BFC7E1">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A8C9057">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1AE6B3">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46.1 </w:t>
                  </w:r>
                </w:p>
              </w:tc>
              <w:tc>
                <w:tcPr>
                  <w:tcW w:w="418"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15F33DAE">
                  <w:pPr>
                    <w:pStyle w:val="30"/>
                    <w:ind w:firstLine="0" w:firstLineChars="0"/>
                    <w:rPr>
                      <w:rFonts w:hint="default" w:ascii="Times New Roman" w:hAnsi="Times New Roman" w:eastAsia="宋体" w:cs="宋体"/>
                      <w:color w:val="auto"/>
                      <w:kern w:val="2"/>
                      <w:sz w:val="18"/>
                      <w:szCs w:val="18"/>
                      <w:lang w:val="en-US" w:eastAsia="zh-CN" w:bidi="ar-SA"/>
                    </w:rPr>
                  </w:pPr>
                  <w:r>
                    <w:rPr>
                      <w:rFonts w:hint="default" w:ascii="Times New Roman" w:hAnsi="Times New Roman" w:eastAsia="宋体"/>
                      <w:color w:val="auto"/>
                      <w:sz w:val="18"/>
                      <w:szCs w:val="18"/>
                      <w:lang w:val="en-US" w:eastAsia="zh-CN"/>
                    </w:rPr>
                    <w:t>1</w:t>
                  </w:r>
                </w:p>
              </w:tc>
            </w:tr>
            <w:tr w14:paraId="124A4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left w:val="nil"/>
                    <w:right w:val="single" w:color="auto" w:sz="4" w:space="0"/>
                    <w:tl2br w:val="nil"/>
                    <w:tr2bl w:val="nil"/>
                  </w:tcBorders>
                  <w:noWrap w:val="0"/>
                  <w:vAlign w:val="center"/>
                </w:tcPr>
                <w:p w14:paraId="6DBCD4FF">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691486EC">
                  <w:pPr>
                    <w:pStyle w:val="30"/>
                    <w:spacing w:beforeLines="0" w:afterLines="0"/>
                    <w:rPr>
                      <w:rFonts w:hint="default" w:ascii="Times New Roman" w:hAnsi="Times New Roman" w:eastAsia="Times New Roman"/>
                      <w:color w:val="auto"/>
                      <w:sz w:val="18"/>
                      <w:szCs w:val="18"/>
                    </w:rPr>
                  </w:pPr>
                </w:p>
              </w:tc>
              <w:tc>
                <w:tcPr>
                  <w:tcW w:w="846" w:type="dxa"/>
                  <w:vMerge w:val="continue"/>
                  <w:tcBorders>
                    <w:left w:val="single" w:color="auto" w:sz="4" w:space="0"/>
                    <w:right w:val="single" w:color="auto" w:sz="4" w:space="0"/>
                    <w:tl2br w:val="nil"/>
                    <w:tr2bl w:val="nil"/>
                  </w:tcBorders>
                  <w:noWrap w:val="0"/>
                  <w:vAlign w:val="center"/>
                </w:tcPr>
                <w:p w14:paraId="67D734B0">
                  <w:pPr>
                    <w:pStyle w:val="30"/>
                    <w:bidi w:val="0"/>
                    <w:rPr>
                      <w:rFonts w:hint="default" w:ascii="Times New Roman" w:hAnsi="Times New Roman" w:cs="Times New Roman"/>
                      <w:color w:val="auto"/>
                      <w:sz w:val="18"/>
                      <w:szCs w:val="18"/>
                    </w:rPr>
                  </w:pPr>
                </w:p>
              </w:tc>
              <w:tc>
                <w:tcPr>
                  <w:tcW w:w="691" w:type="dxa"/>
                  <w:vMerge w:val="continue"/>
                  <w:tcBorders>
                    <w:left w:val="single" w:color="auto" w:sz="4" w:space="0"/>
                    <w:right w:val="single" w:color="auto" w:sz="4" w:space="0"/>
                    <w:tl2br w:val="nil"/>
                    <w:tr2bl w:val="nil"/>
                  </w:tcBorders>
                  <w:noWrap w:val="0"/>
                  <w:vAlign w:val="center"/>
                </w:tcPr>
                <w:p w14:paraId="3D3BD24A">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6BEA0EA3">
                  <w:pPr>
                    <w:pStyle w:val="30"/>
                    <w:spacing w:beforeLines="0" w:afterLines="0"/>
                    <w:rPr>
                      <w:rFonts w:hint="default" w:ascii="Times New Roman" w:hAnsi="Times New Roman" w:eastAsia="Times New Roman"/>
                      <w:color w:val="FF0000"/>
                      <w:sz w:val="18"/>
                      <w:szCs w:val="18"/>
                    </w:rPr>
                  </w:pPr>
                </w:p>
              </w:tc>
              <w:tc>
                <w:tcPr>
                  <w:tcW w:w="465" w:type="dxa"/>
                  <w:vMerge w:val="continue"/>
                  <w:tcBorders>
                    <w:left w:val="single" w:color="auto" w:sz="4" w:space="0"/>
                    <w:right w:val="single" w:color="auto" w:sz="4" w:space="0"/>
                    <w:tl2br w:val="nil"/>
                    <w:tr2bl w:val="nil"/>
                  </w:tcBorders>
                  <w:noWrap w:val="0"/>
                  <w:vAlign w:val="center"/>
                </w:tcPr>
                <w:p w14:paraId="7D4AA2FC">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left w:val="single" w:color="auto" w:sz="4" w:space="0"/>
                    <w:right w:val="single" w:color="auto" w:sz="4" w:space="0"/>
                    <w:tl2br w:val="nil"/>
                    <w:tr2bl w:val="nil"/>
                  </w:tcBorders>
                  <w:noWrap w:val="0"/>
                  <w:vAlign w:val="center"/>
                </w:tcPr>
                <w:p w14:paraId="423DF78E">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left w:val="single" w:color="auto" w:sz="4" w:space="0"/>
                    <w:right w:val="single" w:color="auto" w:sz="4" w:space="0"/>
                    <w:tl2br w:val="nil"/>
                    <w:tr2bl w:val="nil"/>
                  </w:tcBorders>
                  <w:noWrap w:val="0"/>
                  <w:vAlign w:val="center"/>
                </w:tcPr>
                <w:p w14:paraId="5C1FA708">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602716">
                  <w:pPr>
                    <w:pStyle w:val="14"/>
                    <w:widowControl w:val="0"/>
                    <w:spacing w:before="0" w:beforeLines="0" w:beforeAutospacing="0" w:after="0" w:afterLines="0" w:afterAutospacing="0"/>
                    <w:jc w:val="center"/>
                    <w:rPr>
                      <w:rFonts w:hint="eastAsia"/>
                      <w:color w:val="000000" w:themeColor="text1"/>
                      <w:kern w:val="2"/>
                      <w:sz w:val="18"/>
                      <w:szCs w:val="24"/>
                      <w14:textFill>
                        <w14:solidFill>
                          <w14:schemeClr w14:val="tx1"/>
                        </w14:solidFill>
                      </w14:textFill>
                    </w:rPr>
                  </w:pPr>
                  <w:r>
                    <w:rPr>
                      <w:rFonts w:hint="eastAsia"/>
                      <w:color w:val="000000" w:themeColor="text1"/>
                      <w:kern w:val="2"/>
                      <w:sz w:val="18"/>
                      <w:szCs w:val="24"/>
                      <w14:textFill>
                        <w14:solidFill>
                          <w14:schemeClr w14:val="tx1"/>
                        </w14:solidFill>
                      </w14:textFill>
                    </w:rPr>
                    <w:t>西</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F55B021">
                  <w:pPr>
                    <w:pStyle w:val="30"/>
                    <w:ind w:firstLine="0" w:firstLineChars="0"/>
                    <w:rPr>
                      <w:rFonts w:hint="eastAsia" w:ascii="Times New Roman" w:hAnsi="Times New Roman" w:cs="宋体"/>
                      <w:color w:val="auto"/>
                      <w:kern w:val="2"/>
                      <w:sz w:val="18"/>
                      <w:szCs w:val="18"/>
                      <w:lang w:val="en-US" w:eastAsia="zh-CN" w:bidi="ar-SA"/>
                    </w:rPr>
                  </w:pPr>
                  <w:r>
                    <w:rPr>
                      <w:rFonts w:hint="eastAsia" w:ascii="Times New Roman" w:hAnsi="Times New Roman"/>
                      <w:color w:val="auto"/>
                      <w:sz w:val="18"/>
                      <w:szCs w:val="18"/>
                      <w:lang w:val="en-US" w:eastAsia="zh-CN"/>
                    </w:rPr>
                    <w:t>30</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064B961A">
                  <w:pPr>
                    <w:pStyle w:val="30"/>
                    <w:rPr>
                      <w:rFonts w:hint="eastAsia"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60.5 </w:t>
                  </w:r>
                </w:p>
              </w:tc>
              <w:tc>
                <w:tcPr>
                  <w:tcW w:w="644" w:type="dxa"/>
                  <w:vMerge w:val="continue"/>
                  <w:tcBorders>
                    <w:left w:val="single" w:color="auto" w:sz="4" w:space="0"/>
                    <w:right w:val="single" w:color="auto" w:sz="4" w:space="0"/>
                    <w:tl2br w:val="nil"/>
                    <w:tr2bl w:val="nil"/>
                  </w:tcBorders>
                  <w:noWrap w:val="0"/>
                  <w:vAlign w:val="center"/>
                </w:tcPr>
                <w:p w14:paraId="2147CE46">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B69E9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4FEAD1">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45.5 </w:t>
                  </w:r>
                </w:p>
              </w:tc>
              <w:tc>
                <w:tcPr>
                  <w:tcW w:w="418"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218B95C4">
                  <w:pPr>
                    <w:pStyle w:val="30"/>
                    <w:ind w:firstLine="0" w:firstLineChars="0"/>
                    <w:rPr>
                      <w:rFonts w:hint="default" w:ascii="Times New Roman" w:hAnsi="Times New Roman" w:eastAsia="宋体" w:cs="宋体"/>
                      <w:color w:val="auto"/>
                      <w:kern w:val="2"/>
                      <w:sz w:val="18"/>
                      <w:szCs w:val="18"/>
                      <w:lang w:val="en-US" w:eastAsia="zh-CN" w:bidi="ar-SA"/>
                    </w:rPr>
                  </w:pPr>
                  <w:r>
                    <w:rPr>
                      <w:rFonts w:hint="default" w:ascii="Times New Roman" w:hAnsi="Times New Roman" w:eastAsia="宋体"/>
                      <w:color w:val="auto"/>
                      <w:sz w:val="18"/>
                      <w:szCs w:val="18"/>
                      <w:lang w:val="en-US" w:eastAsia="zh-CN"/>
                    </w:rPr>
                    <w:t>1</w:t>
                  </w:r>
                </w:p>
              </w:tc>
            </w:tr>
            <w:tr w14:paraId="1B8F2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380" w:type="dxa"/>
                  <w:vMerge w:val="continue"/>
                  <w:tcBorders>
                    <w:left w:val="nil"/>
                    <w:bottom w:val="single" w:color="auto" w:sz="4" w:space="0"/>
                    <w:right w:val="single" w:color="auto" w:sz="4" w:space="0"/>
                    <w:tl2br w:val="nil"/>
                    <w:tr2bl w:val="nil"/>
                  </w:tcBorders>
                  <w:noWrap w:val="0"/>
                  <w:vAlign w:val="center"/>
                </w:tcPr>
                <w:p w14:paraId="431DDA40">
                  <w:pPr>
                    <w:pStyle w:val="30"/>
                    <w:rPr>
                      <w:rFonts w:hint="default" w:ascii="Times New Roman" w:hAnsi="Times New Roman" w:eastAsia="Times New Roman"/>
                      <w:color w:val="auto"/>
                      <w:sz w:val="18"/>
                      <w:szCs w:val="18"/>
                    </w:rPr>
                  </w:pPr>
                </w:p>
              </w:tc>
              <w:tc>
                <w:tcPr>
                  <w:tcW w:w="533" w:type="dxa"/>
                  <w:vMerge w:val="continue"/>
                  <w:tcBorders>
                    <w:left w:val="single" w:color="auto" w:sz="4" w:space="0"/>
                    <w:right w:val="single" w:color="auto" w:sz="4" w:space="0"/>
                    <w:tl2br w:val="nil"/>
                    <w:tr2bl w:val="nil"/>
                  </w:tcBorders>
                  <w:noWrap w:val="0"/>
                  <w:vAlign w:val="center"/>
                </w:tcPr>
                <w:p w14:paraId="12C61B87">
                  <w:pPr>
                    <w:pStyle w:val="30"/>
                    <w:spacing w:beforeLines="0" w:afterLines="0"/>
                    <w:rPr>
                      <w:rFonts w:hint="default" w:ascii="Times New Roman" w:hAnsi="Times New Roman" w:eastAsia="Times New Roman"/>
                      <w:color w:val="auto"/>
                      <w:sz w:val="18"/>
                      <w:szCs w:val="18"/>
                    </w:rPr>
                  </w:pPr>
                </w:p>
              </w:tc>
              <w:tc>
                <w:tcPr>
                  <w:tcW w:w="846" w:type="dxa"/>
                  <w:vMerge w:val="continue"/>
                  <w:tcBorders>
                    <w:left w:val="single" w:color="auto" w:sz="4" w:space="0"/>
                    <w:bottom w:val="single" w:color="auto" w:sz="4" w:space="0"/>
                    <w:right w:val="single" w:color="auto" w:sz="4" w:space="0"/>
                    <w:tl2br w:val="nil"/>
                    <w:tr2bl w:val="nil"/>
                  </w:tcBorders>
                  <w:noWrap w:val="0"/>
                  <w:vAlign w:val="center"/>
                </w:tcPr>
                <w:p w14:paraId="06EE046D">
                  <w:pPr>
                    <w:pStyle w:val="30"/>
                    <w:bidi w:val="0"/>
                    <w:rPr>
                      <w:rFonts w:hint="default" w:ascii="Times New Roman" w:hAnsi="Times New Roman" w:cs="Times New Roman"/>
                      <w:color w:val="auto"/>
                      <w:sz w:val="18"/>
                      <w:szCs w:val="18"/>
                    </w:rPr>
                  </w:pPr>
                </w:p>
              </w:tc>
              <w:tc>
                <w:tcPr>
                  <w:tcW w:w="691" w:type="dxa"/>
                  <w:vMerge w:val="continue"/>
                  <w:tcBorders>
                    <w:left w:val="single" w:color="auto" w:sz="4" w:space="0"/>
                    <w:bottom w:val="single" w:color="auto" w:sz="4" w:space="0"/>
                    <w:right w:val="single" w:color="auto" w:sz="4" w:space="0"/>
                    <w:tl2br w:val="nil"/>
                    <w:tr2bl w:val="nil"/>
                  </w:tcBorders>
                  <w:noWrap w:val="0"/>
                  <w:vAlign w:val="center"/>
                </w:tcPr>
                <w:p w14:paraId="218F74B2">
                  <w:pPr>
                    <w:pStyle w:val="14"/>
                    <w:widowControl w:val="0"/>
                    <w:spacing w:before="0" w:beforeAutospacing="0" w:after="0" w:afterAutospacing="0"/>
                    <w:jc w:val="center"/>
                    <w:rPr>
                      <w:rFonts w:hint="eastAsia" w:ascii="Times New Roman" w:hAnsi="Times New Roman" w:cs="Times New Roman"/>
                      <w:color w:val="FF0000"/>
                      <w:kern w:val="2"/>
                      <w:sz w:val="18"/>
                      <w:szCs w:val="18"/>
                    </w:rPr>
                  </w:pPr>
                </w:p>
              </w:tc>
              <w:tc>
                <w:tcPr>
                  <w:tcW w:w="498" w:type="dxa"/>
                  <w:vMerge w:val="continue"/>
                  <w:tcBorders>
                    <w:left w:val="single" w:color="auto" w:sz="4" w:space="0"/>
                    <w:right w:val="single" w:color="auto" w:sz="4" w:space="0"/>
                    <w:tl2br w:val="nil"/>
                    <w:tr2bl w:val="nil"/>
                  </w:tcBorders>
                  <w:noWrap w:val="0"/>
                  <w:vAlign w:val="center"/>
                </w:tcPr>
                <w:p w14:paraId="7F248A13">
                  <w:pPr>
                    <w:pStyle w:val="30"/>
                    <w:spacing w:beforeLines="0" w:afterLines="0"/>
                    <w:rPr>
                      <w:rFonts w:hint="default" w:ascii="Times New Roman" w:hAnsi="Times New Roman" w:eastAsia="Times New Roman"/>
                      <w:color w:val="FF0000"/>
                      <w:sz w:val="18"/>
                      <w:szCs w:val="18"/>
                    </w:rPr>
                  </w:pPr>
                </w:p>
              </w:tc>
              <w:tc>
                <w:tcPr>
                  <w:tcW w:w="465" w:type="dxa"/>
                  <w:vMerge w:val="continue"/>
                  <w:tcBorders>
                    <w:left w:val="single" w:color="auto" w:sz="4" w:space="0"/>
                    <w:bottom w:val="single" w:color="auto" w:sz="4" w:space="0"/>
                    <w:right w:val="single" w:color="auto" w:sz="4" w:space="0"/>
                    <w:tl2br w:val="nil"/>
                    <w:tr2bl w:val="nil"/>
                  </w:tcBorders>
                  <w:noWrap w:val="0"/>
                  <w:vAlign w:val="center"/>
                </w:tcPr>
                <w:p w14:paraId="3845F2BE">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58" w:type="dxa"/>
                  <w:vMerge w:val="continue"/>
                  <w:tcBorders>
                    <w:left w:val="single" w:color="auto" w:sz="4" w:space="0"/>
                    <w:bottom w:val="single" w:color="auto" w:sz="4" w:space="0"/>
                    <w:right w:val="single" w:color="auto" w:sz="4" w:space="0"/>
                    <w:tl2br w:val="nil"/>
                    <w:tr2bl w:val="nil"/>
                  </w:tcBorders>
                  <w:noWrap w:val="0"/>
                  <w:vAlign w:val="center"/>
                </w:tcPr>
                <w:p w14:paraId="402A6FE7">
                  <w:pPr>
                    <w:pStyle w:val="30"/>
                    <w:bidi w:val="0"/>
                    <w:rPr>
                      <w:rFonts w:hint="default" w:ascii="Times New Roman" w:hAnsi="Times New Roman" w:cs="Times New Roman"/>
                      <w:color w:val="000000" w:themeColor="text1"/>
                      <w:sz w:val="18"/>
                      <w:szCs w:val="18"/>
                      <w14:textFill>
                        <w14:solidFill>
                          <w14:schemeClr w14:val="tx1"/>
                        </w14:solidFill>
                      </w14:textFill>
                    </w:rPr>
                  </w:pPr>
                </w:p>
              </w:tc>
              <w:tc>
                <w:tcPr>
                  <w:tcW w:w="404" w:type="dxa"/>
                  <w:vMerge w:val="continue"/>
                  <w:tcBorders>
                    <w:left w:val="single" w:color="auto" w:sz="4" w:space="0"/>
                    <w:bottom w:val="single" w:color="auto" w:sz="4" w:space="0"/>
                    <w:right w:val="single" w:color="auto" w:sz="4" w:space="0"/>
                    <w:tl2br w:val="nil"/>
                    <w:tr2bl w:val="nil"/>
                  </w:tcBorders>
                  <w:noWrap w:val="0"/>
                  <w:vAlign w:val="center"/>
                </w:tcPr>
                <w:p w14:paraId="3543805B">
                  <w:pPr>
                    <w:pStyle w:val="30"/>
                    <w:rPr>
                      <w:rFonts w:hint="default" w:ascii="Times New Roman" w:hAnsi="Times New Roman"/>
                      <w:color w:val="000000" w:themeColor="text1"/>
                      <w:sz w:val="18"/>
                      <w:szCs w:val="18"/>
                      <w14:textFill>
                        <w14:solidFill>
                          <w14:schemeClr w14:val="tx1"/>
                        </w14:solidFill>
                      </w14:textFill>
                    </w:rPr>
                  </w:pPr>
                </w:p>
              </w:tc>
              <w:tc>
                <w:tcPr>
                  <w:tcW w:w="3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0EEA2F">
                  <w:pPr>
                    <w:pStyle w:val="14"/>
                    <w:widowControl w:val="0"/>
                    <w:spacing w:before="0" w:beforeLines="0" w:beforeAutospacing="0" w:after="0" w:afterLines="0" w:afterAutospacing="0"/>
                    <w:jc w:val="center"/>
                    <w:rPr>
                      <w:rFonts w:hint="eastAsia"/>
                      <w:color w:val="000000" w:themeColor="text1"/>
                      <w:kern w:val="2"/>
                      <w:sz w:val="18"/>
                      <w:szCs w:val="24"/>
                      <w14:textFill>
                        <w14:solidFill>
                          <w14:schemeClr w14:val="tx1"/>
                        </w14:solidFill>
                      </w14:textFill>
                    </w:rPr>
                  </w:pPr>
                  <w:r>
                    <w:rPr>
                      <w:rFonts w:hint="eastAsia"/>
                      <w:color w:val="000000" w:themeColor="text1"/>
                      <w:kern w:val="2"/>
                      <w:sz w:val="18"/>
                      <w:szCs w:val="24"/>
                      <w14:textFill>
                        <w14:solidFill>
                          <w14:schemeClr w14:val="tx1"/>
                        </w14:solidFill>
                      </w14:textFill>
                    </w:rPr>
                    <w:t>北</w:t>
                  </w:r>
                </w:p>
              </w:tc>
              <w:tc>
                <w:tcPr>
                  <w:tcW w:w="4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119300B">
                  <w:pPr>
                    <w:pStyle w:val="30"/>
                    <w:ind w:firstLine="0" w:firstLineChars="0"/>
                    <w:rPr>
                      <w:rFonts w:hint="eastAsia" w:ascii="Times New Roman" w:hAnsi="Times New Roman" w:cs="宋体"/>
                      <w:color w:val="auto"/>
                      <w:kern w:val="2"/>
                      <w:sz w:val="18"/>
                      <w:szCs w:val="18"/>
                      <w:lang w:val="en-US" w:eastAsia="zh-CN" w:bidi="ar-SA"/>
                    </w:rPr>
                  </w:pPr>
                  <w:r>
                    <w:rPr>
                      <w:rFonts w:hint="eastAsia" w:ascii="Times New Roman" w:hAnsi="Times New Roman"/>
                      <w:color w:val="auto"/>
                      <w:sz w:val="18"/>
                      <w:szCs w:val="18"/>
                      <w:lang w:val="en-US" w:eastAsia="zh-CN"/>
                    </w:rPr>
                    <w:t>8</w:t>
                  </w:r>
                </w:p>
              </w:tc>
              <w:tc>
                <w:tcPr>
                  <w:tcW w:w="673" w:type="dxa"/>
                  <w:tcBorders>
                    <w:top w:val="single" w:color="auto" w:sz="4" w:space="0"/>
                    <w:left w:val="single" w:color="auto" w:sz="4" w:space="0"/>
                    <w:bottom w:val="single" w:color="auto" w:sz="4" w:space="0"/>
                    <w:right w:val="single" w:color="auto" w:sz="4" w:space="0"/>
                    <w:tl2br w:val="nil"/>
                    <w:tr2bl w:val="nil"/>
                  </w:tcBorders>
                  <w:noWrap w:val="0"/>
                  <w:vAlign w:val="bottom"/>
                </w:tcPr>
                <w:p w14:paraId="2C4ED79E">
                  <w:pPr>
                    <w:pStyle w:val="30"/>
                    <w:rPr>
                      <w:rFonts w:hint="eastAsia"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 xml:space="preserve">71.9 </w:t>
                  </w:r>
                </w:p>
              </w:tc>
              <w:tc>
                <w:tcPr>
                  <w:tcW w:w="644" w:type="dxa"/>
                  <w:vMerge w:val="continue"/>
                  <w:tcBorders>
                    <w:left w:val="single" w:color="auto" w:sz="4" w:space="0"/>
                    <w:right w:val="single" w:color="auto" w:sz="4" w:space="0"/>
                    <w:tl2br w:val="nil"/>
                    <w:tr2bl w:val="nil"/>
                  </w:tcBorders>
                  <w:noWrap w:val="0"/>
                  <w:vAlign w:val="center"/>
                </w:tcPr>
                <w:p w14:paraId="0BF9AE1B">
                  <w:pPr>
                    <w:pStyle w:val="30"/>
                    <w:rPr>
                      <w:rFonts w:hint="default" w:ascii="Times New Roman" w:hAnsi="Times New Roman" w:eastAsia="宋体"/>
                      <w:color w:val="auto"/>
                      <w:sz w:val="18"/>
                      <w:szCs w:val="18"/>
                      <w:lang w:val="en-US" w:eastAsia="zh-CN"/>
                    </w:rPr>
                  </w:pPr>
                </w:p>
              </w:tc>
              <w:tc>
                <w:tcPr>
                  <w:tcW w:w="56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8F379E">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15</w:t>
                  </w:r>
                </w:p>
              </w:tc>
              <w:tc>
                <w:tcPr>
                  <w:tcW w:w="53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AEDA1CC">
                  <w:pPr>
                    <w:pStyle w:val="30"/>
                    <w:rPr>
                      <w:rFonts w:hint="default" w:ascii="Times New Roman" w:hAnsi="Times New Roman" w:eastAsia="宋体"/>
                      <w:color w:val="auto"/>
                      <w:sz w:val="18"/>
                      <w:szCs w:val="18"/>
                      <w:lang w:val="en-US" w:eastAsia="zh-CN"/>
                    </w:rPr>
                  </w:pPr>
                  <w:r>
                    <w:rPr>
                      <w:rFonts w:hint="default" w:ascii="Times New Roman" w:hAnsi="Times New Roman" w:eastAsia="宋体"/>
                      <w:color w:val="auto"/>
                      <w:sz w:val="18"/>
                      <w:szCs w:val="18"/>
                      <w:lang w:val="en-US" w:eastAsia="zh-CN"/>
                    </w:rPr>
                    <w:t xml:space="preserve">56.9 </w:t>
                  </w:r>
                </w:p>
              </w:tc>
              <w:tc>
                <w:tcPr>
                  <w:tcW w:w="418"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3C4411A3">
                  <w:pPr>
                    <w:pStyle w:val="30"/>
                    <w:ind w:firstLine="0" w:firstLineChars="0"/>
                    <w:rPr>
                      <w:rFonts w:hint="default" w:ascii="Times New Roman" w:hAnsi="Times New Roman" w:eastAsia="宋体" w:cs="宋体"/>
                      <w:color w:val="auto"/>
                      <w:kern w:val="2"/>
                      <w:sz w:val="18"/>
                      <w:szCs w:val="18"/>
                      <w:lang w:val="en-US" w:eastAsia="zh-CN" w:bidi="ar-SA"/>
                    </w:rPr>
                  </w:pPr>
                  <w:r>
                    <w:rPr>
                      <w:rFonts w:hint="default" w:ascii="Times New Roman" w:hAnsi="Times New Roman" w:eastAsia="宋体"/>
                      <w:color w:val="auto"/>
                      <w:sz w:val="18"/>
                      <w:szCs w:val="18"/>
                      <w:lang w:val="en-US" w:eastAsia="zh-CN"/>
                    </w:rPr>
                    <w:t>1</w:t>
                  </w:r>
                </w:p>
              </w:tc>
            </w:tr>
            <w:tr w14:paraId="7514A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7946" w:type="dxa"/>
                  <w:gridSpan w:val="15"/>
                  <w:tcBorders>
                    <w:top w:val="single" w:color="auto" w:sz="4" w:space="0"/>
                    <w:left w:val="nil"/>
                    <w:bottom w:val="single" w:color="auto" w:sz="12" w:space="0"/>
                    <w:right w:val="nil"/>
                    <w:tl2br w:val="nil"/>
                    <w:tr2bl w:val="nil"/>
                  </w:tcBorders>
                  <w:noWrap w:val="0"/>
                  <w:vAlign w:val="top"/>
                </w:tcPr>
                <w:p w14:paraId="0AE4715B">
                  <w:pPr>
                    <w:pStyle w:val="30"/>
                    <w:jc w:val="both"/>
                    <w:rPr>
                      <w:rFonts w:hint="eastAsia" w:ascii="Times New Roman" w:hAnsi="Times New Roman"/>
                      <w:b/>
                      <w:color w:val="auto"/>
                      <w:sz w:val="18"/>
                      <w:szCs w:val="18"/>
                    </w:rPr>
                  </w:pPr>
                  <w:r>
                    <w:rPr>
                      <w:rFonts w:hint="eastAsia" w:ascii="Times New Roman" w:hAnsi="Times New Roman"/>
                      <w:b/>
                      <w:color w:val="auto"/>
                      <w:sz w:val="18"/>
                      <w:szCs w:val="18"/>
                    </w:rPr>
                    <w:t>备注1：以</w:t>
                  </w:r>
                  <w:r>
                    <w:rPr>
                      <w:rFonts w:hint="eastAsia" w:ascii="Times New Roman" w:hAnsi="Times New Roman"/>
                      <w:b/>
                      <w:color w:val="auto"/>
                      <w:sz w:val="18"/>
                      <w:szCs w:val="18"/>
                      <w:lang w:val="en-US" w:eastAsia="zh-CN"/>
                    </w:rPr>
                    <w:t>生产厂房西南角</w:t>
                  </w:r>
                  <w:r>
                    <w:rPr>
                      <w:rFonts w:hint="eastAsia" w:ascii="Times New Roman" w:hAnsi="Times New Roman"/>
                      <w:b/>
                      <w:color w:val="auto"/>
                      <w:sz w:val="18"/>
                      <w:szCs w:val="18"/>
                    </w:rPr>
                    <w:t>为原点（0</w:t>
                  </w:r>
                  <w:r>
                    <w:rPr>
                      <w:rFonts w:hint="eastAsia"/>
                      <w:b/>
                      <w:color w:val="auto"/>
                      <w:sz w:val="18"/>
                      <w:szCs w:val="18"/>
                    </w:rPr>
                    <w:t>,</w:t>
                  </w:r>
                  <w:r>
                    <w:rPr>
                      <w:rFonts w:hint="eastAsia" w:ascii="Times New Roman" w:hAnsi="Times New Roman"/>
                      <w:b/>
                      <w:color w:val="auto"/>
                      <w:sz w:val="18"/>
                      <w:szCs w:val="18"/>
                    </w:rPr>
                    <w:t>0</w:t>
                  </w:r>
                  <w:r>
                    <w:rPr>
                      <w:rFonts w:hint="eastAsia"/>
                      <w:b/>
                      <w:color w:val="auto"/>
                      <w:sz w:val="18"/>
                      <w:szCs w:val="18"/>
                    </w:rPr>
                    <w:t>,</w:t>
                  </w:r>
                  <w:r>
                    <w:rPr>
                      <w:rFonts w:hint="eastAsia" w:ascii="Times New Roman" w:hAnsi="Times New Roman"/>
                      <w:b/>
                      <w:color w:val="auto"/>
                      <w:sz w:val="18"/>
                      <w:szCs w:val="18"/>
                    </w:rPr>
                    <w:t>0）；</w:t>
                  </w:r>
                </w:p>
                <w:p w14:paraId="119BE99C">
                  <w:pPr>
                    <w:pStyle w:val="30"/>
                    <w:jc w:val="both"/>
                    <w:rPr>
                      <w:rFonts w:hint="eastAsia" w:ascii="Times New Roman" w:hAnsi="Times New Roman" w:eastAsia="宋体"/>
                      <w:b/>
                      <w:color w:val="FF0000"/>
                      <w:sz w:val="18"/>
                      <w:szCs w:val="18"/>
                      <w:lang w:eastAsia="zh-CN"/>
                    </w:rPr>
                  </w:pPr>
                  <w:r>
                    <w:rPr>
                      <w:rFonts w:hint="eastAsia" w:ascii="Times New Roman" w:hAnsi="Times New Roman"/>
                      <w:b/>
                      <w:color w:val="auto"/>
                      <w:sz w:val="18"/>
                      <w:szCs w:val="18"/>
                    </w:rPr>
                    <w:t>备注2：本表中距噪声源 1 米处声压级/dB(A)为采用低噪声设备、基础减振后的声压级，低噪声设备、基础减振措施降噪按5dB（A）计</w:t>
                  </w:r>
                  <w:r>
                    <w:rPr>
                      <w:rFonts w:hint="eastAsia" w:ascii="Times New Roman" w:hAnsi="Times New Roman"/>
                      <w:b/>
                      <w:color w:val="auto"/>
                      <w:sz w:val="18"/>
                      <w:szCs w:val="18"/>
                      <w:lang w:eastAsia="zh-CN"/>
                    </w:rPr>
                    <w:t>。</w:t>
                  </w:r>
                </w:p>
              </w:tc>
            </w:tr>
          </w:tbl>
          <w:p w14:paraId="2C48CD14">
            <w:pPr>
              <w:pStyle w:val="31"/>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表4-1</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 xml:space="preserve">  工业企业噪声源强调查清单（室外声源）</w:t>
            </w:r>
          </w:p>
          <w:tbl>
            <w:tblPr>
              <w:tblStyle w:val="1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99"/>
              <w:gridCol w:w="997"/>
              <w:gridCol w:w="796"/>
              <w:gridCol w:w="785"/>
              <w:gridCol w:w="646"/>
              <w:gridCol w:w="565"/>
              <w:gridCol w:w="866"/>
              <w:gridCol w:w="876"/>
              <w:gridCol w:w="1470"/>
              <w:gridCol w:w="546"/>
            </w:tblGrid>
            <w:tr w14:paraId="2ADED4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02" w:type="dxa"/>
                  <w:vMerge w:val="restart"/>
                  <w:tcBorders>
                    <w:top w:val="single" w:color="000000" w:sz="12" w:space="0"/>
                    <w:left w:val="nil"/>
                    <w:bottom w:val="single" w:color="000000" w:sz="4" w:space="0"/>
                    <w:right w:val="single" w:color="000000" w:sz="4" w:space="0"/>
                    <w:tl2br w:val="nil"/>
                    <w:tr2bl w:val="nil"/>
                  </w:tcBorders>
                  <w:noWrap w:val="0"/>
                  <w:vAlign w:val="center"/>
                </w:tcPr>
                <w:p w14:paraId="071F9906">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序号</w:t>
                  </w:r>
                </w:p>
              </w:tc>
              <w:tc>
                <w:tcPr>
                  <w:tcW w:w="1004" w:type="dxa"/>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756B9BA6">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声源名称</w:t>
                  </w:r>
                </w:p>
              </w:tc>
              <w:tc>
                <w:tcPr>
                  <w:tcW w:w="801" w:type="dxa"/>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333A8D2C">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型号</w:t>
                  </w:r>
                </w:p>
              </w:tc>
              <w:tc>
                <w:tcPr>
                  <w:tcW w:w="2009" w:type="dxa"/>
                  <w:gridSpan w:val="3"/>
                  <w:tcBorders>
                    <w:top w:val="single" w:color="000000" w:sz="12" w:space="0"/>
                    <w:left w:val="single" w:color="000000" w:sz="4" w:space="0"/>
                    <w:bottom w:val="single" w:color="000000" w:sz="4" w:space="0"/>
                    <w:right w:val="single" w:color="000000" w:sz="4" w:space="0"/>
                    <w:tl2br w:val="nil"/>
                    <w:tr2bl w:val="nil"/>
                  </w:tcBorders>
                  <w:noWrap w:val="0"/>
                  <w:vAlign w:val="center"/>
                </w:tcPr>
                <w:p w14:paraId="10B25039">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空间相对位置/m</w:t>
                  </w:r>
                </w:p>
              </w:tc>
              <w:tc>
                <w:tcPr>
                  <w:tcW w:w="1754" w:type="dxa"/>
                  <w:gridSpan w:val="2"/>
                  <w:tcBorders>
                    <w:top w:val="single" w:color="000000" w:sz="12" w:space="0"/>
                    <w:left w:val="single" w:color="000000" w:sz="4" w:space="0"/>
                    <w:bottom w:val="single" w:color="000000" w:sz="4" w:space="0"/>
                    <w:right w:val="single" w:color="000000" w:sz="4" w:space="0"/>
                    <w:tl2br w:val="nil"/>
                    <w:tr2bl w:val="nil"/>
                  </w:tcBorders>
                  <w:noWrap w:val="0"/>
                  <w:vAlign w:val="center"/>
                </w:tcPr>
                <w:p w14:paraId="513998F4">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声源源强</w:t>
                  </w:r>
                </w:p>
              </w:tc>
              <w:tc>
                <w:tcPr>
                  <w:tcW w:w="1480" w:type="dxa"/>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606DDED9">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声源控制措施</w:t>
                  </w:r>
                </w:p>
              </w:tc>
              <w:tc>
                <w:tcPr>
                  <w:tcW w:w="549" w:type="dxa"/>
                  <w:vMerge w:val="restart"/>
                  <w:tcBorders>
                    <w:top w:val="single" w:color="000000" w:sz="12" w:space="0"/>
                    <w:left w:val="single" w:color="000000" w:sz="4" w:space="0"/>
                    <w:bottom w:val="single" w:color="000000" w:sz="4" w:space="0"/>
                    <w:right w:val="nil"/>
                    <w:tl2br w:val="nil"/>
                    <w:tr2bl w:val="nil"/>
                  </w:tcBorders>
                  <w:noWrap w:val="0"/>
                  <w:vAlign w:val="center"/>
                </w:tcPr>
                <w:p w14:paraId="70CFB591">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运行时段</w:t>
                  </w:r>
                </w:p>
              </w:tc>
            </w:tr>
            <w:tr w14:paraId="37F0C5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02" w:type="dxa"/>
                  <w:vMerge w:val="continue"/>
                  <w:tcBorders>
                    <w:top w:val="single" w:color="000000" w:sz="4" w:space="0"/>
                    <w:left w:val="nil"/>
                    <w:bottom w:val="single" w:color="000000" w:sz="4" w:space="0"/>
                    <w:right w:val="single" w:color="000000" w:sz="4" w:space="0"/>
                    <w:tl2br w:val="nil"/>
                    <w:tr2bl w:val="nil"/>
                  </w:tcBorders>
                  <w:noWrap w:val="0"/>
                  <w:vAlign w:val="center"/>
                </w:tcPr>
                <w:p w14:paraId="40A129A6">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p>
              </w:tc>
              <w:tc>
                <w:tcPr>
                  <w:tcW w:w="1004"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339769D9">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p>
              </w:tc>
              <w:tc>
                <w:tcPr>
                  <w:tcW w:w="801"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3EC03D01">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p>
              </w:tc>
              <w:tc>
                <w:tcPr>
                  <w:tcW w:w="79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FFEE89B">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X</w:t>
                  </w:r>
                </w:p>
              </w:tc>
              <w:tc>
                <w:tcPr>
                  <w:tcW w:w="65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EB3AFC3">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Y</w:t>
                  </w:r>
                </w:p>
              </w:tc>
              <w:tc>
                <w:tcPr>
                  <w:tcW w:w="56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3DB11CD0">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Z</w:t>
                  </w:r>
                </w:p>
              </w:tc>
              <w:tc>
                <w:tcPr>
                  <w:tcW w:w="872"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5A9A32C8">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声压级/dB(A)</w:t>
                  </w:r>
                </w:p>
              </w:tc>
              <w:tc>
                <w:tcPr>
                  <w:tcW w:w="882"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523BB4C">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距声源距离/m</w:t>
                  </w:r>
                </w:p>
              </w:tc>
              <w:tc>
                <w:tcPr>
                  <w:tcW w:w="1480"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37247C16">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p>
              </w:tc>
              <w:tc>
                <w:tcPr>
                  <w:tcW w:w="549" w:type="dxa"/>
                  <w:vMerge w:val="continue"/>
                  <w:tcBorders>
                    <w:top w:val="single" w:color="000000" w:sz="4" w:space="0"/>
                    <w:left w:val="single" w:color="000000" w:sz="4" w:space="0"/>
                    <w:bottom w:val="single" w:color="000000" w:sz="4" w:space="0"/>
                    <w:right w:val="nil"/>
                    <w:tl2br w:val="nil"/>
                    <w:tr2bl w:val="nil"/>
                  </w:tcBorders>
                  <w:noWrap w:val="0"/>
                  <w:vAlign w:val="center"/>
                </w:tcPr>
                <w:p w14:paraId="4CB64986">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p>
              </w:tc>
            </w:tr>
            <w:tr w14:paraId="746379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02" w:type="dxa"/>
                  <w:tcBorders>
                    <w:top w:val="single" w:color="000000" w:sz="4" w:space="0"/>
                    <w:left w:val="nil"/>
                    <w:bottom w:val="single" w:color="000000" w:sz="4" w:space="0"/>
                    <w:right w:val="single" w:color="000000" w:sz="4" w:space="0"/>
                    <w:tl2br w:val="nil"/>
                    <w:tr2bl w:val="nil"/>
                  </w:tcBorders>
                  <w:noWrap w:val="0"/>
                  <w:vAlign w:val="center"/>
                </w:tcPr>
                <w:p w14:paraId="30B6D3FE">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1</w:t>
                  </w:r>
                </w:p>
              </w:tc>
              <w:tc>
                <w:tcPr>
                  <w:tcW w:w="1004"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tcMar>
                    <w:top w:w="0" w:type="dxa"/>
                    <w:left w:w="0" w:type="dxa"/>
                    <w:bottom w:w="0" w:type="dxa"/>
                    <w:right w:w="0" w:type="dxa"/>
                  </w:tcMar>
                  <w:vAlign w:val="center"/>
                </w:tcPr>
                <w:p w14:paraId="5D21CC2A">
                  <w:pPr>
                    <w:pStyle w:val="30"/>
                    <w:bidi w:val="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废气处理设施</w:t>
                  </w:r>
                  <w:r>
                    <w:rPr>
                      <w:rFonts w:hint="eastAsia" w:ascii="Times New Roman" w:hAnsi="Times New Roman" w:cs="Times New Roman"/>
                      <w:color w:val="000000" w:themeColor="text1"/>
                      <w:u w:val="single"/>
                      <w:lang w:val="en-US" w:eastAsia="zh-CN"/>
                      <w14:textFill>
                        <w14:solidFill>
                          <w14:schemeClr w14:val="tx1"/>
                        </w14:solidFill>
                      </w14:textFill>
                    </w:rPr>
                    <w:t>及</w:t>
                  </w:r>
                  <w:r>
                    <w:rPr>
                      <w:rFonts w:hint="default" w:ascii="Times New Roman" w:hAnsi="Times New Roman" w:cs="Times New Roman"/>
                      <w:color w:val="000000" w:themeColor="text1"/>
                      <w:u w:val="single"/>
                      <w:lang w:val="en-US" w:eastAsia="zh-CN"/>
                      <w14:textFill>
                        <w14:solidFill>
                          <w14:schemeClr w14:val="tx1"/>
                        </w14:solidFill>
                      </w14:textFill>
                    </w:rPr>
                    <w:t>配套风机</w:t>
                  </w:r>
                </w:p>
              </w:tc>
              <w:tc>
                <w:tcPr>
                  <w:tcW w:w="801"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5057AE58">
                  <w:pPr>
                    <w:pStyle w:val="30"/>
                    <w:spacing w:beforeLines="0" w:afterLines="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点源</w:t>
                  </w:r>
                </w:p>
              </w:tc>
              <w:tc>
                <w:tcPr>
                  <w:tcW w:w="790"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24140615">
                  <w:pPr>
                    <w:pStyle w:val="30"/>
                    <w:bidi w:val="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52</w:t>
                  </w:r>
                </w:p>
              </w:tc>
              <w:tc>
                <w:tcPr>
                  <w:tcW w:w="650"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35FDA48F">
                  <w:pPr>
                    <w:pStyle w:val="30"/>
                    <w:bidi w:val="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26</w:t>
                  </w:r>
                </w:p>
              </w:tc>
              <w:tc>
                <w:tcPr>
                  <w:tcW w:w="569"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585C606E">
                  <w:pPr>
                    <w:pStyle w:val="30"/>
                    <w:bidi w:val="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2</w:t>
                  </w:r>
                </w:p>
              </w:tc>
              <w:tc>
                <w:tcPr>
                  <w:tcW w:w="872"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6CD2D73B">
                  <w:pPr>
                    <w:pStyle w:val="30"/>
                    <w:spacing w:beforeLines="0" w:afterLines="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eastAsia" w:ascii="Times New Roman" w:hAnsi="Times New Roman" w:cs="Times New Roman"/>
                      <w:color w:val="000000" w:themeColor="text1"/>
                      <w:sz w:val="21"/>
                      <w:szCs w:val="24"/>
                      <w:u w:val="single"/>
                      <w:lang w:val="en-US" w:eastAsia="zh-CN"/>
                      <w14:textFill>
                        <w14:solidFill>
                          <w14:schemeClr w14:val="tx1"/>
                        </w14:solidFill>
                      </w14:textFill>
                    </w:rPr>
                    <w:t>85</w:t>
                  </w:r>
                </w:p>
              </w:tc>
              <w:tc>
                <w:tcPr>
                  <w:tcW w:w="882"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64872E30">
                  <w:pPr>
                    <w:pStyle w:val="30"/>
                    <w:spacing w:beforeLines="0" w:afterLines="0"/>
                    <w:ind w:firstLine="0" w:firstLineChars="0"/>
                    <w:rPr>
                      <w:rFonts w:hint="eastAsia"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eastAsia" w:ascii="Times New Roman" w:hAnsi="Times New Roman" w:cs="Times New Roman"/>
                      <w:color w:val="000000" w:themeColor="text1"/>
                      <w:sz w:val="21"/>
                      <w:szCs w:val="24"/>
                      <w:u w:val="single"/>
                      <w:lang w:val="en-US" w:eastAsia="zh-CN"/>
                      <w14:textFill>
                        <w14:solidFill>
                          <w14:schemeClr w14:val="tx1"/>
                        </w14:solidFill>
                      </w14:textFill>
                    </w:rPr>
                    <w:t>1</w:t>
                  </w:r>
                </w:p>
              </w:tc>
              <w:tc>
                <w:tcPr>
                  <w:tcW w:w="14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18E2A35">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选用低噪声设备、基础减振、消声器、隔声罩</w:t>
                  </w:r>
                </w:p>
              </w:tc>
              <w:tc>
                <w:tcPr>
                  <w:tcW w:w="549" w:type="dxa"/>
                  <w:tcBorders>
                    <w:top w:val="single" w:color="000000" w:sz="4" w:space="0"/>
                    <w:left w:val="single" w:color="000000" w:sz="4" w:space="0"/>
                    <w:right w:val="nil"/>
                    <w:tl2br w:val="nil"/>
                    <w:tr2bl w:val="nil"/>
                  </w:tcBorders>
                  <w:noWrap w:val="0"/>
                  <w:vAlign w:val="center"/>
                </w:tcPr>
                <w:p w14:paraId="3950DC73">
                  <w:pPr>
                    <w:pStyle w:val="30"/>
                    <w:spacing w:beforeLines="0" w:afterLines="0"/>
                    <w:rPr>
                      <w:rFonts w:hint="default" w:ascii="Times New Roman" w:hAnsi="Times New Roman" w:cs="Times New Roman"/>
                      <w:color w:val="000000" w:themeColor="text1"/>
                      <w:sz w:val="21"/>
                      <w:szCs w:val="24"/>
                      <w:u w:val="single"/>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昼间</w:t>
                  </w:r>
                  <w:r>
                    <w:rPr>
                      <w:rFonts w:hint="eastAsia" w:ascii="Times New Roman" w:hAnsi="Times New Roman" w:cs="Times New Roman"/>
                      <w:color w:val="000000" w:themeColor="text1"/>
                      <w:sz w:val="21"/>
                      <w:szCs w:val="24"/>
                      <w:u w:val="single"/>
                      <w:lang w:val="en-US" w:eastAsia="zh-CN"/>
                      <w14:textFill>
                        <w14:solidFill>
                          <w14:schemeClr w14:val="tx1"/>
                        </w14:solidFill>
                      </w14:textFill>
                    </w:rPr>
                    <w:t>8</w:t>
                  </w:r>
                  <w:r>
                    <w:rPr>
                      <w:rFonts w:hint="default" w:ascii="Times New Roman" w:hAnsi="Times New Roman" w:cs="Times New Roman"/>
                      <w:color w:val="000000" w:themeColor="text1"/>
                      <w:sz w:val="21"/>
                      <w:szCs w:val="24"/>
                      <w:u w:val="single"/>
                      <w14:textFill>
                        <w14:solidFill>
                          <w14:schemeClr w14:val="tx1"/>
                        </w14:solidFill>
                      </w14:textFill>
                    </w:rPr>
                    <w:t>h</w:t>
                  </w:r>
                </w:p>
              </w:tc>
            </w:tr>
            <w:tr w14:paraId="3519AA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7999" w:type="dxa"/>
                  <w:gridSpan w:val="10"/>
                  <w:tcBorders>
                    <w:top w:val="single" w:color="000000" w:sz="4" w:space="0"/>
                    <w:left w:val="nil"/>
                    <w:bottom w:val="single" w:color="000000" w:sz="12" w:space="0"/>
                    <w:right w:val="nil"/>
                    <w:tl2br w:val="nil"/>
                    <w:tr2bl w:val="nil"/>
                  </w:tcBorders>
                  <w:noWrap w:val="0"/>
                  <w:vAlign w:val="top"/>
                </w:tcPr>
                <w:p w14:paraId="73B41751">
                  <w:pPr>
                    <w:pStyle w:val="30"/>
                    <w:spacing w:beforeLines="0" w:afterLines="0"/>
                    <w:jc w:val="both"/>
                    <w:rPr>
                      <w:rFonts w:hint="default" w:ascii="Times New Roman" w:hAnsi="Times New Roman" w:cs="Times New Roman"/>
                      <w:color w:val="000000" w:themeColor="text1"/>
                      <w:sz w:val="21"/>
                      <w:szCs w:val="24"/>
                      <w:u w:val="single"/>
                      <w14:textFill>
                        <w14:solidFill>
                          <w14:schemeClr w14:val="tx1"/>
                        </w14:solidFill>
                      </w14:textFill>
                    </w:rPr>
                  </w:pPr>
                </w:p>
                <w:p w14:paraId="0703F6A0">
                  <w:pPr>
                    <w:pStyle w:val="30"/>
                    <w:spacing w:beforeLines="0" w:afterLines="0"/>
                    <w:jc w:val="both"/>
                    <w:rPr>
                      <w:rFonts w:hint="eastAsia" w:ascii="Times New Roman" w:hAnsi="Times New Roman" w:eastAsia="宋体" w:cs="Times New Roman"/>
                      <w:color w:val="000000" w:themeColor="text1"/>
                      <w:sz w:val="21"/>
                      <w:szCs w:val="24"/>
                      <w:u w:val="single"/>
                      <w:lang w:val="en-US" w:eastAsia="zh-CN"/>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备注1：</w:t>
                  </w:r>
                  <w:r>
                    <w:rPr>
                      <w:rFonts w:hint="eastAsia" w:ascii="Times New Roman" w:hAnsi="Times New Roman" w:cs="Times New Roman"/>
                      <w:color w:val="000000" w:themeColor="text1"/>
                      <w:sz w:val="21"/>
                      <w:szCs w:val="24"/>
                      <w:u w:val="single"/>
                      <w:lang w:val="en-US" w:eastAsia="zh-CN"/>
                      <w14:textFill>
                        <w14:solidFill>
                          <w14:schemeClr w14:val="tx1"/>
                        </w14:solidFill>
                      </w14:textFill>
                    </w:rPr>
                    <w:t>上述源强</w:t>
                  </w:r>
                  <w:r>
                    <w:rPr>
                      <w:rFonts w:hint="default" w:ascii="Times New Roman" w:hAnsi="Times New Roman" w:cs="Times New Roman"/>
                      <w:color w:val="000000" w:themeColor="text1"/>
                      <w:sz w:val="21"/>
                      <w:szCs w:val="24"/>
                      <w:u w:val="single"/>
                      <w14:textFill>
                        <w14:solidFill>
                          <w14:schemeClr w14:val="tx1"/>
                        </w14:solidFill>
                      </w14:textFill>
                    </w:rPr>
                    <w:t>采取选用低噪声设备、基础减振、消声器、隔声罩后降噪效果取1</w:t>
                  </w:r>
                  <w:r>
                    <w:rPr>
                      <w:rFonts w:hint="eastAsia" w:ascii="Times New Roman" w:hAnsi="Times New Roman" w:cs="Times New Roman"/>
                      <w:color w:val="000000" w:themeColor="text1"/>
                      <w:sz w:val="21"/>
                      <w:szCs w:val="24"/>
                      <w:u w:val="single"/>
                      <w:lang w:val="en-US" w:eastAsia="zh-CN"/>
                      <w14:textFill>
                        <w14:solidFill>
                          <w14:schemeClr w14:val="tx1"/>
                        </w14:solidFill>
                      </w14:textFill>
                    </w:rPr>
                    <w:t>0</w:t>
                  </w:r>
                  <w:r>
                    <w:rPr>
                      <w:rFonts w:hint="default" w:ascii="Times New Roman" w:hAnsi="Times New Roman" w:cs="Times New Roman"/>
                      <w:color w:val="000000" w:themeColor="text1"/>
                      <w:sz w:val="21"/>
                      <w:szCs w:val="24"/>
                      <w:u w:val="single"/>
                      <w14:textFill>
                        <w14:solidFill>
                          <w14:schemeClr w14:val="tx1"/>
                        </w14:solidFill>
                      </w14:textFill>
                    </w:rPr>
                    <w:t>dB(A)</w:t>
                  </w:r>
                  <w:r>
                    <w:rPr>
                      <w:rFonts w:hint="eastAsia" w:ascii="Times New Roman" w:hAnsi="Times New Roman" w:cs="Times New Roman"/>
                      <w:color w:val="000000" w:themeColor="text1"/>
                      <w:sz w:val="21"/>
                      <w:szCs w:val="24"/>
                      <w:u w:val="single"/>
                      <w:lang w:eastAsia="zh-CN"/>
                      <w14:textFill>
                        <w14:solidFill>
                          <w14:schemeClr w14:val="tx1"/>
                        </w14:solidFill>
                      </w14:textFill>
                    </w:rPr>
                    <w:t>，</w:t>
                  </w:r>
                  <w:r>
                    <w:rPr>
                      <w:rFonts w:hint="eastAsia" w:ascii="Times New Roman" w:hAnsi="Times New Roman" w:cs="Times New Roman"/>
                      <w:color w:val="000000" w:themeColor="text1"/>
                      <w:sz w:val="21"/>
                      <w:szCs w:val="24"/>
                      <w:u w:val="single"/>
                      <w:lang w:val="en-US" w:eastAsia="zh-CN"/>
                      <w14:textFill>
                        <w14:solidFill>
                          <w14:schemeClr w14:val="tx1"/>
                        </w14:solidFill>
                      </w14:textFill>
                    </w:rPr>
                    <w:t>采取以上声源降噪措施后声源声压级可降低至75</w:t>
                  </w:r>
                  <w:r>
                    <w:rPr>
                      <w:rFonts w:hint="default" w:ascii="Times New Roman" w:hAnsi="Times New Roman" w:cs="Times New Roman"/>
                      <w:color w:val="000000" w:themeColor="text1"/>
                      <w:sz w:val="21"/>
                      <w:szCs w:val="24"/>
                      <w:u w:val="single"/>
                      <w14:textFill>
                        <w14:solidFill>
                          <w14:schemeClr w14:val="tx1"/>
                        </w14:solidFill>
                      </w14:textFill>
                    </w:rPr>
                    <w:t>dB(A)</w:t>
                  </w:r>
                  <w:r>
                    <w:rPr>
                      <w:rFonts w:hint="eastAsia" w:ascii="Times New Roman" w:hAnsi="Times New Roman" w:cs="Times New Roman"/>
                      <w:color w:val="000000" w:themeColor="text1"/>
                      <w:sz w:val="21"/>
                      <w:szCs w:val="24"/>
                      <w:u w:val="single"/>
                      <w:lang w:eastAsia="zh-CN"/>
                      <w14:textFill>
                        <w14:solidFill>
                          <w14:schemeClr w14:val="tx1"/>
                        </w14:solidFill>
                      </w14:textFill>
                    </w:rPr>
                    <w:t>。</w:t>
                  </w:r>
                </w:p>
              </w:tc>
            </w:tr>
          </w:tbl>
          <w:p w14:paraId="7A8A683A">
            <w:pPr>
              <w:pStyle w:val="29"/>
              <w:bidi w:val="0"/>
              <w:rPr>
                <w:rFonts w:hint="default" w:ascii="Times New Roman" w:hAnsi="Times New Roman" w:cs="Times New Roman"/>
                <w:color w:val="auto"/>
              </w:rPr>
            </w:pPr>
            <w:r>
              <w:rPr>
                <w:rFonts w:hint="default" w:ascii="Times New Roman" w:hAnsi="Times New Roman" w:cs="Times New Roman"/>
                <w:b/>
                <w:bCs/>
                <w:color w:val="auto"/>
              </w:rPr>
              <w:t>3.2 噪声预测</w:t>
            </w:r>
          </w:p>
          <w:p w14:paraId="3CB0BE94">
            <w:pPr>
              <w:pStyle w:val="29"/>
              <w:bidi w:val="0"/>
              <w:rPr>
                <w:rFonts w:hint="default" w:ascii="Times New Roman" w:hAnsi="Times New Roman" w:cs="Times New Roman"/>
                <w:color w:val="auto"/>
              </w:rPr>
            </w:pPr>
            <w:r>
              <w:rPr>
                <w:rFonts w:hint="default" w:ascii="Times New Roman" w:hAnsi="Times New Roman" w:cs="Times New Roman"/>
                <w:color w:val="auto"/>
              </w:rPr>
              <w:t>（1）预测模式</w:t>
            </w:r>
          </w:p>
          <w:p w14:paraId="4D164D56">
            <w:pPr>
              <w:pStyle w:val="29"/>
              <w:bidi w:val="0"/>
              <w:rPr>
                <w:rFonts w:hint="default" w:ascii="Times New Roman" w:hAnsi="Times New Roman" w:cs="Times New Roman"/>
                <w:color w:val="auto"/>
              </w:rPr>
            </w:pPr>
            <w:r>
              <w:rPr>
                <w:rFonts w:hint="default" w:ascii="Times New Roman" w:hAnsi="Times New Roman" w:cs="Times New Roman"/>
                <w:color w:val="auto"/>
              </w:rPr>
              <w:t>项目生产线相对较为紧凑，各个生产设备距离较近，故本环评拟先计算出生产设备叠加声源值后再用点声源衰减模式计算不同距离的噪声值。</w:t>
            </w:r>
          </w:p>
          <w:p w14:paraId="07682C3D">
            <w:pPr>
              <w:pStyle w:val="29"/>
              <w:bidi w:val="0"/>
              <w:rPr>
                <w:rFonts w:hint="default" w:ascii="Times New Roman" w:hAnsi="Times New Roman" w:cs="Times New Roman"/>
                <w:color w:val="auto"/>
              </w:rPr>
            </w:pPr>
            <w:r>
              <w:rPr>
                <w:rFonts w:hint="default" w:ascii="Times New Roman" w:hAnsi="Times New Roman" w:cs="Times New Roman"/>
                <w:color w:val="auto"/>
              </w:rPr>
              <w:t>1）室内声源预测模式：</w:t>
            </w:r>
          </w:p>
          <w:p w14:paraId="4C866C59">
            <w:pPr>
              <w:pStyle w:val="29"/>
              <w:bidi w:val="0"/>
              <w:rPr>
                <w:rFonts w:hint="default" w:ascii="Times New Roman" w:hAnsi="Times New Roman" w:cs="Times New Roman"/>
                <w:color w:val="auto"/>
              </w:rPr>
            </w:pPr>
            <w:r>
              <w:rPr>
                <w:rFonts w:hint="default" w:ascii="Times New Roman" w:hAnsi="Times New Roman" w:cs="Times New Roman"/>
                <w:color w:val="auto"/>
              </w:rPr>
              <w:t>①计算某一室内声源靠近围护结构处产生的A声压级L</w:t>
            </w:r>
            <w:r>
              <w:rPr>
                <w:rFonts w:hint="default" w:ascii="Times New Roman" w:hAnsi="Times New Roman" w:cs="Times New Roman"/>
                <w:color w:val="auto"/>
                <w:vertAlign w:val="subscript"/>
              </w:rPr>
              <w:t>p1</w:t>
            </w:r>
            <w:r>
              <w:rPr>
                <w:rFonts w:hint="default" w:ascii="Times New Roman" w:hAnsi="Times New Roman" w:cs="Times New Roman"/>
                <w:color w:val="auto"/>
              </w:rPr>
              <w:t>：</w:t>
            </w:r>
          </w:p>
          <w:p w14:paraId="54225987">
            <w:pPr>
              <w:pStyle w:val="29"/>
              <w:bidi w:val="0"/>
              <w:ind w:left="0" w:leftChars="0" w:firstLine="0" w:firstLineChars="0"/>
              <w:jc w:val="center"/>
              <w:rPr>
                <w:rFonts w:hint="default" w:ascii="Times New Roman" w:hAnsi="Times New Roman" w:cs="Times New Roman"/>
                <w:color w:val="auto"/>
              </w:rPr>
            </w:pPr>
            <w:r>
              <w:rPr>
                <w:color w:val="auto"/>
                <w:position w:val="-28"/>
              </w:rPr>
              <w:object>
                <v:shape id="_x0000_i1025" o:spt="75" type="#_x0000_t75" style="height:34pt;width:136pt;" o:ole="t" filled="f" o:preferrelative="t" stroked="f" coordsize="21600,21600">
                  <v:path/>
                  <v:fill on="f" focussize="0,0"/>
                  <v:stroke on="f"/>
                  <v:imagedata r:id="rId25" o:title=""/>
                  <o:lock v:ext="edit" aspectratio="t"/>
                  <w10:wrap type="none"/>
                  <w10:anchorlock/>
                </v:shape>
                <o:OLEObject Type="Embed" ProgID="Equation.KSEE3" ShapeID="_x0000_i1025" DrawAspect="Content" ObjectID="_1468075725" r:id="rId24">
                  <o:LockedField>false</o:LockedField>
                </o:OLEObject>
              </w:object>
            </w:r>
          </w:p>
          <w:p w14:paraId="25D9C0A1">
            <w:pPr>
              <w:pStyle w:val="29"/>
              <w:bidi w:val="0"/>
              <w:rPr>
                <w:rFonts w:hint="default" w:ascii="Times New Roman" w:hAnsi="Times New Roman" w:cs="Times New Roman"/>
                <w:color w:val="auto"/>
              </w:rPr>
            </w:pPr>
            <w:r>
              <w:rPr>
                <w:rFonts w:hint="default" w:ascii="Times New Roman" w:hAnsi="Times New Roman" w:cs="Times New Roman"/>
                <w:color w:val="auto"/>
              </w:rPr>
              <w:t>式中：</w:t>
            </w:r>
          </w:p>
          <w:p w14:paraId="3D2238C4">
            <w:pPr>
              <w:pStyle w:val="29"/>
              <w:bidi w:val="0"/>
              <w:rPr>
                <w:rFonts w:hint="default" w:ascii="Times New Roman" w:hAnsi="Times New Roman" w:cs="Times New Roman"/>
                <w:color w:val="auto"/>
              </w:rPr>
            </w:pPr>
            <w:r>
              <w:rPr>
                <w:rFonts w:hint="default" w:ascii="Times New Roman" w:hAnsi="Times New Roman" w:cs="Times New Roman"/>
                <w:color w:val="auto"/>
              </w:rPr>
              <w:t>Q－指向性因数：通常对无指向性声源，当声源放在房间中心时，Q=1；当放在一面墙的中心时，Q=2；当放在两面墙夹角时，Q=4；当放在三面墙夹角处时，Q=8。</w:t>
            </w:r>
          </w:p>
          <w:p w14:paraId="56067EB8">
            <w:pPr>
              <w:pStyle w:val="29"/>
              <w:bidi w:val="0"/>
              <w:rPr>
                <w:rFonts w:hint="default" w:ascii="Times New Roman" w:hAnsi="Times New Roman" w:cs="Times New Roman"/>
                <w:color w:val="auto"/>
              </w:rPr>
            </w:pPr>
            <w:r>
              <w:rPr>
                <w:rFonts w:hint="default" w:ascii="Times New Roman" w:hAnsi="Times New Roman" w:cs="Times New Roman"/>
                <w:color w:val="auto"/>
              </w:rPr>
              <w:t>R－房间常数：R=Sa/(1-a)，S为房间内表面面积，m</w:t>
            </w:r>
            <w:r>
              <w:rPr>
                <w:rFonts w:hint="default" w:ascii="Times New Roman" w:hAnsi="Times New Roman" w:cs="Times New Roman"/>
                <w:color w:val="auto"/>
                <w:vertAlign w:val="superscript"/>
              </w:rPr>
              <w:t>2</w:t>
            </w:r>
            <w:r>
              <w:rPr>
                <w:rFonts w:hint="default" w:ascii="Times New Roman" w:hAnsi="Times New Roman" w:cs="Times New Roman"/>
                <w:color w:val="auto"/>
              </w:rPr>
              <w:t>；a为平均吸声系数。</w:t>
            </w:r>
          </w:p>
          <w:p w14:paraId="29E77059">
            <w:pPr>
              <w:pStyle w:val="29"/>
              <w:bidi w:val="0"/>
              <w:rPr>
                <w:rFonts w:hint="default" w:ascii="Times New Roman" w:hAnsi="Times New Roman" w:cs="Times New Roman"/>
                <w:color w:val="auto"/>
              </w:rPr>
            </w:pPr>
            <w:r>
              <w:rPr>
                <w:rFonts w:hint="default" w:ascii="Times New Roman" w:hAnsi="Times New Roman" w:cs="Times New Roman"/>
                <w:color w:val="auto"/>
              </w:rPr>
              <w:t>r－声源到靠近围护结构某点处的距离，m。</w:t>
            </w:r>
          </w:p>
          <w:p w14:paraId="46D58B1B">
            <w:pPr>
              <w:pStyle w:val="29"/>
              <w:bidi w:val="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w</w:t>
            </w:r>
            <w:r>
              <w:rPr>
                <w:rFonts w:hint="default" w:ascii="Times New Roman" w:hAnsi="Times New Roman" w:cs="Times New Roman"/>
                <w:color w:val="auto"/>
              </w:rPr>
              <w:t>为设备的A声功率级。</w:t>
            </w:r>
          </w:p>
          <w:p w14:paraId="4ADA3E8A">
            <w:pPr>
              <w:pStyle w:val="29"/>
              <w:bidi w:val="0"/>
              <w:rPr>
                <w:rFonts w:hint="default" w:ascii="Times New Roman" w:hAnsi="Times New Roman" w:cs="Times New Roman"/>
                <w:color w:val="auto"/>
              </w:rPr>
            </w:pPr>
            <w:r>
              <w:rPr>
                <w:rFonts w:hint="default" w:ascii="Times New Roman" w:hAnsi="Times New Roman" w:cs="Times New Roman"/>
                <w:color w:val="auto"/>
              </w:rPr>
              <w:t>计算出所有室内声源在围护结构处产生的叠加A声压级：</w:t>
            </w:r>
          </w:p>
          <w:p w14:paraId="203E68B9">
            <w:pPr>
              <w:pStyle w:val="29"/>
              <w:bidi w:val="0"/>
              <w:ind w:left="0" w:leftChars="0" w:firstLine="0" w:firstLineChars="0"/>
              <w:jc w:val="center"/>
              <w:rPr>
                <w:rFonts w:hint="default" w:ascii="Times New Roman" w:hAnsi="Times New Roman" w:cs="Times New Roman"/>
                <w:color w:val="auto"/>
              </w:rPr>
            </w:pPr>
            <w:r>
              <w:rPr>
                <w:color w:val="auto"/>
                <w:position w:val="-32"/>
              </w:rPr>
              <w:object>
                <v:shape id="_x0000_i1026" o:spt="75" type="#_x0000_t75" style="height:38pt;width:127pt;" o:ole="t" filled="f" o:preferrelative="t" stroked="f" coordsize="21600,21600">
                  <v:path/>
                  <v:fill on="f" focussize="0,0"/>
                  <v:stroke on="f"/>
                  <v:imagedata r:id="rId27" o:title=""/>
                  <o:lock v:ext="edit" aspectratio="t"/>
                  <w10:wrap type="none"/>
                  <w10:anchorlock/>
                </v:shape>
                <o:OLEObject Type="Embed" ProgID="Equation.KSEE3" ShapeID="_x0000_i1026" DrawAspect="Content" ObjectID="_1468075726" r:id="rId26">
                  <o:LockedField>false</o:LockedField>
                </o:OLEObject>
              </w:object>
            </w:r>
          </w:p>
          <w:p w14:paraId="1BA869DE">
            <w:pPr>
              <w:pStyle w:val="29"/>
              <w:bidi w:val="0"/>
              <w:rPr>
                <w:rFonts w:hint="default" w:ascii="Times New Roman" w:hAnsi="Times New Roman" w:cs="Times New Roman"/>
                <w:color w:val="auto"/>
              </w:rPr>
            </w:pPr>
            <w:r>
              <w:rPr>
                <w:rFonts w:hint="default" w:ascii="Times New Roman" w:hAnsi="Times New Roman" w:cs="Times New Roman"/>
                <w:color w:val="auto"/>
              </w:rPr>
              <w:t>式中：</w:t>
            </w:r>
          </w:p>
          <w:p w14:paraId="6C9047E0">
            <w:pPr>
              <w:pStyle w:val="29"/>
              <w:bidi w:val="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p1</w:t>
            </w:r>
            <w:r>
              <w:rPr>
                <w:rFonts w:hint="default" w:ascii="Times New Roman" w:hAnsi="Times New Roman" w:cs="Times New Roman"/>
                <w:color w:val="auto"/>
                <w:vertAlign w:val="baseline"/>
              </w:rPr>
              <w:t>(T)</w:t>
            </w:r>
            <w:r>
              <w:rPr>
                <w:rFonts w:hint="default" w:ascii="Times New Roman" w:hAnsi="Times New Roman" w:cs="Times New Roman"/>
                <w:color w:val="auto"/>
              </w:rPr>
              <w:t>－靠近围护结构处室内N个声源叠加A声压级，dB(A)；</w:t>
            </w:r>
          </w:p>
          <w:p w14:paraId="185A258C">
            <w:pPr>
              <w:pStyle w:val="29"/>
              <w:bidi w:val="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p1j</w:t>
            </w:r>
            <w:r>
              <w:rPr>
                <w:rFonts w:hint="default" w:ascii="Times New Roman" w:hAnsi="Times New Roman" w:cs="Times New Roman"/>
                <w:color w:val="auto"/>
              </w:rPr>
              <w:t>--室内j声源的A声压级，dB(A)；</w:t>
            </w:r>
          </w:p>
          <w:p w14:paraId="42159B72">
            <w:pPr>
              <w:pStyle w:val="29"/>
              <w:bidi w:val="0"/>
              <w:rPr>
                <w:rFonts w:hint="default" w:ascii="Times New Roman" w:hAnsi="Times New Roman" w:cs="Times New Roman"/>
                <w:color w:val="auto"/>
              </w:rPr>
            </w:pPr>
            <w:r>
              <w:rPr>
                <w:rFonts w:hint="default" w:ascii="Times New Roman" w:hAnsi="Times New Roman" w:cs="Times New Roman"/>
                <w:color w:val="auto"/>
              </w:rPr>
              <w:t>②在室内近似为扩散声场地，按下式计算出靠近室外围护结构处的声压级：</w:t>
            </w:r>
          </w:p>
          <w:p w14:paraId="79EC4867">
            <w:pPr>
              <w:pStyle w:val="29"/>
              <w:bidi w:val="0"/>
              <w:jc w:val="center"/>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p2</w:t>
            </w:r>
            <w:r>
              <w:rPr>
                <w:rFonts w:hint="default" w:ascii="Times New Roman" w:hAnsi="Times New Roman" w:cs="Times New Roman"/>
                <w:color w:val="auto"/>
              </w:rPr>
              <w:t>=L</w:t>
            </w:r>
            <w:r>
              <w:rPr>
                <w:rFonts w:hint="default" w:ascii="Times New Roman" w:hAnsi="Times New Roman" w:cs="Times New Roman"/>
                <w:color w:val="auto"/>
                <w:vertAlign w:val="subscript"/>
              </w:rPr>
              <w:t>p1</w:t>
            </w:r>
            <w:r>
              <w:rPr>
                <w:rFonts w:hint="default" w:ascii="Times New Roman" w:hAnsi="Times New Roman" w:cs="Times New Roman"/>
                <w:color w:val="auto"/>
              </w:rPr>
              <w:t>-(TL+6)</w:t>
            </w:r>
          </w:p>
          <w:p w14:paraId="099CF0E3">
            <w:pPr>
              <w:pStyle w:val="29"/>
              <w:bidi w:val="0"/>
              <w:rPr>
                <w:rFonts w:hint="default" w:ascii="Times New Roman" w:hAnsi="Times New Roman" w:cs="Times New Roman"/>
                <w:color w:val="auto"/>
              </w:rPr>
            </w:pPr>
            <w:r>
              <w:rPr>
                <w:rFonts w:hint="default" w:ascii="Times New Roman" w:hAnsi="Times New Roman" w:cs="Times New Roman"/>
                <w:color w:val="auto"/>
              </w:rPr>
              <w:t>式中：</w:t>
            </w:r>
          </w:p>
          <w:p w14:paraId="6F91C9B4">
            <w:pPr>
              <w:pStyle w:val="29"/>
              <w:bidi w:val="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p1</w:t>
            </w:r>
            <w:r>
              <w:rPr>
                <w:rFonts w:hint="default" w:ascii="Times New Roman" w:hAnsi="Times New Roman" w:cs="Times New Roman"/>
                <w:color w:val="auto"/>
              </w:rPr>
              <w:t>－声源室内声压级，dB(A)；</w:t>
            </w:r>
          </w:p>
          <w:p w14:paraId="64B4DE24">
            <w:pPr>
              <w:pStyle w:val="29"/>
              <w:bidi w:val="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p2</w:t>
            </w:r>
            <w:r>
              <w:rPr>
                <w:rFonts w:hint="default" w:ascii="Times New Roman" w:hAnsi="Times New Roman" w:cs="Times New Roman"/>
                <w:color w:val="auto"/>
              </w:rPr>
              <w:t>－等效室外声压级，dB(A)；</w:t>
            </w:r>
          </w:p>
          <w:p w14:paraId="1B2F0694">
            <w:pPr>
              <w:pStyle w:val="29"/>
              <w:bidi w:val="0"/>
              <w:rPr>
                <w:rFonts w:hint="default" w:ascii="Times New Roman" w:hAnsi="Times New Roman" w:cs="Times New Roman"/>
                <w:color w:val="auto"/>
              </w:rPr>
            </w:pPr>
            <w:r>
              <w:rPr>
                <w:rFonts w:hint="default" w:ascii="Times New Roman" w:hAnsi="Times New Roman" w:cs="Times New Roman"/>
                <w:color w:val="auto"/>
              </w:rPr>
              <w:t>TL－隔墙（或窗户）倍频带的隔声量，dB(A)。</w:t>
            </w:r>
          </w:p>
          <w:p w14:paraId="3E5898A7">
            <w:pPr>
              <w:pStyle w:val="29"/>
              <w:bidi w:val="0"/>
              <w:ind w:left="0" w:leftChars="0" w:firstLine="0" w:firstLineChars="0"/>
              <w:jc w:val="center"/>
              <w:rPr>
                <w:rFonts w:hint="default" w:ascii="Times New Roman" w:hAnsi="Times New Roman" w:cs="Times New Roman"/>
                <w:color w:val="auto"/>
              </w:rPr>
            </w:pPr>
            <w:r>
              <w:rPr>
                <w:color w:val="auto"/>
              </w:rPr>
              <w:drawing>
                <wp:inline distT="0" distB="0" distL="114300" distR="114300">
                  <wp:extent cx="2747010" cy="1270000"/>
                  <wp:effectExtent l="0" t="0" r="15240" b="635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28"/>
                          <a:stretch>
                            <a:fillRect/>
                          </a:stretch>
                        </pic:blipFill>
                        <pic:spPr>
                          <a:xfrm>
                            <a:off x="0" y="0"/>
                            <a:ext cx="2747010" cy="1270000"/>
                          </a:xfrm>
                          <a:prstGeom prst="rect">
                            <a:avLst/>
                          </a:prstGeom>
                          <a:noFill/>
                          <a:ln>
                            <a:noFill/>
                          </a:ln>
                        </pic:spPr>
                      </pic:pic>
                    </a:graphicData>
                  </a:graphic>
                </wp:inline>
              </w:drawing>
            </w:r>
          </w:p>
          <w:p w14:paraId="79DADA13">
            <w:pPr>
              <w:pStyle w:val="29"/>
              <w:bidi w:val="0"/>
              <w:rPr>
                <w:rFonts w:hint="default" w:ascii="Times New Roman" w:hAnsi="Times New Roman" w:cs="Times New Roman"/>
                <w:color w:val="auto"/>
              </w:rPr>
            </w:pPr>
            <w:r>
              <w:rPr>
                <w:rFonts w:hint="default" w:ascii="Times New Roman" w:hAnsi="Times New Roman" w:cs="Times New Roman"/>
                <w:color w:val="auto"/>
              </w:rPr>
              <w:t>2）室外声源预测模式：</w:t>
            </w:r>
          </w:p>
          <w:p w14:paraId="6F7F8822">
            <w:pPr>
              <w:pStyle w:val="29"/>
              <w:bidi w:val="0"/>
              <w:ind w:left="0" w:leftChars="0" w:firstLine="0" w:firstLineChars="0"/>
              <w:jc w:val="center"/>
              <w:rPr>
                <w:rFonts w:hint="default" w:ascii="Times New Roman" w:hAnsi="Times New Roman" w:cs="Times New Roman"/>
                <w:color w:val="auto"/>
              </w:rPr>
            </w:pPr>
            <w:r>
              <w:rPr>
                <w:color w:val="auto"/>
                <w:u w:val="none"/>
              </w:rPr>
              <w:drawing>
                <wp:inline distT="0" distB="0" distL="114300" distR="114300">
                  <wp:extent cx="3438525" cy="1514475"/>
                  <wp:effectExtent l="0" t="0" r="9525" b="9525"/>
                  <wp:docPr id="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IMG_256"/>
                          <pic:cNvPicPr>
                            <a:picLocks noChangeAspect="1"/>
                          </pic:cNvPicPr>
                        </pic:nvPicPr>
                        <pic:blipFill>
                          <a:blip r:embed="rId29"/>
                          <a:stretch>
                            <a:fillRect/>
                          </a:stretch>
                        </pic:blipFill>
                        <pic:spPr>
                          <a:xfrm>
                            <a:off x="0" y="0"/>
                            <a:ext cx="3438525" cy="1514475"/>
                          </a:xfrm>
                          <a:prstGeom prst="rect">
                            <a:avLst/>
                          </a:prstGeom>
                          <a:noFill/>
                          <a:ln>
                            <a:noFill/>
                          </a:ln>
                        </pic:spPr>
                      </pic:pic>
                    </a:graphicData>
                  </a:graphic>
                </wp:inline>
              </w:drawing>
            </w:r>
          </w:p>
          <w:p w14:paraId="1E81C895">
            <w:pPr>
              <w:pStyle w:val="29"/>
              <w:bidi w:val="0"/>
              <w:rPr>
                <w:rFonts w:hint="default" w:ascii="Times New Roman" w:hAnsi="Times New Roman" w:cs="Times New Roman"/>
                <w:color w:val="auto"/>
              </w:rPr>
            </w:pPr>
            <w:r>
              <w:rPr>
                <w:rFonts w:hint="default" w:ascii="Times New Roman" w:hAnsi="Times New Roman" w:cs="Times New Roman"/>
                <w:color w:val="auto"/>
              </w:rPr>
              <w:t>3）噪声贡献值计算公式：</w:t>
            </w:r>
          </w:p>
          <w:p w14:paraId="28460F00">
            <w:pPr>
              <w:pStyle w:val="29"/>
              <w:bidi w:val="0"/>
              <w:ind w:left="0" w:leftChars="0" w:firstLine="0" w:firstLineChars="0"/>
              <w:jc w:val="center"/>
              <w:rPr>
                <w:rFonts w:hint="default" w:ascii="Times New Roman" w:hAnsi="Times New Roman" w:cs="Times New Roman"/>
                <w:color w:val="auto"/>
              </w:rPr>
            </w:pPr>
            <w:r>
              <w:rPr>
                <w:color w:val="auto"/>
                <w:u w:val="none"/>
              </w:rPr>
              <w:drawing>
                <wp:inline distT="0" distB="0" distL="114300" distR="114300">
                  <wp:extent cx="3752850" cy="1724025"/>
                  <wp:effectExtent l="0" t="0" r="0" b="9525"/>
                  <wp:docPr id="7"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IMG_257"/>
                          <pic:cNvPicPr>
                            <a:picLocks noChangeAspect="1"/>
                          </pic:cNvPicPr>
                        </pic:nvPicPr>
                        <pic:blipFill>
                          <a:blip r:embed="rId30"/>
                          <a:stretch>
                            <a:fillRect/>
                          </a:stretch>
                        </pic:blipFill>
                        <pic:spPr>
                          <a:xfrm>
                            <a:off x="0" y="0"/>
                            <a:ext cx="3752850" cy="1724025"/>
                          </a:xfrm>
                          <a:prstGeom prst="rect">
                            <a:avLst/>
                          </a:prstGeom>
                          <a:noFill/>
                          <a:ln>
                            <a:noFill/>
                          </a:ln>
                        </pic:spPr>
                      </pic:pic>
                    </a:graphicData>
                  </a:graphic>
                </wp:inline>
              </w:drawing>
            </w:r>
          </w:p>
          <w:p w14:paraId="5A0C4CBB">
            <w:pPr>
              <w:pStyle w:val="29"/>
              <w:bidi w:val="0"/>
              <w:rPr>
                <w:rFonts w:hint="default" w:ascii="Times New Roman" w:hAnsi="Times New Roman" w:cs="Times New Roman"/>
                <w:color w:val="auto"/>
              </w:rPr>
            </w:pPr>
            <w:r>
              <w:rPr>
                <w:rFonts w:hint="default" w:ascii="Times New Roman" w:hAnsi="Times New Roman" w:cs="Times New Roman"/>
                <w:color w:val="auto"/>
              </w:rPr>
              <w:t>4）噪声预测值计算公式：</w:t>
            </w:r>
          </w:p>
          <w:p w14:paraId="45670271">
            <w:pPr>
              <w:pStyle w:val="29"/>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kern w:val="2"/>
                <w:sz w:val="21"/>
                <w:szCs w:val="21"/>
                <w:u w:val="none"/>
                <w:lang w:val="en-US" w:eastAsia="zh-CN" w:bidi="ar"/>
              </w:rPr>
              <w:drawing>
                <wp:inline distT="0" distB="0" distL="114300" distR="114300">
                  <wp:extent cx="4149725" cy="1207135"/>
                  <wp:effectExtent l="0" t="0" r="3175" b="12065"/>
                  <wp:docPr id="8"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IMG_258"/>
                          <pic:cNvPicPr>
                            <a:picLocks noChangeAspect="1"/>
                          </pic:cNvPicPr>
                        </pic:nvPicPr>
                        <pic:blipFill>
                          <a:blip r:embed="rId31"/>
                          <a:stretch>
                            <a:fillRect/>
                          </a:stretch>
                        </pic:blipFill>
                        <pic:spPr>
                          <a:xfrm>
                            <a:off x="0" y="0"/>
                            <a:ext cx="4149725" cy="1207135"/>
                          </a:xfrm>
                          <a:prstGeom prst="rect">
                            <a:avLst/>
                          </a:prstGeom>
                          <a:noFill/>
                          <a:ln>
                            <a:noFill/>
                          </a:ln>
                        </pic:spPr>
                      </pic:pic>
                    </a:graphicData>
                  </a:graphic>
                </wp:inline>
              </w:drawing>
            </w:r>
          </w:p>
          <w:p w14:paraId="711C48F8">
            <w:pPr>
              <w:pStyle w:val="29"/>
              <w:bidi w:val="0"/>
              <w:rPr>
                <w:rFonts w:hint="default" w:ascii="Times New Roman" w:hAnsi="Times New Roman" w:cs="Times New Roman"/>
                <w:color w:val="auto"/>
              </w:rPr>
            </w:pPr>
            <w:r>
              <w:rPr>
                <w:rFonts w:hint="default" w:ascii="Times New Roman" w:hAnsi="Times New Roman" w:cs="Times New Roman"/>
                <w:color w:val="auto"/>
              </w:rPr>
              <w:t>（2）预测参数</w:t>
            </w:r>
          </w:p>
          <w:p w14:paraId="28AFB06B">
            <w:pPr>
              <w:pStyle w:val="29"/>
              <w:bidi w:val="0"/>
              <w:rPr>
                <w:rFonts w:hint="default" w:ascii="Times New Roman" w:hAnsi="Times New Roman" w:cs="Times New Roman"/>
                <w:color w:val="auto"/>
              </w:rPr>
            </w:pPr>
            <w:r>
              <w:rPr>
                <w:rFonts w:hint="default" w:ascii="Times New Roman" w:hAnsi="Times New Roman" w:cs="Times New Roman"/>
                <w:color w:val="auto"/>
              </w:rPr>
              <w:t>本项目噪声预测参数见表4-1</w:t>
            </w:r>
            <w:r>
              <w:rPr>
                <w:rFonts w:hint="eastAsia" w:ascii="Times New Roman" w:hAnsi="Times New Roman" w:cs="Times New Roman"/>
                <w:color w:val="auto"/>
                <w:lang w:val="en-US" w:eastAsia="zh-CN"/>
              </w:rPr>
              <w:t>4</w:t>
            </w:r>
            <w:r>
              <w:rPr>
                <w:rFonts w:hint="default" w:ascii="Times New Roman" w:hAnsi="Times New Roman" w:cs="Times New Roman"/>
                <w:color w:val="auto"/>
              </w:rPr>
              <w:t>。</w:t>
            </w:r>
          </w:p>
          <w:p w14:paraId="2812884E">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表4-1</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 xml:space="preserve">  噪声预测参数</w:t>
            </w:r>
            <w:r>
              <w:rPr>
                <w:rFonts w:hint="eastAsia" w:ascii="Times New Roman" w:hAnsi="Times New Roman" w:cs="Times New Roman"/>
                <w:color w:val="auto"/>
                <w:lang w:val="en-US" w:eastAsia="zh-CN"/>
              </w:rPr>
              <w:t xml:space="preserve"> </w:t>
            </w:r>
          </w:p>
          <w:tbl>
            <w:tblPr>
              <w:tblStyle w:val="18"/>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1"/>
              <w:gridCol w:w="1318"/>
              <w:gridCol w:w="1318"/>
              <w:gridCol w:w="1319"/>
              <w:gridCol w:w="1319"/>
            </w:tblGrid>
            <w:tr w14:paraId="0B35D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1" w:type="dxa"/>
                  <w:vMerge w:val="restart"/>
                  <w:tcBorders>
                    <w:top w:val="single" w:color="auto" w:sz="12" w:space="0"/>
                    <w:left w:val="nil"/>
                    <w:bottom w:val="single" w:color="auto" w:sz="4" w:space="0"/>
                    <w:right w:val="single" w:color="auto" w:sz="4" w:space="0"/>
                    <w:tl2br w:val="nil"/>
                    <w:tr2bl w:val="nil"/>
                  </w:tcBorders>
                  <w:noWrap w:val="0"/>
                  <w:vAlign w:val="center"/>
                </w:tcPr>
                <w:p w14:paraId="588760F8">
                  <w:pPr>
                    <w:pStyle w:val="30"/>
                    <w:bidi w:val="0"/>
                    <w:rPr>
                      <w:rFonts w:hint="default" w:ascii="Times New Roman" w:hAnsi="Times New Roman" w:cs="Times New Roman"/>
                      <w:color w:val="auto"/>
                    </w:rPr>
                  </w:pPr>
                  <w:r>
                    <w:rPr>
                      <w:rFonts w:hint="default" w:ascii="Times New Roman" w:hAnsi="Times New Roman" w:cs="Times New Roman"/>
                      <w:color w:val="auto"/>
                    </w:rPr>
                    <w:t>噪声源</w:t>
                  </w:r>
                </w:p>
              </w:tc>
              <w:tc>
                <w:tcPr>
                  <w:tcW w:w="5274" w:type="dxa"/>
                  <w:gridSpan w:val="4"/>
                  <w:tcBorders>
                    <w:top w:val="single" w:color="auto" w:sz="12" w:space="0"/>
                    <w:left w:val="single" w:color="auto" w:sz="4" w:space="0"/>
                    <w:bottom w:val="single" w:color="auto" w:sz="4" w:space="0"/>
                    <w:right w:val="nil"/>
                    <w:tl2br w:val="nil"/>
                    <w:tr2bl w:val="nil"/>
                  </w:tcBorders>
                  <w:noWrap w:val="0"/>
                  <w:vAlign w:val="center"/>
                </w:tcPr>
                <w:p w14:paraId="44B0DE97">
                  <w:pPr>
                    <w:pStyle w:val="30"/>
                    <w:bidi w:val="0"/>
                    <w:rPr>
                      <w:rFonts w:hint="default" w:ascii="Times New Roman" w:hAnsi="Times New Roman" w:cs="Times New Roman"/>
                      <w:color w:val="auto"/>
                    </w:rPr>
                  </w:pPr>
                  <w:r>
                    <w:rPr>
                      <w:rFonts w:hint="default" w:ascii="Times New Roman" w:hAnsi="Times New Roman" w:cs="Times New Roman"/>
                      <w:color w:val="auto"/>
                    </w:rPr>
                    <w:t>距离 （m）</w:t>
                  </w:r>
                </w:p>
              </w:tc>
            </w:tr>
            <w:tr w14:paraId="6E228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61" w:type="dxa"/>
                  <w:vMerge w:val="continue"/>
                  <w:tcBorders>
                    <w:top w:val="single" w:color="auto" w:sz="4" w:space="0"/>
                    <w:left w:val="nil"/>
                    <w:bottom w:val="single" w:color="auto" w:sz="4" w:space="0"/>
                    <w:right w:val="single" w:color="auto" w:sz="4" w:space="0"/>
                    <w:tl2br w:val="nil"/>
                    <w:tr2bl w:val="nil"/>
                  </w:tcBorders>
                  <w:noWrap w:val="0"/>
                  <w:vAlign w:val="center"/>
                </w:tcPr>
                <w:p w14:paraId="16A4963B">
                  <w:pPr>
                    <w:pStyle w:val="30"/>
                    <w:bidi w:val="0"/>
                    <w:rPr>
                      <w:rFonts w:hint="default" w:ascii="Times New Roman" w:hAnsi="Times New Roman" w:cs="Times New Roman"/>
                      <w:color w:val="auto"/>
                    </w:rPr>
                  </w:pP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46E6067">
                  <w:pPr>
                    <w:pStyle w:val="30"/>
                    <w:bidi w:val="0"/>
                    <w:rPr>
                      <w:rFonts w:hint="default" w:ascii="Times New Roman" w:hAnsi="Times New Roman" w:cs="Times New Roman"/>
                      <w:color w:val="auto"/>
                    </w:rPr>
                  </w:pPr>
                  <w:r>
                    <w:rPr>
                      <w:rFonts w:hint="default" w:ascii="Times New Roman" w:hAnsi="Times New Roman" w:cs="Times New Roman"/>
                      <w:color w:val="auto"/>
                    </w:rPr>
                    <w:t>东</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5CB10A">
                  <w:pPr>
                    <w:pStyle w:val="30"/>
                    <w:bidi w:val="0"/>
                    <w:rPr>
                      <w:rFonts w:hint="default" w:ascii="Times New Roman" w:hAnsi="Times New Roman" w:cs="Times New Roman"/>
                      <w:color w:val="auto"/>
                    </w:rPr>
                  </w:pPr>
                  <w:r>
                    <w:rPr>
                      <w:rFonts w:hint="default" w:ascii="Times New Roman" w:hAnsi="Times New Roman" w:cs="Times New Roman"/>
                      <w:color w:val="auto"/>
                    </w:rPr>
                    <w:t>南</w:t>
                  </w:r>
                </w:p>
              </w:tc>
              <w:tc>
                <w:tcPr>
                  <w:tcW w:w="131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B8EEFB">
                  <w:pPr>
                    <w:pStyle w:val="30"/>
                    <w:bidi w:val="0"/>
                    <w:rPr>
                      <w:rFonts w:hint="default" w:ascii="Times New Roman" w:hAnsi="Times New Roman" w:cs="Times New Roman"/>
                      <w:color w:val="auto"/>
                    </w:rPr>
                  </w:pPr>
                  <w:r>
                    <w:rPr>
                      <w:rFonts w:hint="default" w:ascii="Times New Roman" w:hAnsi="Times New Roman" w:cs="Times New Roman"/>
                      <w:color w:val="auto"/>
                    </w:rPr>
                    <w:t>西</w:t>
                  </w:r>
                </w:p>
              </w:tc>
              <w:tc>
                <w:tcPr>
                  <w:tcW w:w="1319" w:type="dxa"/>
                  <w:tcBorders>
                    <w:top w:val="single" w:color="auto" w:sz="4" w:space="0"/>
                    <w:left w:val="single" w:color="auto" w:sz="4" w:space="0"/>
                    <w:bottom w:val="single" w:color="auto" w:sz="4" w:space="0"/>
                    <w:right w:val="nil"/>
                    <w:tl2br w:val="nil"/>
                    <w:tr2bl w:val="nil"/>
                  </w:tcBorders>
                  <w:noWrap w:val="0"/>
                  <w:vAlign w:val="center"/>
                </w:tcPr>
                <w:p w14:paraId="2F991890">
                  <w:pPr>
                    <w:pStyle w:val="30"/>
                    <w:bidi w:val="0"/>
                    <w:rPr>
                      <w:rFonts w:hint="default" w:ascii="Times New Roman" w:hAnsi="Times New Roman" w:cs="Times New Roman"/>
                      <w:color w:val="auto"/>
                    </w:rPr>
                  </w:pPr>
                  <w:r>
                    <w:rPr>
                      <w:rFonts w:hint="default" w:ascii="Times New Roman" w:hAnsi="Times New Roman" w:cs="Times New Roman"/>
                      <w:color w:val="auto"/>
                    </w:rPr>
                    <w:t>北</w:t>
                  </w:r>
                </w:p>
              </w:tc>
            </w:tr>
            <w:tr w14:paraId="69E05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1" w:type="dxa"/>
                  <w:tcBorders>
                    <w:top w:val="single" w:color="auto" w:sz="4" w:space="0"/>
                    <w:left w:val="nil"/>
                    <w:bottom w:val="single" w:color="auto" w:sz="4" w:space="0"/>
                    <w:right w:val="single" w:color="auto" w:sz="4" w:space="0"/>
                    <w:tl2br w:val="nil"/>
                    <w:tr2bl w:val="nil"/>
                  </w:tcBorders>
                  <w:noWrap w:val="0"/>
                  <w:vAlign w:val="center"/>
                </w:tcPr>
                <w:p w14:paraId="36F662B2">
                  <w:pPr>
                    <w:pStyle w:val="30"/>
                    <w:bidi w:val="0"/>
                    <w:rPr>
                      <w:rFonts w:hint="default" w:ascii="Times New Roman" w:hAnsi="Times New Roman" w:cs="Times New Roman"/>
                      <w:color w:val="auto"/>
                    </w:rPr>
                  </w:pPr>
                  <w:r>
                    <w:rPr>
                      <w:rFonts w:hint="default" w:ascii="Times New Roman" w:hAnsi="Times New Roman" w:cs="Times New Roman"/>
                      <w:color w:val="auto"/>
                    </w:rPr>
                    <w:t>生产厂房</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C1BC8C">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E0B3F0">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w:t>
                  </w:r>
                </w:p>
              </w:tc>
              <w:tc>
                <w:tcPr>
                  <w:tcW w:w="131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FA661C">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w:t>
                  </w:r>
                </w:p>
              </w:tc>
              <w:tc>
                <w:tcPr>
                  <w:tcW w:w="1319" w:type="dxa"/>
                  <w:tcBorders>
                    <w:top w:val="single" w:color="auto" w:sz="4" w:space="0"/>
                    <w:left w:val="single" w:color="auto" w:sz="4" w:space="0"/>
                    <w:bottom w:val="single" w:color="auto" w:sz="4" w:space="0"/>
                    <w:right w:val="nil"/>
                    <w:tl2br w:val="nil"/>
                    <w:tr2bl w:val="nil"/>
                  </w:tcBorders>
                  <w:noWrap w:val="0"/>
                  <w:vAlign w:val="center"/>
                </w:tcPr>
                <w:p w14:paraId="4DD9D7C3">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w:t>
                  </w:r>
                </w:p>
              </w:tc>
            </w:tr>
            <w:tr w14:paraId="2A7BE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1" w:type="dxa"/>
                  <w:tcBorders>
                    <w:top w:val="single" w:color="auto" w:sz="4" w:space="0"/>
                    <w:left w:val="nil"/>
                    <w:bottom w:val="single" w:color="auto" w:sz="4" w:space="0"/>
                    <w:right w:val="single" w:color="auto" w:sz="4" w:space="0"/>
                    <w:tl2br w:val="nil"/>
                    <w:tr2bl w:val="nil"/>
                  </w:tcBorders>
                  <w:noWrap w:val="0"/>
                  <w:vAlign w:val="center"/>
                </w:tcPr>
                <w:p w14:paraId="4342DF02">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kern w:val="2"/>
                      <w:sz w:val="21"/>
                      <w:szCs w:val="24"/>
                      <w:lang w:val="en-US" w:eastAsia="zh-CN" w:bidi="ar-SA"/>
                    </w:rPr>
                    <w:t>风机</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7C7398E">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1962B0">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26</w:t>
                  </w:r>
                </w:p>
              </w:tc>
              <w:tc>
                <w:tcPr>
                  <w:tcW w:w="131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A83BC2">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45</w:t>
                  </w:r>
                </w:p>
              </w:tc>
              <w:tc>
                <w:tcPr>
                  <w:tcW w:w="1319" w:type="dxa"/>
                  <w:tcBorders>
                    <w:top w:val="single" w:color="auto" w:sz="4" w:space="0"/>
                    <w:left w:val="single" w:color="auto" w:sz="4" w:space="0"/>
                    <w:bottom w:val="single" w:color="auto" w:sz="4" w:space="0"/>
                    <w:right w:val="nil"/>
                    <w:tl2br w:val="nil"/>
                    <w:tr2bl w:val="nil"/>
                  </w:tcBorders>
                  <w:noWrap w:val="0"/>
                  <w:vAlign w:val="center"/>
                </w:tcPr>
                <w:p w14:paraId="182371EB">
                  <w:pPr>
                    <w:pStyle w:val="30"/>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15</w:t>
                  </w:r>
                </w:p>
              </w:tc>
            </w:tr>
            <w:tr w14:paraId="39B21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35" w:type="dxa"/>
                  <w:gridSpan w:val="5"/>
                  <w:tcBorders>
                    <w:top w:val="single" w:color="auto" w:sz="4" w:space="0"/>
                    <w:left w:val="nil"/>
                    <w:bottom w:val="single" w:color="auto" w:sz="12" w:space="0"/>
                    <w:right w:val="nil"/>
                    <w:tl2br w:val="nil"/>
                    <w:tr2bl w:val="nil"/>
                  </w:tcBorders>
                  <w:noWrap w:val="0"/>
                  <w:vAlign w:val="top"/>
                </w:tcPr>
                <w:p w14:paraId="29E971B4">
                  <w:pPr>
                    <w:pStyle w:val="30"/>
                    <w:bidi w:val="0"/>
                    <w:jc w:val="both"/>
                    <w:rPr>
                      <w:rFonts w:hint="default" w:ascii="Times New Roman" w:hAnsi="Times New Roman" w:cs="Times New Roman"/>
                      <w:color w:val="auto"/>
                    </w:rPr>
                  </w:pPr>
                  <w:r>
                    <w:rPr>
                      <w:rFonts w:hint="default" w:ascii="Times New Roman" w:hAnsi="Times New Roman" w:cs="Times New Roman"/>
                      <w:color w:val="auto"/>
                    </w:rPr>
                    <w:t>备注1：距厂界距离按生产厂房</w:t>
                  </w:r>
                  <w:r>
                    <w:rPr>
                      <w:rFonts w:hint="eastAsia" w:ascii="Times New Roman" w:hAnsi="Times New Roman" w:cs="Times New Roman"/>
                      <w:color w:val="auto"/>
                      <w:lang w:val="en-US" w:eastAsia="zh-CN"/>
                    </w:rPr>
                    <w:t>、空压机、废气处理设施配套风机</w:t>
                  </w:r>
                  <w:r>
                    <w:rPr>
                      <w:rFonts w:hint="default" w:ascii="Times New Roman" w:hAnsi="Times New Roman" w:cs="Times New Roman"/>
                      <w:color w:val="auto"/>
                    </w:rPr>
                    <w:t>距厂界最近距离计；</w:t>
                  </w:r>
                </w:p>
                <w:p w14:paraId="1AD67BD8">
                  <w:pPr>
                    <w:pStyle w:val="30"/>
                    <w:bidi w:val="0"/>
                    <w:jc w:val="both"/>
                    <w:rPr>
                      <w:rFonts w:hint="default" w:ascii="Times New Roman" w:hAnsi="Times New Roman" w:cs="Times New Roman"/>
                      <w:color w:val="auto"/>
                    </w:rPr>
                  </w:pPr>
                  <w:r>
                    <w:rPr>
                      <w:rFonts w:hint="default" w:ascii="Times New Roman" w:hAnsi="Times New Roman" w:cs="Times New Roman"/>
                      <w:color w:val="auto"/>
                    </w:rPr>
                    <w:t>备注2：叠加源强为生产厂房外距离 1 m处各噪声源叠加计算值。</w:t>
                  </w:r>
                </w:p>
              </w:tc>
            </w:tr>
          </w:tbl>
          <w:p w14:paraId="73E2D64F">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（3）预测结果</w:t>
            </w:r>
          </w:p>
          <w:p w14:paraId="6A381133">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本项目日工作</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h，夜间不工作，故只预测昼间噪声情况。详情见表4-1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w:t>
            </w:r>
          </w:p>
          <w:p w14:paraId="17ADA981">
            <w:pPr>
              <w:pStyle w:val="31"/>
              <w:bidi w:val="0"/>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表4-1</w:t>
            </w:r>
            <w:r>
              <w:rPr>
                <w:rFonts w:hint="eastAsia" w:ascii="Times New Roman" w:hAnsi="Times New Roman" w:cs="Times New Roman"/>
                <w:color w:val="000000" w:themeColor="text1"/>
                <w:u w:val="single"/>
                <w:lang w:val="en-US" w:eastAsia="zh-CN"/>
                <w14:textFill>
                  <w14:solidFill>
                    <w14:schemeClr w14:val="tx1"/>
                  </w14:solidFill>
                </w14:textFill>
              </w:rPr>
              <w:t>5</w:t>
            </w:r>
            <w:r>
              <w:rPr>
                <w:rFonts w:hint="default" w:ascii="Times New Roman" w:hAnsi="Times New Roman" w:cs="Times New Roman"/>
                <w:color w:val="000000" w:themeColor="text1"/>
                <w:u w:val="single"/>
                <w:lang w:val="en-US" w:eastAsia="zh-CN"/>
                <w14:textFill>
                  <w14:solidFill>
                    <w14:schemeClr w14:val="tx1"/>
                  </w14:solidFill>
                </w14:textFill>
              </w:rPr>
              <w:t xml:space="preserve">  噪声昼间预测结果 单位：dB（A）</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583"/>
              <w:gridCol w:w="1589"/>
              <w:gridCol w:w="1589"/>
              <w:gridCol w:w="1589"/>
              <w:gridCol w:w="1593"/>
            </w:tblGrid>
            <w:tr w14:paraId="3A0D0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996" w:type="pct"/>
                  <w:tcBorders>
                    <w:tl2br w:val="nil"/>
                    <w:tr2bl w:val="nil"/>
                  </w:tcBorders>
                  <w:noWrap w:val="0"/>
                  <w:vAlign w:val="center"/>
                </w:tcPr>
                <w:p w14:paraId="3901F611">
                  <w:pPr>
                    <w:pStyle w:val="30"/>
                    <w:bidi w:val="0"/>
                    <w:jc w:val="center"/>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厂界方位</w:t>
                  </w:r>
                </w:p>
              </w:tc>
              <w:tc>
                <w:tcPr>
                  <w:tcW w:w="1000" w:type="pct"/>
                  <w:tcBorders>
                    <w:tl2br w:val="nil"/>
                    <w:tr2bl w:val="nil"/>
                  </w:tcBorders>
                  <w:noWrap w:val="0"/>
                  <w:vAlign w:val="center"/>
                </w:tcPr>
                <w:p w14:paraId="4280AE9A">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东</w:t>
                  </w:r>
                </w:p>
              </w:tc>
              <w:tc>
                <w:tcPr>
                  <w:tcW w:w="1000" w:type="pct"/>
                  <w:tcBorders>
                    <w:tl2br w:val="nil"/>
                    <w:tr2bl w:val="nil"/>
                  </w:tcBorders>
                  <w:noWrap w:val="0"/>
                  <w:vAlign w:val="center"/>
                </w:tcPr>
                <w:p w14:paraId="6021BFCF">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南</w:t>
                  </w:r>
                </w:p>
              </w:tc>
              <w:tc>
                <w:tcPr>
                  <w:tcW w:w="1000" w:type="pct"/>
                  <w:tcBorders>
                    <w:tl2br w:val="nil"/>
                    <w:tr2bl w:val="nil"/>
                  </w:tcBorders>
                  <w:noWrap w:val="0"/>
                  <w:vAlign w:val="center"/>
                </w:tcPr>
                <w:p w14:paraId="22CC265F">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西</w:t>
                  </w:r>
                </w:p>
              </w:tc>
              <w:tc>
                <w:tcPr>
                  <w:tcW w:w="1002" w:type="pct"/>
                  <w:tcBorders>
                    <w:tl2br w:val="nil"/>
                    <w:tr2bl w:val="nil"/>
                  </w:tcBorders>
                  <w:noWrap w:val="0"/>
                  <w:vAlign w:val="center"/>
                </w:tcPr>
                <w:p w14:paraId="6581E5CA">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北</w:t>
                  </w:r>
                </w:p>
              </w:tc>
            </w:tr>
            <w:tr w14:paraId="5C746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996" w:type="pct"/>
                  <w:tcBorders>
                    <w:tl2br w:val="nil"/>
                    <w:tr2bl w:val="nil"/>
                  </w:tcBorders>
                  <w:noWrap w:val="0"/>
                  <w:vAlign w:val="center"/>
                </w:tcPr>
                <w:p w14:paraId="1B600AB1">
                  <w:pPr>
                    <w:pStyle w:val="30"/>
                    <w:spacing w:beforeLines="0" w:afterLines="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贡献值</w:t>
                  </w:r>
                </w:p>
              </w:tc>
              <w:tc>
                <w:tcPr>
                  <w:tcW w:w="1000" w:type="pct"/>
                  <w:tcBorders>
                    <w:tl2br w:val="nil"/>
                    <w:tr2bl w:val="nil"/>
                  </w:tcBorders>
                  <w:noWrap w:val="0"/>
                  <w:vAlign w:val="center"/>
                </w:tcPr>
                <w:p w14:paraId="623180A5">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61.22</w:t>
                  </w:r>
                </w:p>
              </w:tc>
              <w:tc>
                <w:tcPr>
                  <w:tcW w:w="1000" w:type="pct"/>
                  <w:tcBorders>
                    <w:tl2br w:val="nil"/>
                    <w:tr2bl w:val="nil"/>
                  </w:tcBorders>
                  <w:noWrap w:val="0"/>
                  <w:vAlign w:val="center"/>
                </w:tcPr>
                <w:p w14:paraId="20EBF404">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49.66</w:t>
                  </w:r>
                </w:p>
              </w:tc>
              <w:tc>
                <w:tcPr>
                  <w:tcW w:w="1000" w:type="pct"/>
                  <w:tcBorders>
                    <w:tl2br w:val="nil"/>
                    <w:tr2bl w:val="nil"/>
                  </w:tcBorders>
                  <w:noWrap w:val="0"/>
                  <w:vAlign w:val="center"/>
                </w:tcPr>
                <w:p w14:paraId="73A9FAC8">
                  <w:pPr>
                    <w:pStyle w:val="30"/>
                    <w:bidi w:val="0"/>
                    <w:jc w:val="center"/>
                    <w:rPr>
                      <w:rFonts w:hint="default" w:ascii="Times New Roman" w:hAnsi="Times New Roman" w:cs="Times New Roman"/>
                      <w:color w:val="000000" w:themeColor="text1"/>
                      <w:u w:val="single"/>
                      <w:lang w:val="en-US"/>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47.96</w:t>
                  </w:r>
                </w:p>
              </w:tc>
              <w:tc>
                <w:tcPr>
                  <w:tcW w:w="1002" w:type="pct"/>
                  <w:tcBorders>
                    <w:tl2br w:val="nil"/>
                    <w:tr2bl w:val="nil"/>
                  </w:tcBorders>
                  <w:noWrap w:val="0"/>
                  <w:vAlign w:val="center"/>
                </w:tcPr>
                <w:p w14:paraId="59692A66">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58.65</w:t>
                  </w:r>
                </w:p>
              </w:tc>
            </w:tr>
            <w:tr w14:paraId="57DCC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996" w:type="pct"/>
                  <w:tcBorders>
                    <w:tl2br w:val="nil"/>
                    <w:tr2bl w:val="nil"/>
                  </w:tcBorders>
                  <w:noWrap w:val="0"/>
                  <w:vAlign w:val="center"/>
                </w:tcPr>
                <w:p w14:paraId="6D4CB635">
                  <w:pPr>
                    <w:pStyle w:val="30"/>
                    <w:spacing w:beforeLines="0" w:afterLines="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标准限值</w:t>
                  </w:r>
                </w:p>
              </w:tc>
              <w:tc>
                <w:tcPr>
                  <w:tcW w:w="1000" w:type="pct"/>
                  <w:tcBorders>
                    <w:tl2br w:val="nil"/>
                    <w:tr2bl w:val="nil"/>
                  </w:tcBorders>
                  <w:noWrap w:val="0"/>
                  <w:vAlign w:val="center"/>
                </w:tcPr>
                <w:p w14:paraId="2B4C2ABE">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65</w:t>
                  </w:r>
                </w:p>
              </w:tc>
              <w:tc>
                <w:tcPr>
                  <w:tcW w:w="1000" w:type="pct"/>
                  <w:tcBorders>
                    <w:tl2br w:val="nil"/>
                    <w:tr2bl w:val="nil"/>
                  </w:tcBorders>
                  <w:noWrap w:val="0"/>
                  <w:vAlign w:val="center"/>
                </w:tcPr>
                <w:p w14:paraId="4A8BA392">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65</w:t>
                  </w:r>
                </w:p>
              </w:tc>
              <w:tc>
                <w:tcPr>
                  <w:tcW w:w="1000" w:type="pct"/>
                  <w:tcBorders>
                    <w:tl2br w:val="nil"/>
                    <w:tr2bl w:val="nil"/>
                  </w:tcBorders>
                  <w:noWrap w:val="0"/>
                  <w:vAlign w:val="center"/>
                </w:tcPr>
                <w:p w14:paraId="1D88061B">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65</w:t>
                  </w:r>
                </w:p>
              </w:tc>
              <w:tc>
                <w:tcPr>
                  <w:tcW w:w="1002" w:type="pct"/>
                  <w:tcBorders>
                    <w:tl2br w:val="nil"/>
                    <w:tr2bl w:val="nil"/>
                  </w:tcBorders>
                  <w:noWrap w:val="0"/>
                  <w:vAlign w:val="center"/>
                </w:tcPr>
                <w:p w14:paraId="283D72FB">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65</w:t>
                  </w:r>
                </w:p>
              </w:tc>
            </w:tr>
            <w:tr w14:paraId="0D785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996" w:type="pct"/>
                  <w:tcBorders>
                    <w:tl2br w:val="nil"/>
                    <w:tr2bl w:val="nil"/>
                  </w:tcBorders>
                  <w:noWrap w:val="0"/>
                  <w:vAlign w:val="center"/>
                </w:tcPr>
                <w:p w14:paraId="4AA66F4D">
                  <w:pPr>
                    <w:pStyle w:val="30"/>
                    <w:spacing w:beforeLines="0" w:afterLines="0"/>
                    <w:ind w:firstLine="0" w:firstLineChars="0"/>
                    <w:rPr>
                      <w:rFonts w:hint="default" w:ascii="Times New Roman" w:hAnsi="Times New Roman" w:eastAsia="宋体" w:cs="Times New Roman"/>
                      <w:color w:val="000000" w:themeColor="text1"/>
                      <w:kern w:val="2"/>
                      <w:sz w:val="21"/>
                      <w:szCs w:val="24"/>
                      <w:u w:val="single"/>
                      <w:lang w:val="en-US" w:eastAsia="zh-CN" w:bidi="ar-SA"/>
                      <w14:textFill>
                        <w14:solidFill>
                          <w14:schemeClr w14:val="tx1"/>
                        </w14:solidFill>
                      </w14:textFill>
                    </w:rPr>
                  </w:pPr>
                  <w:r>
                    <w:rPr>
                      <w:rFonts w:hint="default" w:ascii="Times New Roman" w:hAnsi="Times New Roman" w:cs="Times New Roman"/>
                      <w:color w:val="000000" w:themeColor="text1"/>
                      <w:sz w:val="21"/>
                      <w:szCs w:val="24"/>
                      <w:u w:val="single"/>
                      <w14:textFill>
                        <w14:solidFill>
                          <w14:schemeClr w14:val="tx1"/>
                        </w14:solidFill>
                      </w14:textFill>
                    </w:rPr>
                    <w:t>是否达标</w:t>
                  </w:r>
                </w:p>
              </w:tc>
              <w:tc>
                <w:tcPr>
                  <w:tcW w:w="1000" w:type="pct"/>
                  <w:tcBorders>
                    <w:tl2br w:val="nil"/>
                    <w:tr2bl w:val="nil"/>
                  </w:tcBorders>
                  <w:noWrap w:val="0"/>
                  <w:vAlign w:val="center"/>
                </w:tcPr>
                <w:p w14:paraId="599AA11D">
                  <w:pPr>
                    <w:pStyle w:val="30"/>
                    <w:bidi w:val="0"/>
                    <w:jc w:val="center"/>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达标</w:t>
                  </w:r>
                </w:p>
              </w:tc>
              <w:tc>
                <w:tcPr>
                  <w:tcW w:w="1000" w:type="pct"/>
                  <w:tcBorders>
                    <w:tl2br w:val="nil"/>
                    <w:tr2bl w:val="nil"/>
                  </w:tcBorders>
                  <w:noWrap w:val="0"/>
                  <w:vAlign w:val="center"/>
                </w:tcPr>
                <w:p w14:paraId="4D5F5B90">
                  <w:pPr>
                    <w:pStyle w:val="30"/>
                    <w:bidi w:val="0"/>
                    <w:jc w:val="center"/>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达标</w:t>
                  </w:r>
                </w:p>
              </w:tc>
              <w:tc>
                <w:tcPr>
                  <w:tcW w:w="1000" w:type="pct"/>
                  <w:tcBorders>
                    <w:tl2br w:val="nil"/>
                    <w:tr2bl w:val="nil"/>
                  </w:tcBorders>
                  <w:noWrap w:val="0"/>
                  <w:vAlign w:val="center"/>
                </w:tcPr>
                <w:p w14:paraId="4742B3CA">
                  <w:pPr>
                    <w:pStyle w:val="30"/>
                    <w:bidi w:val="0"/>
                    <w:jc w:val="center"/>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达标</w:t>
                  </w:r>
                </w:p>
              </w:tc>
              <w:tc>
                <w:tcPr>
                  <w:tcW w:w="1002" w:type="pct"/>
                  <w:tcBorders>
                    <w:tl2br w:val="nil"/>
                    <w:tr2bl w:val="nil"/>
                  </w:tcBorders>
                  <w:noWrap w:val="0"/>
                  <w:vAlign w:val="center"/>
                </w:tcPr>
                <w:p w14:paraId="56107248">
                  <w:pPr>
                    <w:pStyle w:val="30"/>
                    <w:bidi w:val="0"/>
                    <w:jc w:val="center"/>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达标</w:t>
                  </w:r>
                </w:p>
              </w:tc>
            </w:tr>
            <w:tr w14:paraId="4070E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5000" w:type="pct"/>
                  <w:gridSpan w:val="5"/>
                  <w:tcBorders>
                    <w:tl2br w:val="nil"/>
                    <w:tr2bl w:val="nil"/>
                  </w:tcBorders>
                  <w:noWrap w:val="0"/>
                  <w:vAlign w:val="center"/>
                </w:tcPr>
                <w:p w14:paraId="24A9078F">
                  <w:pPr>
                    <w:pStyle w:val="30"/>
                    <w:bidi w:val="0"/>
                    <w:jc w:val="center"/>
                    <w:rPr>
                      <w:rFonts w:hint="default" w:ascii="Times New Roman" w:hAnsi="Times New Roman" w:eastAsia="宋体" w:cs="Times New Roman"/>
                      <w:color w:val="000000" w:themeColor="text1"/>
                      <w:u w:val="single"/>
                      <w:lang w:eastAsia="zh-CN"/>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厂界执行《工业企业厂界环境噪声排放标准》(GB12348-2008)表1中</w:t>
                  </w:r>
                  <w:r>
                    <w:rPr>
                      <w:rFonts w:hint="default" w:ascii="Times New Roman" w:hAnsi="Times New Roman" w:cs="Times New Roman"/>
                      <w:color w:val="000000" w:themeColor="text1"/>
                      <w:u w:val="single"/>
                      <w:lang w:val="en-US" w:eastAsia="zh-CN"/>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类声环境功能区标准</w:t>
                  </w:r>
                  <w:r>
                    <w:rPr>
                      <w:rFonts w:hint="default" w:ascii="Times New Roman" w:hAnsi="Times New Roman" w:cs="Times New Roman"/>
                      <w:color w:val="000000" w:themeColor="text1"/>
                      <w:u w:val="single"/>
                      <w:lang w:eastAsia="zh-CN"/>
                      <w14:textFill>
                        <w14:solidFill>
                          <w14:schemeClr w14:val="tx1"/>
                        </w14:solidFill>
                      </w14:textFill>
                    </w:rPr>
                    <w:t>。</w:t>
                  </w:r>
                </w:p>
              </w:tc>
            </w:tr>
          </w:tbl>
          <w:p w14:paraId="7DE38813">
            <w:pPr>
              <w:pStyle w:val="29"/>
              <w:bidi w:val="0"/>
              <w:rPr>
                <w:rFonts w:hint="eastAsia" w:ascii="Times New Roman" w:hAnsi="Times New Roman"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根据上述内容可知，本项目运营期间，昼间厂界噪声排放符合《工业企业厂界环境噪声排放标准》(GB12348-2008)表1中</w:t>
            </w:r>
            <w:r>
              <w:rPr>
                <w:rFonts w:hint="eastAsia" w:ascii="Times New Roman" w:hAnsi="Times New Roman" w:cs="Times New Roman"/>
                <w:color w:val="000000" w:themeColor="text1"/>
                <w:u w:val="single"/>
                <w:lang w:val="en-US" w:eastAsia="zh-CN"/>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类声环境功能区标准（昼间≤6</w:t>
            </w:r>
            <w:r>
              <w:rPr>
                <w:rFonts w:hint="eastAsia" w:ascii="Times New Roman" w:hAnsi="Times New Roman" w:cs="Times New Roman"/>
                <w:color w:val="000000" w:themeColor="text1"/>
                <w:u w:val="single"/>
                <w:lang w:val="en-US" w:eastAsia="zh-CN"/>
                <w14:textFill>
                  <w14:solidFill>
                    <w14:schemeClr w14:val="tx1"/>
                  </w14:solidFill>
                </w14:textFill>
              </w:rPr>
              <w:t>5</w:t>
            </w:r>
            <w:r>
              <w:rPr>
                <w:rFonts w:hint="default" w:ascii="Times New Roman" w:hAnsi="Times New Roman" w:cs="Times New Roman"/>
                <w:color w:val="000000" w:themeColor="text1"/>
                <w:u w:val="single"/>
                <w14:textFill>
                  <w14:solidFill>
                    <w14:schemeClr w14:val="tx1"/>
                  </w14:solidFill>
                </w14:textFill>
              </w:rPr>
              <w:t>dB（A））</w:t>
            </w:r>
            <w:r>
              <w:rPr>
                <w:rFonts w:hint="eastAsia" w:ascii="Times New Roman" w:hAnsi="Times New Roman" w:cs="Times New Roman"/>
                <w:color w:val="000000" w:themeColor="text1"/>
                <w:u w:val="single"/>
                <w:lang w:eastAsia="zh-CN"/>
                <w14:textFill>
                  <w14:solidFill>
                    <w14:schemeClr w14:val="tx1"/>
                  </w14:solidFill>
                </w14:textFill>
              </w:rPr>
              <w:t>。</w:t>
            </w:r>
          </w:p>
          <w:p w14:paraId="7A18E528">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综上所述，项目运营期间，昼间不会对项目所在区域声环境造成影响（企业夜间不生产）。</w:t>
            </w:r>
          </w:p>
          <w:p w14:paraId="205CBC3F">
            <w:pPr>
              <w:widowControl w:val="0"/>
              <w:bidi w:val="0"/>
              <w:adjustRightInd/>
              <w:snapToGrid/>
              <w:spacing w:after="2" w:line="360" w:lineRule="auto"/>
              <w:ind w:firstLine="482" w:firstLineChars="200"/>
              <w:jc w:val="both"/>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2"/>
                <w:highlight w:val="none"/>
                <w:lang w:val="en-US" w:eastAsia="zh-CN" w:bidi="ar-SA"/>
                <w14:textFill>
                  <w14:solidFill>
                    <w14:schemeClr w14:val="tx1"/>
                  </w14:solidFill>
                </w14:textFill>
              </w:rPr>
              <w:t xml:space="preserve">3.3 噪声防治措施及管理要求 </w:t>
            </w:r>
          </w:p>
          <w:p w14:paraId="3F5DC62A">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（1）优化产噪设施布局和物流运输路线，优先采用低噪声设备和运输工具；</w:t>
            </w:r>
          </w:p>
          <w:p w14:paraId="79E8CFEC">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（2）定期检查产噪设施活动机构（如铰链、锁扣等）和密封机构（材料）的磨损情况等，及时保养、更换。</w:t>
            </w:r>
          </w:p>
          <w:p w14:paraId="1145AD29">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（3）针对大型产噪设施制定检修计划；</w:t>
            </w:r>
          </w:p>
          <w:p w14:paraId="23D5E121">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（4）对噪声污染大的设备，如废气处理风机等，需配置减振装置，添加隔声罩；</w:t>
            </w:r>
          </w:p>
          <w:p w14:paraId="35F1CE9C">
            <w:pPr>
              <w:widowControl w:val="0"/>
              <w:bidi w:val="0"/>
              <w:adjustRightInd/>
              <w:snapToGrid/>
              <w:spacing w:after="2" w:line="360" w:lineRule="auto"/>
              <w:ind w:firstLine="480" w:firstLineChars="200"/>
              <w:jc w:val="both"/>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（5）在噪声传播途径上采取措施加以控制，如强噪声源所在位置的建筑围护结构建议以封闭为主，同时利用建筑物阻隔声音的传播；</w:t>
            </w:r>
          </w:p>
          <w:p w14:paraId="1B7201FE">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3.</w:t>
            </w:r>
            <w:r>
              <w:rPr>
                <w:rFonts w:hint="eastAsia" w:ascii="Times New Roman" w:hAnsi="Times New Roman" w:cs="Times New Roman"/>
                <w:b/>
                <w:bCs/>
                <w:color w:val="000000" w:themeColor="text1"/>
                <w:lang w:val="en-US" w:eastAsia="zh-CN"/>
                <w14:textFill>
                  <w14:solidFill>
                    <w14:schemeClr w14:val="tx1"/>
                  </w14:solidFill>
                </w14:textFill>
              </w:rPr>
              <w:t>4</w:t>
            </w:r>
            <w:r>
              <w:rPr>
                <w:rFonts w:hint="default" w:ascii="Times New Roman" w:hAnsi="Times New Roman" w:cs="Times New Roman"/>
                <w:b/>
                <w:bCs/>
                <w:color w:val="000000" w:themeColor="text1"/>
                <w14:textFill>
                  <w14:solidFill>
                    <w14:schemeClr w14:val="tx1"/>
                  </w14:solidFill>
                </w14:textFill>
              </w:rPr>
              <w:t xml:space="preserve"> 噪声监测计划</w:t>
            </w:r>
          </w:p>
          <w:p w14:paraId="3508CD61">
            <w:pPr>
              <w:pStyle w:val="29"/>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根据</w:t>
            </w:r>
            <w:r>
              <w:rPr>
                <w:rFonts w:hint="default" w:ascii="Times New Roman" w:hAnsi="Times New Roman" w:cs="Times New Roman"/>
                <w:color w:val="000000" w:themeColor="text1"/>
                <w:u w:val="single"/>
                <w14:textFill>
                  <w14:solidFill>
                    <w14:schemeClr w14:val="tx1"/>
                  </w14:solidFill>
                </w14:textFill>
              </w:rPr>
              <w:t xml:space="preserve">《排污许可证申请与核发技术规范 </w:t>
            </w:r>
            <w:r>
              <w:rPr>
                <w:rFonts w:hint="eastAsia"/>
                <w:u w:val="single"/>
                <w:lang w:val="en-US" w:eastAsia="zh-CN"/>
              </w:rPr>
              <w:t>工业噪声</w:t>
            </w:r>
            <w:r>
              <w:rPr>
                <w:rFonts w:hint="default" w:ascii="Times New Roman" w:hAnsi="Times New Roman" w:cs="Times New Roman"/>
                <w:color w:val="000000" w:themeColor="text1"/>
                <w:u w:val="single"/>
                <w14:textFill>
                  <w14:solidFill>
                    <w14:schemeClr w14:val="tx1"/>
                  </w14:solidFill>
                </w14:textFill>
              </w:rPr>
              <w:t xml:space="preserve">》（HJ </w:t>
            </w:r>
            <w:r>
              <w:rPr>
                <w:rFonts w:hint="eastAsia" w:ascii="Times New Roman" w:hAnsi="Times New Roman" w:cs="Times New Roman"/>
                <w:color w:val="000000" w:themeColor="text1"/>
                <w:u w:val="single"/>
                <w:lang w:val="en-US" w:eastAsia="zh-CN"/>
                <w14:textFill>
                  <w14:solidFill>
                    <w14:schemeClr w14:val="tx1"/>
                  </w14:solidFill>
                </w14:textFill>
              </w:rPr>
              <w:t>1301</w:t>
            </w:r>
            <w:r>
              <w:rPr>
                <w:rFonts w:hint="default" w:ascii="Times New Roman" w:hAnsi="Times New Roman" w:cs="Times New Roman"/>
                <w:color w:val="000000" w:themeColor="text1"/>
                <w:u w:val="single"/>
                <w14:textFill>
                  <w14:solidFill>
                    <w14:schemeClr w14:val="tx1"/>
                  </w14:solidFill>
                </w14:textFill>
              </w:rPr>
              <w:t>-20</w:t>
            </w:r>
            <w:r>
              <w:rPr>
                <w:rFonts w:hint="eastAsia" w:ascii="Times New Roman" w:hAnsi="Times New Roman" w:cs="Times New Roman"/>
                <w:color w:val="000000" w:themeColor="text1"/>
                <w:u w:val="single"/>
                <w:lang w:val="en-US" w:eastAsia="zh-CN"/>
                <w14:textFill>
                  <w14:solidFill>
                    <w14:schemeClr w14:val="tx1"/>
                  </w14:solidFill>
                </w14:textFill>
              </w:rPr>
              <w:t>23</w:t>
            </w:r>
            <w:r>
              <w:rPr>
                <w:rFonts w:hint="default" w:ascii="Times New Roman" w:hAnsi="Times New Roman" w:cs="Times New Roman"/>
                <w:color w:val="000000" w:themeColor="text1"/>
                <w:u w:val="single"/>
                <w14:textFill>
                  <w14:solidFill>
                    <w14:schemeClr w14:val="tx1"/>
                  </w14:solidFill>
                </w14:textFill>
              </w:rPr>
              <w:t>）</w:t>
            </w:r>
            <w:r>
              <w:rPr>
                <w:rFonts w:hint="eastAsia" w:ascii="Times New Roman" w:hAnsi="Times New Roman" w:cs="Times New Roman"/>
                <w:color w:val="000000" w:themeColor="text1"/>
                <w:u w:val="single"/>
                <w:lang w:val="en-US" w:eastAsia="zh-CN"/>
                <w14:textFill>
                  <w14:solidFill>
                    <w14:schemeClr w14:val="tx1"/>
                  </w14:solidFill>
                </w14:textFill>
              </w:rPr>
              <w:t>等</w:t>
            </w:r>
            <w:r>
              <w:rPr>
                <w:rFonts w:hint="eastAsia" w:ascii="Times New Roman" w:hAnsi="Times New Roman" w:cs="Times New Roman"/>
                <w:color w:val="000000" w:themeColor="text1"/>
                <w:lang w:val="en-US" w:eastAsia="zh-CN"/>
                <w14:textFill>
                  <w14:solidFill>
                    <w14:schemeClr w14:val="tx1"/>
                  </w14:solidFill>
                </w14:textFill>
              </w:rPr>
              <w:t>相关规范</w:t>
            </w:r>
            <w:r>
              <w:rPr>
                <w:rFonts w:hint="default" w:ascii="Times New Roman" w:hAnsi="Times New Roman" w:cs="Times New Roman"/>
                <w:color w:val="000000" w:themeColor="text1"/>
                <w14:textFill>
                  <w14:solidFill>
                    <w14:schemeClr w14:val="tx1"/>
                  </w14:solidFill>
                </w14:textFill>
              </w:rPr>
              <w:t>内容，</w:t>
            </w:r>
            <w:r>
              <w:rPr>
                <w:rFonts w:hint="eastAsia" w:ascii="Times New Roman" w:hAnsi="Times New Roman" w:cs="Times New Roman"/>
                <w:color w:val="000000" w:themeColor="text1"/>
                <w:lang w:val="en-US" w:eastAsia="zh-CN"/>
                <w14:textFill>
                  <w14:solidFill>
                    <w14:schemeClr w14:val="tx1"/>
                  </w14:solidFill>
                </w14:textFill>
              </w:rPr>
              <w:t>本项目运营期噪声监测计划见表4-16。</w:t>
            </w:r>
          </w:p>
          <w:p w14:paraId="14AD5C8F">
            <w:pPr>
              <w:pStyle w:val="31"/>
              <w:bidi w:val="0"/>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表4-1</w:t>
            </w:r>
            <w:r>
              <w:rPr>
                <w:rFonts w:hint="eastAsia" w:ascii="Times New Roman" w:hAnsi="Times New Roman" w:cs="Times New Roman"/>
                <w:color w:val="000000" w:themeColor="text1"/>
                <w:lang w:val="en-US" w:eastAsia="zh-CN"/>
                <w14:textFill>
                  <w14:solidFill>
                    <w14:schemeClr w14:val="tx1"/>
                  </w14:solidFill>
                </w14:textFill>
              </w:rPr>
              <w:t>6</w:t>
            </w:r>
            <w:r>
              <w:rPr>
                <w:rFonts w:hint="default" w:ascii="Times New Roman" w:hAnsi="Times New Roman" w:cs="Times New Roman"/>
                <w:color w:val="000000" w:themeColor="text1"/>
                <w:lang w:val="en-US" w:eastAsia="zh-CN"/>
                <w14:textFill>
                  <w14:solidFill>
                    <w14:schemeClr w14:val="tx1"/>
                  </w14:solidFill>
                </w14:textFill>
              </w:rPr>
              <w:t xml:space="preserve">  运营期噪声监测计划</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2187"/>
              <w:gridCol w:w="1099"/>
              <w:gridCol w:w="1689"/>
              <w:gridCol w:w="2208"/>
            </w:tblGrid>
            <w:tr w14:paraId="4E87B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tcBorders>
                    <w:top w:val="single" w:color="auto" w:sz="12" w:space="0"/>
                    <w:left w:val="nil"/>
                    <w:bottom w:val="single" w:color="auto" w:sz="4" w:space="0"/>
                    <w:right w:val="single" w:color="auto" w:sz="4" w:space="0"/>
                    <w:tl2br w:val="nil"/>
                    <w:tr2bl w:val="nil"/>
                  </w:tcBorders>
                  <w:noWrap w:val="0"/>
                  <w:vAlign w:val="center"/>
                </w:tcPr>
                <w:p w14:paraId="5CF31AC2">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类别</w:t>
                  </w:r>
                </w:p>
              </w:tc>
              <w:tc>
                <w:tcPr>
                  <w:tcW w:w="218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F2EB5D4">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监测点位</w:t>
                  </w:r>
                </w:p>
              </w:tc>
              <w:tc>
                <w:tcPr>
                  <w:tcW w:w="1099"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7FA455FC">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监测指标</w:t>
                  </w:r>
                </w:p>
              </w:tc>
              <w:tc>
                <w:tcPr>
                  <w:tcW w:w="1689"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763D39F9">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监测频次</w:t>
                  </w:r>
                </w:p>
              </w:tc>
              <w:tc>
                <w:tcPr>
                  <w:tcW w:w="2208" w:type="dxa"/>
                  <w:tcBorders>
                    <w:top w:val="single" w:color="auto" w:sz="12" w:space="0"/>
                    <w:left w:val="single" w:color="auto" w:sz="4" w:space="0"/>
                    <w:bottom w:val="single" w:color="auto" w:sz="4" w:space="0"/>
                    <w:right w:val="nil"/>
                    <w:tl2br w:val="nil"/>
                    <w:tr2bl w:val="nil"/>
                  </w:tcBorders>
                  <w:noWrap w:val="0"/>
                  <w:vAlign w:val="center"/>
                </w:tcPr>
                <w:p w14:paraId="130A1425">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标准限值</w:t>
                  </w:r>
                </w:p>
              </w:tc>
            </w:tr>
            <w:tr w14:paraId="1A1E0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tcBorders>
                    <w:top w:val="single" w:color="auto" w:sz="4" w:space="0"/>
                    <w:left w:val="nil"/>
                    <w:bottom w:val="single" w:color="auto" w:sz="4" w:space="0"/>
                    <w:right w:val="single" w:color="auto" w:sz="4" w:space="0"/>
                    <w:tl2br w:val="nil"/>
                    <w:tr2bl w:val="nil"/>
                  </w:tcBorders>
                  <w:noWrap w:val="0"/>
                  <w:vAlign w:val="center"/>
                </w:tcPr>
                <w:p w14:paraId="0B21785F">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噪声</w:t>
                  </w:r>
                </w:p>
              </w:tc>
              <w:tc>
                <w:tcPr>
                  <w:tcW w:w="218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5905F8">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厂界东、南、西、北</w:t>
                  </w:r>
                </w:p>
              </w:tc>
              <w:tc>
                <w:tcPr>
                  <w:tcW w:w="109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7A6061">
                  <w:pPr>
                    <w:pStyle w:val="30"/>
                    <w:spacing w:beforeLines="0" w:afterLines="0"/>
                    <w:rPr>
                      <w:rFonts w:hint="default" w:ascii="Times New Roman" w:hAnsi="Times New Roman" w:eastAsia="宋体" w:cs="Times New Roman"/>
                      <w:color w:val="000000" w:themeColor="text1"/>
                      <w:sz w:val="21"/>
                      <w:szCs w:val="24"/>
                      <w:lang w:val="en-US" w:eastAsia="zh-CN"/>
                      <w14:textFill>
                        <w14:solidFill>
                          <w14:schemeClr w14:val="tx1"/>
                        </w14:solidFill>
                      </w14:textFill>
                    </w:rPr>
                  </w:pPr>
                  <w:r>
                    <w:rPr>
                      <w:rFonts w:hint="eastAsia" w:ascii="Times New Roman" w:hAnsi="Times New Roman" w:cs="Times New Roman"/>
                      <w:color w:val="000000" w:themeColor="text1"/>
                      <w:sz w:val="21"/>
                      <w:szCs w:val="24"/>
                      <w:lang w:val="en-US" w:eastAsia="zh-CN"/>
                      <w14:textFill>
                        <w14:solidFill>
                          <w14:schemeClr w14:val="tx1"/>
                        </w14:solidFill>
                      </w14:textFill>
                    </w:rPr>
                    <w:t>Leq</w:t>
                  </w:r>
                </w:p>
              </w:tc>
              <w:tc>
                <w:tcPr>
                  <w:tcW w:w="168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0BABE5">
                  <w:pPr>
                    <w:pStyle w:val="30"/>
                    <w:spacing w:beforeLines="0" w:afterLines="0"/>
                    <w:rPr>
                      <w:rFonts w:hint="default" w:ascii="Times New Roman" w:hAnsi="Times New Roman" w:eastAsia="宋体" w:cs="Times New Roman"/>
                      <w:color w:val="000000" w:themeColor="text1"/>
                      <w:sz w:val="21"/>
                      <w:szCs w:val="24"/>
                      <w:lang w:val="en-US" w:eastAsia="zh-CN"/>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1 次/季</w:t>
                  </w:r>
                </w:p>
              </w:tc>
              <w:tc>
                <w:tcPr>
                  <w:tcW w:w="2208" w:type="dxa"/>
                  <w:tcBorders>
                    <w:top w:val="single" w:color="auto" w:sz="4" w:space="0"/>
                    <w:left w:val="single" w:color="auto" w:sz="4" w:space="0"/>
                    <w:bottom w:val="single" w:color="auto" w:sz="4" w:space="0"/>
                    <w:right w:val="nil"/>
                    <w:tl2br w:val="nil"/>
                    <w:tr2bl w:val="nil"/>
                  </w:tcBorders>
                  <w:noWrap w:val="0"/>
                  <w:vAlign w:val="center"/>
                </w:tcPr>
                <w:p w14:paraId="07CD5752">
                  <w:pPr>
                    <w:pStyle w:val="30"/>
                    <w:spacing w:beforeLines="0" w:afterLines="0"/>
                    <w:rPr>
                      <w:rFonts w:hint="default" w:ascii="Times New Roman" w:hAnsi="Times New Roman" w:cs="Times New Roman"/>
                      <w:color w:val="000000" w:themeColor="text1"/>
                      <w:sz w:val="21"/>
                      <w:szCs w:val="24"/>
                      <w14:textFill>
                        <w14:solidFill>
                          <w14:schemeClr w14:val="tx1"/>
                        </w14:solidFill>
                      </w14:textFill>
                    </w:rPr>
                  </w:pPr>
                  <w:r>
                    <w:rPr>
                      <w:rFonts w:hint="default" w:ascii="Times New Roman" w:hAnsi="Times New Roman" w:cs="Times New Roman"/>
                      <w:color w:val="000000" w:themeColor="text1"/>
                      <w:sz w:val="21"/>
                      <w:szCs w:val="24"/>
                      <w14:textFill>
                        <w14:solidFill>
                          <w14:schemeClr w14:val="tx1"/>
                        </w14:solidFill>
                      </w14:textFill>
                    </w:rPr>
                    <w:t>昼间≤6</w:t>
                  </w:r>
                  <w:r>
                    <w:rPr>
                      <w:rFonts w:hint="default" w:ascii="Times New Roman" w:hAnsi="Times New Roman" w:cs="Times New Roman"/>
                      <w:color w:val="000000" w:themeColor="text1"/>
                      <w:sz w:val="21"/>
                      <w:szCs w:val="24"/>
                      <w:lang w:val="en-US" w:eastAsia="zh-CN"/>
                      <w14:textFill>
                        <w14:solidFill>
                          <w14:schemeClr w14:val="tx1"/>
                        </w14:solidFill>
                      </w14:textFill>
                    </w:rPr>
                    <w:t>5</w:t>
                  </w:r>
                  <w:r>
                    <w:rPr>
                      <w:rFonts w:hint="default" w:ascii="Times New Roman" w:hAnsi="Times New Roman" w:cs="Times New Roman"/>
                      <w:color w:val="000000" w:themeColor="text1"/>
                      <w:sz w:val="21"/>
                      <w:szCs w:val="24"/>
                      <w14:textFill>
                        <w14:solidFill>
                          <w14:schemeClr w14:val="tx1"/>
                        </w14:solidFill>
                      </w14:textFill>
                    </w:rPr>
                    <w:t>dB（A）</w:t>
                  </w:r>
                </w:p>
              </w:tc>
            </w:tr>
            <w:tr w14:paraId="296F3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46" w:type="dxa"/>
                  <w:gridSpan w:val="5"/>
                  <w:tcBorders>
                    <w:top w:val="single" w:color="auto" w:sz="4" w:space="0"/>
                    <w:left w:val="nil"/>
                    <w:bottom w:val="single" w:color="auto" w:sz="12" w:space="0"/>
                    <w:right w:val="nil"/>
                    <w:tl2br w:val="nil"/>
                    <w:tr2bl w:val="nil"/>
                  </w:tcBorders>
                  <w:noWrap w:val="0"/>
                  <w:vAlign w:val="top"/>
                </w:tcPr>
                <w:p w14:paraId="2F921555">
                  <w:pPr>
                    <w:pStyle w:val="30"/>
                    <w:spacing w:beforeLines="0" w:afterLines="0"/>
                    <w:jc w:val="both"/>
                    <w:rPr>
                      <w:rFonts w:hint="default" w:ascii="Times New Roman" w:hAnsi="Times New Roman" w:cs="Times New Roman"/>
                      <w:color w:val="000000" w:themeColor="text1"/>
                      <w:sz w:val="21"/>
                      <w:szCs w:val="24"/>
                      <w:lang w:val="en-US" w:eastAsia="zh-CN"/>
                      <w14:textFill>
                        <w14:solidFill>
                          <w14:schemeClr w14:val="tx1"/>
                        </w14:solidFill>
                      </w14:textFill>
                    </w:rPr>
                  </w:pPr>
                  <w:r>
                    <w:rPr>
                      <w:rFonts w:hint="eastAsia" w:ascii="Times New Roman" w:hAnsi="Times New Roman" w:cs="Times New Roman"/>
                      <w:color w:val="000000" w:themeColor="text1"/>
                      <w:sz w:val="21"/>
                      <w:szCs w:val="24"/>
                      <w:lang w:val="en-US" w:eastAsia="zh-CN"/>
                      <w14:textFill>
                        <w14:solidFill>
                          <w14:schemeClr w14:val="tx1"/>
                        </w14:solidFill>
                      </w14:textFill>
                    </w:rPr>
                    <w:t>备注：</w:t>
                  </w:r>
                  <w:r>
                    <w:rPr>
                      <w:rFonts w:hint="default" w:ascii="Times New Roman" w:hAnsi="Times New Roman" w:cs="Times New Roman"/>
                      <w:color w:val="000000" w:themeColor="text1"/>
                      <w:sz w:val="21"/>
                      <w:szCs w:val="24"/>
                      <w14:textFill>
                        <w14:solidFill>
                          <w14:schemeClr w14:val="tx1"/>
                        </w14:solidFill>
                      </w14:textFill>
                    </w:rPr>
                    <w:t>厂界执行《工业企业厂界环境噪声排放标准》(GB12348-2008)表1中</w:t>
                  </w:r>
                  <w:r>
                    <w:rPr>
                      <w:rFonts w:hint="default" w:ascii="Times New Roman" w:hAnsi="Times New Roman" w:cs="Times New Roman"/>
                      <w:color w:val="000000" w:themeColor="text1"/>
                      <w:sz w:val="21"/>
                      <w:szCs w:val="24"/>
                      <w:lang w:val="en-US" w:eastAsia="zh-CN"/>
                      <w14:textFill>
                        <w14:solidFill>
                          <w14:schemeClr w14:val="tx1"/>
                        </w14:solidFill>
                      </w14:textFill>
                    </w:rPr>
                    <w:t>3</w:t>
                  </w:r>
                  <w:r>
                    <w:rPr>
                      <w:rFonts w:hint="default" w:ascii="Times New Roman" w:hAnsi="Times New Roman" w:cs="Times New Roman"/>
                      <w:color w:val="000000" w:themeColor="text1"/>
                      <w:sz w:val="21"/>
                      <w:szCs w:val="24"/>
                      <w14:textFill>
                        <w14:solidFill>
                          <w14:schemeClr w14:val="tx1"/>
                        </w14:solidFill>
                      </w14:textFill>
                    </w:rPr>
                    <w:t>类声环境功能区标准</w:t>
                  </w:r>
                  <w:r>
                    <w:rPr>
                      <w:rFonts w:hint="eastAsia" w:ascii="Times New Roman" w:hAnsi="Times New Roman" w:cs="Times New Roman"/>
                      <w:color w:val="000000" w:themeColor="text1"/>
                      <w:sz w:val="21"/>
                      <w:szCs w:val="24"/>
                      <w:lang w:eastAsia="zh-CN"/>
                      <w14:textFill>
                        <w14:solidFill>
                          <w14:schemeClr w14:val="tx1"/>
                        </w14:solidFill>
                      </w14:textFill>
                    </w:rPr>
                    <w:t>；</w:t>
                  </w:r>
                </w:p>
              </w:tc>
            </w:tr>
          </w:tbl>
          <w:p w14:paraId="32E99D6F">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4、固体废物</w:t>
            </w:r>
          </w:p>
          <w:p w14:paraId="1903B3C1">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4.1 固体废物产生及处置情况</w:t>
            </w:r>
          </w:p>
          <w:p w14:paraId="55040AC0">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（1）生活垃圾</w:t>
            </w:r>
          </w:p>
          <w:p w14:paraId="34697E31">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本项目拟设员工</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0人，全年工作 300 天，生活垃圾产生量按 0.5 kg/人·天计，则生活垃圾产生量为</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.0 kg/d、</w:t>
            </w:r>
            <w:r>
              <w:rPr>
                <w:rFonts w:hint="eastAsia" w:ascii="Times New Roman" w:hAnsi="Times New Roman" w:cs="Times New Roman"/>
                <w:color w:val="000000" w:themeColor="text1"/>
                <w:lang w:val="en-US" w:eastAsia="zh-CN"/>
                <w14:textFill>
                  <w14:solidFill>
                    <w14:schemeClr w14:val="tx1"/>
                  </w14:solidFill>
                </w14:textFill>
              </w:rPr>
              <w:t>1.5</w:t>
            </w:r>
            <w:r>
              <w:rPr>
                <w:rFonts w:hint="default" w:ascii="Times New Roman" w:hAnsi="Times New Roman" w:cs="Times New Roman"/>
                <w:color w:val="000000" w:themeColor="text1"/>
                <w14:textFill>
                  <w14:solidFill>
                    <w14:schemeClr w14:val="tx1"/>
                  </w14:solidFill>
                </w14:textFill>
              </w:rPr>
              <w:t xml:space="preserve"> t/a。</w:t>
            </w:r>
          </w:p>
          <w:p w14:paraId="3BCF99D2">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由员工收集至垃圾桶，交由环卫部门清运处理。</w:t>
            </w:r>
          </w:p>
          <w:p w14:paraId="3EE9065A">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危险废物</w:t>
            </w:r>
          </w:p>
          <w:p w14:paraId="01E31B95">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1）废涂料桶</w:t>
            </w:r>
          </w:p>
          <w:p w14:paraId="4EA1EFC2">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项目使用涂料时所产生的废涂料桶，根据建设单位提供资料，单个空桶质量在1.2-1.5kg，废涂料桶产生量为0.6t/a。</w:t>
            </w:r>
          </w:p>
          <w:p w14:paraId="6F31D93F">
            <w:pPr>
              <w:pStyle w:val="29"/>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由员工收集暂存于危废暂存间（20 m</w:t>
            </w:r>
            <w:r>
              <w:rPr>
                <w:rFonts w:hint="eastAsia" w:ascii="Times New Roman" w:hAnsi="Times New Roman" w:cs="Times New Roman"/>
                <w:color w:val="000000" w:themeColor="text1"/>
                <w:vertAlign w:val="superscript"/>
                <w:lang w:val="en-US" w:eastAsia="zh-CN"/>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），定期交有资质单位处置。</w:t>
            </w:r>
          </w:p>
          <w:p w14:paraId="4F96A4C3">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根据《国家危险废物名录（2025 年版）》可知，废涂料桶废物类别为HW49其他废物、废物代码为900-041-49、危险特性为T，I。</w:t>
            </w:r>
          </w:p>
          <w:p w14:paraId="70D985A2">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2）废活性炭</w:t>
            </w:r>
          </w:p>
          <w:p w14:paraId="6DFAD69A">
            <w:pPr>
              <w:pStyle w:val="29"/>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本项目活性炭吸附脱附循环使用，根据建设单位提供设计资料，活性炭填装量2t，每年更换一次，参照《简明通风设计手册》有效吸附量 qe=0.24kg/kg 活性炭，废活性炭量为2.48 t/a。</w:t>
            </w:r>
          </w:p>
          <w:p w14:paraId="412D3029">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由员工收集暂存于危废暂存间（20 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），定期交有资质单位处置。</w:t>
            </w:r>
          </w:p>
          <w:p w14:paraId="635F21C0">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根据《国家危险废物名录（2025 年版）》可知，废活性炭废物类别为HW49其他废物、废物代码为900-039-49、危险特性为T。</w:t>
            </w:r>
          </w:p>
          <w:p w14:paraId="6D400E8A">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4）废机油、废机油桶</w:t>
            </w:r>
          </w:p>
          <w:p w14:paraId="26B2BF77">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项目机械设备的运行和维修过程中产生一定量的废机油及废机油桶，根据建设单位提供信息，废机油产生量为0.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t/a、废机油桶产生量为0.0</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 xml:space="preserve"> t/a。</w:t>
            </w:r>
          </w:p>
          <w:p w14:paraId="73C3D91F">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由员工收集暂存于危废暂存间（20 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），定期交有资质单位处置。</w:t>
            </w:r>
          </w:p>
          <w:p w14:paraId="236CE48A">
            <w:pPr>
              <w:pStyle w:val="29"/>
              <w:bidi w:val="0"/>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根据《国家危险废物名录（2025 年版）》可知，废机油废物类别为HW08废矿物油与含矿物油废物、废物代码为900-214-08、危险特性为T，I</w:t>
            </w:r>
            <w:r>
              <w:rPr>
                <w:rFonts w:hint="eastAsia" w:ascii="Times New Roman" w:hAnsi="Times New Roman" w:cs="Times New Roman"/>
                <w:color w:val="000000" w:themeColor="text1"/>
                <w:lang w:eastAsia="zh-CN"/>
                <w14:textFill>
                  <w14:solidFill>
                    <w14:schemeClr w14:val="tx1"/>
                  </w14:solidFill>
                </w14:textFill>
              </w:rPr>
              <w:t>；废机油桶废物类别为HW08废矿物油与含矿物油废物、废物代码为900-249-08、危险特性为T，I。</w:t>
            </w:r>
          </w:p>
          <w:p w14:paraId="53F01A6E">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bookmarkStart w:id="11" w:name="OLE_LINK1"/>
            <w:r>
              <w:rPr>
                <w:rFonts w:hint="eastAsia" w:ascii="Times New Roman" w:hAnsi="Times New Roman" w:cs="Times New Roman"/>
                <w:color w:val="000000" w:themeColor="text1"/>
                <w:lang w:val="en-US" w:eastAsia="zh-CN"/>
                <w14:textFill>
                  <w14:solidFill>
                    <w14:schemeClr w14:val="tx1"/>
                  </w14:solidFill>
                </w14:textFill>
              </w:rPr>
              <w:t>5）</w:t>
            </w:r>
            <w:bookmarkEnd w:id="11"/>
            <w:r>
              <w:rPr>
                <w:rFonts w:hint="eastAsia" w:ascii="Times New Roman" w:hAnsi="Times New Roman" w:cs="Times New Roman"/>
                <w:color w:val="000000" w:themeColor="text1"/>
                <w:lang w:val="en-US" w:eastAsia="zh-CN"/>
                <w14:textFill>
                  <w14:solidFill>
                    <w14:schemeClr w14:val="tx1"/>
                  </w14:solidFill>
                </w14:textFill>
              </w:rPr>
              <w:t>漆渣</w:t>
            </w:r>
          </w:p>
          <w:p w14:paraId="79CBD9B9">
            <w:pPr>
              <w:pStyle w:val="29"/>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本项目喷漆过程中会产生漆渣，根据物料平衡，漆渣产生量为0.3255t/a，同时定期清捞两个水帘柜漆渣约3.646t/a（干渣约0.547t/a，滤干后含水率按照85%计算），漆渣总计3.9711t/a。</w:t>
            </w:r>
          </w:p>
          <w:p w14:paraId="1A8383F3">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由员工收集暂存于危废暂存间（20 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），定期交有资质单位处置。</w:t>
            </w:r>
          </w:p>
          <w:p w14:paraId="4ACE58C3">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根据《国家危险废物名录（2025 年版）》可知，</w:t>
            </w:r>
            <w:r>
              <w:rPr>
                <w:rFonts w:hint="eastAsia" w:ascii="Times New Roman" w:hAnsi="Times New Roman" w:cs="Times New Roman"/>
                <w:color w:val="000000" w:themeColor="text1"/>
                <w:lang w:val="en-US" w:eastAsia="zh-CN"/>
                <w14:textFill>
                  <w14:solidFill>
                    <w14:schemeClr w14:val="tx1"/>
                  </w14:solidFill>
                </w14:textFill>
              </w:rPr>
              <w:t>漆渣</w:t>
            </w:r>
            <w:r>
              <w:rPr>
                <w:rFonts w:hint="default" w:ascii="Times New Roman" w:hAnsi="Times New Roman" w:cs="Times New Roman"/>
                <w:color w:val="000000" w:themeColor="text1"/>
                <w14:textFill>
                  <w14:solidFill>
                    <w14:schemeClr w14:val="tx1"/>
                  </w14:solidFill>
                </w14:textFill>
              </w:rPr>
              <w:t>废物类别为HW</w:t>
            </w:r>
            <w:r>
              <w:rPr>
                <w:rFonts w:hint="eastAsia"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使用油漆（不包括水性漆）、有机溶剂进行喷漆、上漆过程</w:t>
            </w:r>
            <w:r>
              <w:rPr>
                <w:rFonts w:hint="eastAsia" w:ascii="Times New Roman" w:hAnsi="Times New Roman" w:cs="Times New Roman"/>
                <w:color w:val="000000" w:themeColor="text1"/>
                <w:lang w:eastAsia="zh-CN"/>
                <w14:textFill>
                  <w14:solidFill>
                    <w14:schemeClr w14:val="tx1"/>
                  </w14:solidFill>
                </w14:textFill>
              </w:rPr>
              <w:t>中通</w:t>
            </w:r>
            <w:r>
              <w:rPr>
                <w:rFonts w:hint="default" w:ascii="Times New Roman" w:hAnsi="Times New Roman" w:cs="Times New Roman"/>
                <w:color w:val="000000" w:themeColor="text1"/>
                <w14:textFill>
                  <w14:solidFill>
                    <w14:schemeClr w14:val="tx1"/>
                  </w14:solidFill>
                </w14:textFill>
              </w:rPr>
              <w:t>过喷漆雾湿法捕集产生的漆渣</w:t>
            </w:r>
            <w:r>
              <w:rPr>
                <w:rFonts w:hint="eastAsia" w:ascii="Times New Roman" w:hAnsi="Times New Roman" w:cs="Times New Roman"/>
                <w:color w:val="000000" w:themeColor="text1"/>
                <w:lang w:eastAsia="zh-CN"/>
                <w14:textFill>
                  <w14:solidFill>
                    <w14:schemeClr w14:val="tx1"/>
                  </w14:solidFill>
                </w14:textFill>
              </w:rPr>
              <w:t>，以及</w:t>
            </w:r>
            <w:r>
              <w:rPr>
                <w:rFonts w:hint="default" w:ascii="Times New Roman" w:hAnsi="Times New Roman" w:cs="Times New Roman"/>
                <w:color w:val="000000" w:themeColor="text1"/>
                <w14:textFill>
                  <w14:solidFill>
                    <w14:schemeClr w14:val="tx1"/>
                  </w14:solidFill>
                </w14:textFill>
              </w:rPr>
              <w:t>喷涂工位和管道清理过程产生的落地漆渣</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代码</w:t>
            </w:r>
            <w:r>
              <w:rPr>
                <w:rFonts w:hint="default" w:ascii="Times New Roman" w:hAnsi="Times New Roman" w:cs="Times New Roman"/>
                <w:color w:val="000000" w:themeColor="text1"/>
                <w14:textFill>
                  <w14:solidFill>
                    <w14:schemeClr w14:val="tx1"/>
                  </w14:solidFill>
                </w14:textFill>
              </w:rPr>
              <w:t>为900-2</w:t>
            </w:r>
            <w:r>
              <w:rPr>
                <w:rFonts w:hint="eastAsia"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、危险特性为T，I。</w:t>
            </w:r>
          </w:p>
          <w:p w14:paraId="0A1AB9DF">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6）废过滤芯</w:t>
            </w:r>
          </w:p>
          <w:p w14:paraId="1113F91D">
            <w:pPr>
              <w:pStyle w:val="29"/>
              <w:bidi w:val="0"/>
              <w:rPr>
                <w:rFonts w:hint="default"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本项目水帘柜过滤后采用干式过滤器进一步过滤漆雾及水雾，填装量0.5t，吸附量按30%计算，每三个月更换一次，废滤芯产生量为2.6t/a。</w:t>
            </w:r>
          </w:p>
          <w:p w14:paraId="705EA2CC">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根据《国家危险废物名录（2025 年版）》可知，废物类别为HW49其他废物、废物代码为900-041-49、危险特性为T，I。</w:t>
            </w:r>
          </w:p>
          <w:p w14:paraId="17447343">
            <w:pPr>
              <w:pStyle w:val="29"/>
              <w:bidi w:val="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 xml:space="preserve">S7打磨边角料（含布袋除尘器收集打磨粉尘） </w:t>
            </w:r>
          </w:p>
          <w:p w14:paraId="06819812">
            <w:pPr>
              <w:pStyle w:val="29"/>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打磨工序会产生边角料，根据建设单位提供资料，大部分打磨飞溅边角料以粉尘形式被水帘柜捕集，直接成为固废的边角料较少，产生量约为0.02t/a，主要成分为固化后的油漆。</w:t>
            </w:r>
          </w:p>
          <w:p w14:paraId="611E48BF">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根据其成分，打磨边角料参照</w:t>
            </w:r>
            <w:r>
              <w:rPr>
                <w:rFonts w:hint="default" w:ascii="Times New Roman" w:hAnsi="Times New Roman" w:cs="Times New Roman"/>
                <w:color w:val="000000" w:themeColor="text1"/>
                <w14:textFill>
                  <w14:solidFill>
                    <w14:schemeClr w14:val="tx1"/>
                  </w14:solidFill>
                </w14:textFill>
              </w:rPr>
              <w:t>《国家危险废物名录（2025 年版）》可知，废物类别为HW</w:t>
            </w:r>
            <w:r>
              <w:rPr>
                <w:rFonts w:hint="eastAsia"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使用油漆（不包括水性漆）</w:t>
            </w:r>
            <w:r>
              <w:rPr>
                <w:rFonts w:hint="eastAsia" w:ascii="Times New Roman" w:hAnsi="Times New Roman" w:cs="Times New Roman"/>
                <w:color w:val="000000" w:themeColor="text1"/>
                <w:lang w:val="en-US" w:eastAsia="zh-CN"/>
                <w14:textFill>
                  <w14:solidFill>
                    <w14:schemeClr w14:val="tx1"/>
                  </w14:solidFill>
                </w14:textFill>
              </w:rPr>
              <w:t>的漆渣</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代码</w:t>
            </w:r>
            <w:r>
              <w:rPr>
                <w:rFonts w:hint="default" w:ascii="Times New Roman" w:hAnsi="Times New Roman" w:cs="Times New Roman"/>
                <w:color w:val="000000" w:themeColor="text1"/>
                <w14:textFill>
                  <w14:solidFill>
                    <w14:schemeClr w14:val="tx1"/>
                  </w14:solidFill>
                </w14:textFill>
              </w:rPr>
              <w:t>为900-2</w:t>
            </w:r>
            <w:r>
              <w:rPr>
                <w:rFonts w:hint="eastAsia"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、危险特性为T，I。</w:t>
            </w:r>
          </w:p>
          <w:p w14:paraId="68353A47">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8）打磨沉渣</w:t>
            </w:r>
          </w:p>
          <w:p w14:paraId="0BC5D7AE">
            <w:pPr>
              <w:pStyle w:val="29"/>
              <w:bidi w:val="0"/>
              <w:rPr>
                <w:rFonts w:hint="eastAsia" w:ascii="Times New Roman" w:hAnsi="Times New Roman"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本项目水帘柜处理打磨废气，定期清捞水帘柜打磨沉渣，根据物料平衡计算，打磨房水帘柜捞漆渣量1.781t/a（干渣约0.267t/a，滤干后含水率按照85%计算）。主要成分为固化后的油漆。</w:t>
            </w:r>
          </w:p>
          <w:p w14:paraId="2E01B7A1">
            <w:pPr>
              <w:pStyle w:val="29"/>
              <w:bidi w:val="0"/>
              <w:rPr>
                <w:rFonts w:hint="default" w:ascii="Times New Roman" w:hAnsi="Times New Roman" w:cs="Times New Roman"/>
                <w:color w:val="000000" w:themeColor="text1"/>
                <w:u w:val="single"/>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根据其成分，打磨边角料参照</w:t>
            </w:r>
            <w:r>
              <w:rPr>
                <w:rFonts w:hint="default" w:ascii="Times New Roman" w:hAnsi="Times New Roman" w:cs="Times New Roman"/>
                <w:color w:val="000000" w:themeColor="text1"/>
                <w:u w:val="single"/>
                <w14:textFill>
                  <w14:solidFill>
                    <w14:schemeClr w14:val="tx1"/>
                  </w14:solidFill>
                </w14:textFill>
              </w:rPr>
              <w:t>《国家危险废物名录（2025 年版）》可知，废物类别为HW</w:t>
            </w:r>
            <w:r>
              <w:rPr>
                <w:rFonts w:hint="eastAsia" w:ascii="Times New Roman" w:hAnsi="Times New Roman" w:cs="Times New Roman"/>
                <w:color w:val="000000" w:themeColor="text1"/>
                <w:u w:val="single"/>
                <w:lang w:val="en-US" w:eastAsia="zh-CN"/>
                <w14:textFill>
                  <w14:solidFill>
                    <w14:schemeClr w14:val="tx1"/>
                  </w14:solidFill>
                </w14:textFill>
              </w:rPr>
              <w:t>12</w:t>
            </w:r>
            <w:r>
              <w:rPr>
                <w:rFonts w:hint="default" w:ascii="Times New Roman" w:hAnsi="Times New Roman" w:cs="Times New Roman"/>
                <w:color w:val="000000" w:themeColor="text1"/>
                <w:u w:val="single"/>
                <w14:textFill>
                  <w14:solidFill>
                    <w14:schemeClr w14:val="tx1"/>
                  </w14:solidFill>
                </w14:textFill>
              </w:rPr>
              <w:t>使用油漆（不包括水性漆）</w:t>
            </w:r>
            <w:r>
              <w:rPr>
                <w:rFonts w:hint="eastAsia" w:ascii="Times New Roman" w:hAnsi="Times New Roman" w:cs="Times New Roman"/>
                <w:color w:val="000000" w:themeColor="text1"/>
                <w:u w:val="single"/>
                <w:lang w:val="en-US" w:eastAsia="zh-CN"/>
                <w14:textFill>
                  <w14:solidFill>
                    <w14:schemeClr w14:val="tx1"/>
                  </w14:solidFill>
                </w14:textFill>
              </w:rPr>
              <w:t xml:space="preserve">的漆渣 </w:t>
            </w:r>
            <w:r>
              <w:rPr>
                <w:rFonts w:hint="eastAsia" w:ascii="Times New Roman" w:hAnsi="Times New Roman" w:cs="Times New Roman"/>
                <w:color w:val="000000" w:themeColor="text1"/>
                <w:u w:val="single"/>
                <w:lang w:eastAsia="zh-CN"/>
                <w14:textFill>
                  <w14:solidFill>
                    <w14:schemeClr w14:val="tx1"/>
                  </w14:solidFill>
                </w14:textFill>
              </w:rPr>
              <w:t>，</w:t>
            </w:r>
            <w:r>
              <w:rPr>
                <w:rFonts w:hint="eastAsia" w:ascii="Times New Roman" w:hAnsi="Times New Roman" w:cs="Times New Roman"/>
                <w:color w:val="000000" w:themeColor="text1"/>
                <w:u w:val="single"/>
                <w:lang w:val="en-US" w:eastAsia="zh-CN"/>
                <w14:textFill>
                  <w14:solidFill>
                    <w14:schemeClr w14:val="tx1"/>
                  </w14:solidFill>
                </w14:textFill>
              </w:rPr>
              <w:t>代码</w:t>
            </w:r>
            <w:r>
              <w:rPr>
                <w:rFonts w:hint="default" w:ascii="Times New Roman" w:hAnsi="Times New Roman" w:cs="Times New Roman"/>
                <w:color w:val="000000" w:themeColor="text1"/>
                <w:u w:val="single"/>
                <w14:textFill>
                  <w14:solidFill>
                    <w14:schemeClr w14:val="tx1"/>
                  </w14:solidFill>
                </w14:textFill>
              </w:rPr>
              <w:t>为900-2</w:t>
            </w:r>
            <w:r>
              <w:rPr>
                <w:rFonts w:hint="eastAsia" w:ascii="Times New Roman" w:hAnsi="Times New Roman" w:cs="Times New Roman"/>
                <w:color w:val="000000" w:themeColor="text1"/>
                <w:u w:val="single"/>
                <w:lang w:val="en-US" w:eastAsia="zh-CN"/>
                <w14:textFill>
                  <w14:solidFill>
                    <w14:schemeClr w14:val="tx1"/>
                  </w14:solidFill>
                </w14:textFill>
              </w:rPr>
              <w:t>52</w:t>
            </w:r>
            <w:r>
              <w:rPr>
                <w:rFonts w:hint="default" w:ascii="Times New Roman" w:hAnsi="Times New Roman" w:cs="Times New Roman"/>
                <w:color w:val="000000" w:themeColor="text1"/>
                <w:u w:val="single"/>
                <w14:textFill>
                  <w14:solidFill>
                    <w14:schemeClr w14:val="tx1"/>
                  </w14:solidFill>
                </w14:textFill>
              </w:rPr>
              <w:t>-</w:t>
            </w:r>
            <w:r>
              <w:rPr>
                <w:rFonts w:hint="eastAsia" w:ascii="Times New Roman" w:hAnsi="Times New Roman" w:cs="Times New Roman"/>
                <w:color w:val="000000" w:themeColor="text1"/>
                <w:u w:val="single"/>
                <w:lang w:val="en-US" w:eastAsia="zh-CN"/>
                <w14:textFill>
                  <w14:solidFill>
                    <w14:schemeClr w14:val="tx1"/>
                  </w14:solidFill>
                </w14:textFill>
              </w:rPr>
              <w:t>12</w:t>
            </w:r>
            <w:r>
              <w:rPr>
                <w:rFonts w:hint="default" w:ascii="Times New Roman" w:hAnsi="Times New Roman" w:cs="Times New Roman"/>
                <w:color w:val="000000" w:themeColor="text1"/>
                <w:u w:val="single"/>
                <w14:textFill>
                  <w14:solidFill>
                    <w14:schemeClr w14:val="tx1"/>
                  </w14:solidFill>
                </w14:textFill>
              </w:rPr>
              <w:t>、危险特性为T，I。</w:t>
            </w:r>
          </w:p>
          <w:p w14:paraId="1057FA67">
            <w:pPr>
              <w:pStyle w:val="29"/>
              <w:bidi w:val="0"/>
              <w:rPr>
                <w:rFonts w:hint="default" w:ascii="Times New Roman" w:hAnsi="Times New Roman" w:eastAsia="宋体"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9）水帘柜废液</w:t>
            </w:r>
          </w:p>
          <w:p w14:paraId="2D798B7E">
            <w:pPr>
              <w:pStyle w:val="29"/>
              <w:bidi w:val="0"/>
              <w:rPr>
                <w:rFonts w:hint="default" w:ascii="Times New Roman" w:hAnsi="Times New Roman" w:cs="Times New Roman"/>
                <w:color w:val="000000" w:themeColor="text1"/>
                <w:u w:val="single"/>
                <w:lang w:val="en-US" w:eastAsia="zh-CN"/>
                <w14:textFill>
                  <w14:solidFill>
                    <w14:schemeClr w14:val="tx1"/>
                  </w14:solidFill>
                </w14:textFill>
              </w:rPr>
            </w:pPr>
            <w:r>
              <w:rPr>
                <w:rFonts w:hint="eastAsia" w:ascii="Times New Roman" w:hAnsi="Times New Roman" w:cs="Times New Roman"/>
                <w:color w:val="000000" w:themeColor="text1"/>
                <w:u w:val="single"/>
                <w:lang w:val="en-US" w:eastAsia="zh-CN"/>
                <w14:textFill>
                  <w14:solidFill>
                    <w14:schemeClr w14:val="tx1"/>
                  </w14:solidFill>
                </w14:textFill>
              </w:rPr>
              <w:t>本项目水帘柜处理</w:t>
            </w:r>
            <w:r>
              <w:rPr>
                <w:rFonts w:hint="default" w:ascii="Times New Roman" w:hAnsi="Times New Roman" w:cs="Times New Roman"/>
                <w:color w:val="000000" w:themeColor="text1"/>
                <w:u w:val="single"/>
                <w:lang w:val="en-US" w:eastAsia="zh-CN"/>
                <w14:textFill>
                  <w14:solidFill>
                    <w14:schemeClr w14:val="tx1"/>
                  </w14:solidFill>
                </w14:textFill>
              </w:rPr>
              <w:t>喷漆废气，</w:t>
            </w:r>
            <w:r>
              <w:rPr>
                <w:rFonts w:hint="default" w:ascii="Times New Roman" w:hAnsi="Times New Roman" w:cs="Times New Roman"/>
                <w:color w:val="auto"/>
                <w:sz w:val="24"/>
                <w:u w:val="single"/>
                <w:lang w:val="en-US" w:eastAsia="zh-CN"/>
              </w:rPr>
              <w:t>喷漆房设置有2个水帘柜，打磨房设置有</w:t>
            </w:r>
            <w:r>
              <w:rPr>
                <w:rFonts w:hint="eastAsia" w:ascii="Times New Roman" w:hAnsi="Times New Roman" w:cs="Times New Roman"/>
                <w:color w:val="auto"/>
                <w:sz w:val="24"/>
                <w:u w:val="single"/>
                <w:lang w:val="en-US" w:eastAsia="zh-CN"/>
              </w:rPr>
              <w:t>2</w:t>
            </w:r>
            <w:r>
              <w:rPr>
                <w:rFonts w:hint="default" w:ascii="Times New Roman" w:hAnsi="Times New Roman" w:cs="Times New Roman"/>
                <w:color w:val="auto"/>
                <w:sz w:val="24"/>
                <w:u w:val="single"/>
                <w:lang w:val="en-US" w:eastAsia="zh-CN"/>
              </w:rPr>
              <w:t>个水帘柜，单个水帘柜循环水量为5m</w:t>
            </w:r>
            <w:r>
              <w:rPr>
                <w:rFonts w:hint="default" w:ascii="Times New Roman" w:hAnsi="Times New Roman" w:cs="Times New Roman"/>
                <w:color w:val="auto"/>
                <w:sz w:val="24"/>
                <w:u w:val="single"/>
                <w:vertAlign w:val="superscript"/>
                <w:lang w:val="en-US" w:eastAsia="zh-CN"/>
              </w:rPr>
              <w:t>3</w:t>
            </w:r>
            <w:r>
              <w:rPr>
                <w:rFonts w:hint="default" w:ascii="Times New Roman" w:hAnsi="Times New Roman" w:cs="Times New Roman"/>
                <w:color w:val="auto"/>
                <w:sz w:val="24"/>
                <w:u w:val="single"/>
                <w:lang w:val="en-US" w:eastAsia="zh-CN"/>
              </w:rPr>
              <w:t>/h、</w:t>
            </w:r>
            <w:r>
              <w:rPr>
                <w:rFonts w:hint="eastAsia" w:ascii="Times New Roman" w:hAnsi="Times New Roman" w:cs="Times New Roman"/>
                <w:color w:val="auto"/>
                <w:sz w:val="24"/>
                <w:u w:val="single"/>
                <w:lang w:val="en-US" w:eastAsia="zh-CN"/>
              </w:rPr>
              <w:t>循环水在线量为0.5t</w:t>
            </w:r>
            <w:r>
              <w:rPr>
                <w:rFonts w:hint="default" w:ascii="Times New Roman" w:hAnsi="Times New Roman" w:cs="Times New Roman"/>
                <w:color w:val="auto"/>
                <w:sz w:val="24"/>
                <w:u w:val="single"/>
                <w:lang w:val="en-US" w:eastAsia="zh-CN"/>
              </w:rPr>
              <w:t>，循环过程中损耗量按照2%计算，循环损耗水量为120m</w:t>
            </w:r>
            <w:r>
              <w:rPr>
                <w:rFonts w:hint="default" w:ascii="Times New Roman" w:hAnsi="Times New Roman" w:cs="Times New Roman"/>
                <w:color w:val="auto"/>
                <w:sz w:val="24"/>
                <w:u w:val="single"/>
                <w:vertAlign w:val="superscript"/>
                <w:lang w:val="en-US" w:eastAsia="zh-CN"/>
              </w:rPr>
              <w:t>3</w:t>
            </w:r>
            <w:r>
              <w:rPr>
                <w:rFonts w:hint="default" w:ascii="Times New Roman" w:hAnsi="Times New Roman" w:cs="Times New Roman"/>
                <w:color w:val="auto"/>
                <w:sz w:val="24"/>
                <w:u w:val="single"/>
                <w:lang w:val="en-US" w:eastAsia="zh-CN"/>
              </w:rPr>
              <w:t>/a，每1年更换一次循环水即</w:t>
            </w:r>
            <w:r>
              <w:rPr>
                <w:rFonts w:hint="eastAsia" w:ascii="Times New Roman" w:hAnsi="Times New Roman" w:cs="Times New Roman"/>
                <w:color w:val="auto"/>
                <w:sz w:val="24"/>
                <w:u w:val="single"/>
                <w:lang w:val="en-US" w:eastAsia="zh-CN"/>
              </w:rPr>
              <w:t>2</w:t>
            </w:r>
            <w:r>
              <w:rPr>
                <w:rFonts w:hint="default" w:ascii="Times New Roman" w:hAnsi="Times New Roman" w:cs="Times New Roman"/>
                <w:color w:val="auto"/>
                <w:sz w:val="24"/>
                <w:u w:val="single"/>
                <w:lang w:val="en-US" w:eastAsia="zh-CN"/>
              </w:rPr>
              <w:t>m</w:t>
            </w:r>
            <w:r>
              <w:rPr>
                <w:rFonts w:hint="default" w:ascii="Times New Roman" w:hAnsi="Times New Roman" w:cs="Times New Roman"/>
                <w:color w:val="auto"/>
                <w:sz w:val="24"/>
                <w:u w:val="single"/>
                <w:vertAlign w:val="superscript"/>
                <w:lang w:val="en-US" w:eastAsia="zh-CN"/>
              </w:rPr>
              <w:t>3</w:t>
            </w:r>
            <w:r>
              <w:rPr>
                <w:rFonts w:hint="default" w:ascii="Times New Roman" w:hAnsi="Times New Roman" w:cs="Times New Roman"/>
                <w:color w:val="auto"/>
                <w:sz w:val="24"/>
                <w:u w:val="single"/>
                <w:lang w:val="en-US" w:eastAsia="zh-CN"/>
              </w:rPr>
              <w:t>/a</w:t>
            </w:r>
            <w:r>
              <w:rPr>
                <w:rFonts w:hint="default" w:ascii="Times New Roman" w:hAnsi="Times New Roman" w:cs="Times New Roman"/>
                <w:color w:val="auto"/>
                <w:sz w:val="24"/>
                <w:u w:val="single"/>
              </w:rPr>
              <w:t>。</w:t>
            </w:r>
          </w:p>
          <w:p w14:paraId="47A81343">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根据主要有害成分为废漆渣，参照</w:t>
            </w:r>
            <w:r>
              <w:rPr>
                <w:rFonts w:hint="default" w:ascii="Times New Roman" w:hAnsi="Times New Roman" w:cs="Times New Roman"/>
                <w:color w:val="000000" w:themeColor="text1"/>
                <w14:textFill>
                  <w14:solidFill>
                    <w14:schemeClr w14:val="tx1"/>
                  </w14:solidFill>
                </w14:textFill>
              </w:rPr>
              <w:t>《国家危险废物名录（2025 年版）》可知，废物类别为HW</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使用油漆（不包括水性漆）</w:t>
            </w:r>
            <w:r>
              <w:rPr>
                <w:rFonts w:hint="default" w:ascii="Times New Roman" w:hAnsi="Times New Roman" w:cs="Times New Roman"/>
                <w:color w:val="000000" w:themeColor="text1"/>
                <w:lang w:val="en-US" w:eastAsia="zh-CN"/>
                <w14:textFill>
                  <w14:solidFill>
                    <w14:schemeClr w14:val="tx1"/>
                  </w14:solidFill>
                </w14:textFill>
              </w:rPr>
              <w:t>的漆渣</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代码</w:t>
            </w:r>
            <w:r>
              <w:rPr>
                <w:rFonts w:hint="default" w:ascii="Times New Roman" w:hAnsi="Times New Roman" w:cs="Times New Roman"/>
                <w:color w:val="000000" w:themeColor="text1"/>
                <w14:textFill>
                  <w14:solidFill>
                    <w14:schemeClr w14:val="tx1"/>
                  </w14:solidFill>
                </w14:textFill>
              </w:rPr>
              <w:t>为900-2</w:t>
            </w:r>
            <w:r>
              <w:rPr>
                <w:rFonts w:hint="default"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、危险特性为T，I。</w:t>
            </w:r>
          </w:p>
          <w:p w14:paraId="32E6A9A0">
            <w:pPr>
              <w:pStyle w:val="29"/>
              <w:numPr>
                <w:ilvl w:val="0"/>
                <w:numId w:val="1"/>
              </w:numPr>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废催化剂</w:t>
            </w:r>
          </w:p>
          <w:p w14:paraId="3E267DAB">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本项目有机废气处理装置催化段使用催化燃烧专用催化剂，根据业主提供资料，催化剂约</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年更换一次，催化剂装填量共约为</w:t>
            </w:r>
            <w:r>
              <w:rPr>
                <w:rFonts w:hint="eastAsia" w:ascii="Times New Roman" w:hAnsi="Times New Roman" w:cs="Times New Roman"/>
                <w:color w:val="000000" w:themeColor="text1"/>
                <w:lang w:val="en-US" w:eastAsia="zh-CN"/>
                <w14:textFill>
                  <w14:solidFill>
                    <w14:schemeClr w14:val="tx1"/>
                  </w14:solidFill>
                </w14:textFill>
              </w:rPr>
              <w:t>1.0t</w:t>
            </w:r>
            <w:r>
              <w:rPr>
                <w:rFonts w:hint="default" w:ascii="Times New Roman" w:hAnsi="Times New Roman" w:cs="Times New Roman"/>
                <w:color w:val="000000" w:themeColor="text1"/>
                <w:lang w:val="en-US" w:eastAsia="zh-CN"/>
                <w14:textFill>
                  <w14:solidFill>
                    <w14:schemeClr w14:val="tx1"/>
                  </w14:solidFill>
                </w14:textFill>
              </w:rPr>
              <w:t>，则废催化剂产生量为</w:t>
            </w:r>
            <w:r>
              <w:rPr>
                <w:rFonts w:hint="eastAsia" w:ascii="Times New Roman" w:hAnsi="Times New Roman" w:cs="Times New Roman"/>
                <w:color w:val="000000" w:themeColor="text1"/>
                <w:lang w:val="en-US" w:eastAsia="zh-CN"/>
                <w14:textFill>
                  <w14:solidFill>
                    <w14:schemeClr w14:val="tx1"/>
                  </w14:solidFill>
                </w14:textFill>
              </w:rPr>
              <w:t>1.0t</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a。根据《国家危险废物名录》(2025年版)，同时参考2024年12月安徽省生态环境厅关于该类危废属于哪种危废代码的回复意见，确定本项目废催化剂危废代码为HW50：900-049-50，收集至危废间分类暂存后委托有资质单位定期处置。</w:t>
            </w:r>
          </w:p>
          <w:p w14:paraId="149E5C2F">
            <w:pPr>
              <w:pStyle w:val="29"/>
              <w:numPr>
                <w:ilvl w:val="0"/>
                <w:numId w:val="1"/>
              </w:numPr>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废布袋</w:t>
            </w:r>
          </w:p>
          <w:p w14:paraId="23D36E45">
            <w:pPr>
              <w:pStyle w:val="29"/>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布袋除尘器定期更换布袋，产生量约为0.03t/a，含有打磨漆渣，</w:t>
            </w:r>
            <w:r>
              <w:rPr>
                <w:rFonts w:hint="default" w:ascii="Times New Roman" w:hAnsi="Times New Roman" w:cs="Times New Roman"/>
                <w:color w:val="000000" w:themeColor="text1"/>
                <w14:textFill>
                  <w14:solidFill>
                    <w14:schemeClr w14:val="tx1"/>
                  </w14:solidFill>
                </w14:textFill>
              </w:rPr>
              <w:t>根据《国家危险废物名录（2025 年版）》可知，废物类别为HW49其他废物、废物代码为900-041-49、危险特性为T，I。</w:t>
            </w:r>
          </w:p>
          <w:p w14:paraId="5C45CE55">
            <w:pPr>
              <w:pStyle w:val="29"/>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4.2 固体废物分析及处置情况</w:t>
            </w:r>
          </w:p>
          <w:p w14:paraId="6233F3B9">
            <w:pPr>
              <w:pStyle w:val="29"/>
              <w:bidi w:val="0"/>
              <w:rPr>
                <w:rFonts w:hint="default" w:ascii="Times New Roman" w:hAnsi="Times New Roman" w:cs="Times New Roman"/>
                <w:color w:val="auto"/>
              </w:rPr>
            </w:pPr>
            <w:r>
              <w:rPr>
                <w:rFonts w:hint="default" w:ascii="Times New Roman" w:hAnsi="Times New Roman" w:cs="Times New Roman"/>
                <w:color w:val="auto"/>
              </w:rPr>
              <w:t>本项目运营期间产生的固体废物分析情况见表4-1</w:t>
            </w:r>
            <w:r>
              <w:rPr>
                <w:rFonts w:hint="eastAsia" w:ascii="Times New Roman" w:hAnsi="Times New Roman" w:cs="Times New Roman"/>
                <w:color w:val="auto"/>
                <w:lang w:val="en-US" w:eastAsia="zh-CN"/>
              </w:rPr>
              <w:t>6</w:t>
            </w:r>
            <w:r>
              <w:rPr>
                <w:rFonts w:hint="default" w:ascii="Times New Roman" w:hAnsi="Times New Roman" w:cs="Times New Roman"/>
                <w:color w:val="auto"/>
              </w:rPr>
              <w:t>，固体废物处理处置情况见表4-1</w:t>
            </w:r>
            <w:r>
              <w:rPr>
                <w:rFonts w:hint="eastAsia" w:ascii="Times New Roman" w:hAnsi="Times New Roman" w:cs="Times New Roman"/>
                <w:color w:val="auto"/>
                <w:lang w:val="en-US" w:eastAsia="zh-CN"/>
              </w:rPr>
              <w:t>7</w:t>
            </w:r>
            <w:r>
              <w:rPr>
                <w:rFonts w:hint="default" w:ascii="Times New Roman" w:hAnsi="Times New Roman" w:cs="Times New Roman"/>
                <w:color w:val="auto"/>
              </w:rPr>
              <w:t>，危险废物贮存场所（设施）基本情况见表4-1</w:t>
            </w:r>
            <w:r>
              <w:rPr>
                <w:rFonts w:hint="eastAsia" w:ascii="Times New Roman" w:hAnsi="Times New Roman" w:cs="Times New Roman"/>
                <w:color w:val="auto"/>
                <w:lang w:val="en-US" w:eastAsia="zh-CN"/>
              </w:rPr>
              <w:t>8</w:t>
            </w:r>
            <w:r>
              <w:rPr>
                <w:rFonts w:hint="default" w:ascii="Times New Roman" w:hAnsi="Times New Roman" w:cs="Times New Roman"/>
                <w:color w:val="auto"/>
              </w:rPr>
              <w:t>。</w:t>
            </w:r>
          </w:p>
          <w:p w14:paraId="07C9EBC1">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表4-16</w:t>
            </w:r>
            <w:r>
              <w:rPr>
                <w:rFonts w:hint="default" w:ascii="Times New Roman" w:hAnsi="Times New Roman" w:cs="Times New Roman"/>
                <w:color w:val="auto"/>
                <w:lang w:val="en-US" w:eastAsia="zh-CN"/>
              </w:rPr>
              <w:t xml:space="preserve">  固体废物分析情况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282"/>
              <w:gridCol w:w="2278"/>
              <w:gridCol w:w="1411"/>
              <w:gridCol w:w="807"/>
              <w:gridCol w:w="817"/>
            </w:tblGrid>
            <w:tr w14:paraId="683CF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tcBorders>
                    <w:top w:val="single" w:color="auto" w:sz="12" w:space="0"/>
                    <w:left w:val="nil"/>
                    <w:bottom w:val="single" w:color="auto" w:sz="4" w:space="0"/>
                    <w:right w:val="single" w:color="auto" w:sz="4" w:space="0"/>
                    <w:tl2br w:val="nil"/>
                    <w:tr2bl w:val="nil"/>
                  </w:tcBorders>
                  <w:noWrap w:val="0"/>
                  <w:vAlign w:val="center"/>
                </w:tcPr>
                <w:p w14:paraId="6241FBA6">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产生环节</w:t>
                  </w:r>
                </w:p>
              </w:tc>
              <w:tc>
                <w:tcPr>
                  <w:tcW w:w="128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EA7B2D2">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固废名称</w:t>
                  </w:r>
                </w:p>
              </w:tc>
              <w:tc>
                <w:tcPr>
                  <w:tcW w:w="227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F32F40E">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固废属性</w:t>
                  </w:r>
                </w:p>
                <w:p w14:paraId="5AD25CBB">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及代码</w:t>
                  </w:r>
                </w:p>
              </w:tc>
              <w:tc>
                <w:tcPr>
                  <w:tcW w:w="1411"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FAD37DF">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主要有毒有害物质</w:t>
                  </w:r>
                </w:p>
              </w:tc>
              <w:tc>
                <w:tcPr>
                  <w:tcW w:w="80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CE4265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物理性状</w:t>
                  </w:r>
                </w:p>
              </w:tc>
              <w:tc>
                <w:tcPr>
                  <w:tcW w:w="817" w:type="dxa"/>
                  <w:tcBorders>
                    <w:top w:val="single" w:color="auto" w:sz="12" w:space="0"/>
                    <w:left w:val="single" w:color="auto" w:sz="4" w:space="0"/>
                    <w:bottom w:val="single" w:color="auto" w:sz="4" w:space="0"/>
                    <w:right w:val="nil"/>
                    <w:tl2br w:val="nil"/>
                    <w:tr2bl w:val="nil"/>
                  </w:tcBorders>
                  <w:noWrap w:val="0"/>
                  <w:vAlign w:val="center"/>
                </w:tcPr>
                <w:p w14:paraId="2E839F98">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环境危险特性</w:t>
                  </w:r>
                </w:p>
              </w:tc>
            </w:tr>
            <w:tr w14:paraId="725F6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tcBorders>
                    <w:top w:val="single" w:color="auto" w:sz="4" w:space="0"/>
                    <w:left w:val="nil"/>
                    <w:bottom w:val="single" w:color="auto" w:sz="4" w:space="0"/>
                    <w:right w:val="single" w:color="auto" w:sz="4" w:space="0"/>
                    <w:tl2br w:val="nil"/>
                    <w:tr2bl w:val="nil"/>
                  </w:tcBorders>
                  <w:noWrap w:val="0"/>
                  <w:vAlign w:val="center"/>
                </w:tcPr>
                <w:p w14:paraId="59EB9C84">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员工办公、生活</w:t>
                  </w: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99329A">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生活垃圾</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7C50DC">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63AE7D">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4AA50E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固态、液态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7B828466">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w:t>
                  </w:r>
                </w:p>
              </w:tc>
            </w:tr>
            <w:tr w14:paraId="22DD4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restart"/>
                  <w:tcBorders>
                    <w:top w:val="single" w:color="auto" w:sz="4" w:space="0"/>
                    <w:left w:val="nil"/>
                    <w:right w:val="single" w:color="auto" w:sz="4" w:space="0"/>
                    <w:tl2br w:val="nil"/>
                    <w:tr2bl w:val="nil"/>
                  </w:tcBorders>
                  <w:noWrap w:val="0"/>
                  <w:vAlign w:val="center"/>
                </w:tcPr>
                <w:p w14:paraId="424BEC6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涂装</w:t>
                  </w: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8A33E9">
                  <w:pPr>
                    <w:pStyle w:val="30"/>
                    <w:spacing w:beforeLines="0" w:afterLines="0"/>
                    <w:rPr>
                      <w:rFonts w:hint="eastAsia" w:ascii="Times New Roman" w:hAnsi="Times New Roman" w:eastAsia="宋体" w:cs="Times New Roman"/>
                      <w:color w:val="auto"/>
                      <w:sz w:val="21"/>
                      <w:szCs w:val="24"/>
                      <w:lang w:eastAsia="zh-CN"/>
                    </w:rPr>
                  </w:pPr>
                  <w:r>
                    <w:rPr>
                      <w:rFonts w:hint="default" w:ascii="Times New Roman" w:hAnsi="Times New Roman" w:eastAsia="Times New Roman" w:cs="Times New Roman"/>
                      <w:color w:val="auto"/>
                      <w:sz w:val="21"/>
                      <w:szCs w:val="24"/>
                    </w:rPr>
                    <w:t>废</w:t>
                  </w:r>
                  <w:r>
                    <w:rPr>
                      <w:rFonts w:hint="eastAsia" w:ascii="Times New Roman" w:hAnsi="Times New Roman" w:eastAsia="宋体" w:cs="Times New Roman"/>
                      <w:color w:val="auto"/>
                      <w:sz w:val="21"/>
                      <w:szCs w:val="24"/>
                      <w:lang w:val="en-US" w:eastAsia="zh-CN"/>
                    </w:rPr>
                    <w:t>涂料桶</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E31472">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lang w:val="en-US" w:eastAsia="zh-CN"/>
                    </w:rPr>
                    <w:t>HW49其他废物、废物代码为900-041-49</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4766F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非甲烷总烃、二甲苯等</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45676D">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固态</w:t>
                  </w:r>
                  <w:r>
                    <w:rPr>
                      <w:rFonts w:hint="eastAsia" w:ascii="Times New Roman" w:hAnsi="Times New Roman" w:eastAsia="宋体" w:cs="Times New Roman"/>
                      <w:color w:val="auto"/>
                      <w:sz w:val="21"/>
                      <w:szCs w:val="24"/>
                      <w:lang w:eastAsia="zh-CN"/>
                    </w:rPr>
                    <w:t>、</w:t>
                  </w:r>
                  <w:r>
                    <w:rPr>
                      <w:rFonts w:hint="default" w:ascii="Times New Roman" w:hAnsi="Times New Roman" w:eastAsia="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385958EB">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r w14:paraId="48666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bottom w:val="single" w:color="auto" w:sz="4" w:space="0"/>
                    <w:right w:val="single" w:color="auto" w:sz="4" w:space="0"/>
                    <w:tl2br w:val="nil"/>
                    <w:tr2bl w:val="nil"/>
                  </w:tcBorders>
                  <w:noWrap w:val="0"/>
                  <w:vAlign w:val="center"/>
                </w:tcPr>
                <w:p w14:paraId="0B59CB09">
                  <w:pPr>
                    <w:pStyle w:val="30"/>
                    <w:spacing w:beforeLines="0" w:afterLines="0"/>
                    <w:rPr>
                      <w:rFonts w:hint="eastAsia" w:ascii="Times New Roman" w:hAnsi="Times New Roman"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8B80377">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漆渣</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A0031A1">
                  <w:pPr>
                    <w:pStyle w:val="30"/>
                    <w:spacing w:beforeLines="0" w:afterLine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HW12  </w:t>
                  </w: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982AC4C">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非甲烷总烃、二甲苯等</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81E7B65">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固态</w:t>
                  </w:r>
                  <w:r>
                    <w:rPr>
                      <w:rFonts w:hint="eastAsia" w:ascii="Times New Roman" w:hAnsi="Times New Roman" w:eastAsia="宋体" w:cs="Times New Roman"/>
                      <w:color w:val="auto"/>
                      <w:sz w:val="21"/>
                      <w:szCs w:val="24"/>
                      <w:lang w:eastAsia="zh-CN"/>
                    </w:rPr>
                    <w:t>、</w:t>
                  </w:r>
                  <w:r>
                    <w:rPr>
                      <w:rFonts w:hint="default" w:ascii="Times New Roman" w:hAnsi="Times New Roman" w:eastAsia="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32763513">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T，I</w:t>
                  </w:r>
                </w:p>
              </w:tc>
            </w:tr>
            <w:tr w14:paraId="06F81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tcBorders>
                    <w:left w:val="nil"/>
                    <w:bottom w:val="single" w:color="auto" w:sz="4" w:space="0"/>
                    <w:right w:val="single" w:color="auto" w:sz="4" w:space="0"/>
                    <w:tl2br w:val="nil"/>
                    <w:tr2bl w:val="nil"/>
                  </w:tcBorders>
                  <w:noWrap w:val="0"/>
                  <w:vAlign w:val="center"/>
                </w:tcPr>
                <w:p w14:paraId="27381F1F">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打磨</w:t>
                  </w: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C6BFD4">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漆渣</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ECD076">
                  <w:pPr>
                    <w:pStyle w:val="30"/>
                    <w:spacing w:beforeLines="0" w:afterLines="0"/>
                    <w:ind w:firstLine="0" w:firstLineChar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HW12  </w:t>
                  </w: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9CDFCF">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树脂、颜料</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5AAA9B">
                  <w:pPr>
                    <w:pStyle w:val="30"/>
                    <w:spacing w:beforeLines="0" w:afterLines="0"/>
                    <w:ind w:firstLine="0" w:firstLineChars="0"/>
                    <w:rPr>
                      <w:rFonts w:hint="eastAsia" w:ascii="Times New Roman" w:hAnsi="Times New Roman" w:eastAsia="宋体" w:cs="Times New Roman"/>
                      <w:color w:val="auto"/>
                      <w:sz w:val="21"/>
                      <w:szCs w:val="24"/>
                      <w:lang w:eastAsia="zh-CN"/>
                    </w:rPr>
                  </w:pPr>
                  <w:r>
                    <w:rPr>
                      <w:rFonts w:hint="eastAsia" w:ascii="Times New Roman" w:hAnsi="Times New Roman" w:eastAsia="宋体" w:cs="Times New Roman"/>
                      <w:color w:val="auto"/>
                      <w:sz w:val="21"/>
                      <w:szCs w:val="24"/>
                      <w:lang w:val="en-US" w:eastAsia="zh-CN"/>
                    </w:rPr>
                    <w:t>固态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227C96F6">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r w14:paraId="00749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restart"/>
                  <w:tcBorders>
                    <w:top w:val="single" w:color="auto" w:sz="4" w:space="0"/>
                    <w:left w:val="nil"/>
                    <w:right w:val="single" w:color="auto" w:sz="4" w:space="0"/>
                    <w:tl2br w:val="nil"/>
                    <w:tr2bl w:val="nil"/>
                  </w:tcBorders>
                  <w:noWrap w:val="0"/>
                  <w:vAlign w:val="center"/>
                </w:tcPr>
                <w:p w14:paraId="461B5A67">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废气处理</w:t>
                  </w: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6814F95">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废活性炭</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F97A27">
                  <w:pPr>
                    <w:pStyle w:val="30"/>
                    <w:spacing w:beforeLines="0" w:afterLines="0"/>
                    <w:rPr>
                      <w:rFonts w:hint="eastAsia" w:ascii="Times New Roman" w:hAnsi="Times New Roman" w:eastAsia="宋体" w:cs="Times New Roman"/>
                      <w:color w:val="auto"/>
                      <w:sz w:val="21"/>
                      <w:szCs w:val="24"/>
                      <w:lang w:val="en-US" w:eastAsia="zh-CN"/>
                    </w:rPr>
                  </w:pPr>
                  <w:r>
                    <w:rPr>
                      <w:rFonts w:hint="default" w:ascii="Times New Roman" w:hAnsi="Times New Roman" w:eastAsia="Times New Roman" w:cs="Times New Roman"/>
                      <w:color w:val="auto"/>
                      <w:sz w:val="21"/>
                      <w:szCs w:val="24"/>
                    </w:rPr>
                    <w:t>HW49其他废物</w:t>
                  </w:r>
                  <w:r>
                    <w:rPr>
                      <w:rFonts w:hint="eastAsia" w:ascii="Times New Roman" w:hAnsi="Times New Roman" w:eastAsia="宋体" w:cs="Times New Roman"/>
                      <w:color w:val="auto"/>
                      <w:sz w:val="21"/>
                      <w:szCs w:val="24"/>
                      <w:lang w:val="en-US" w:eastAsia="zh-CN"/>
                    </w:rPr>
                    <w:t>900-039-49</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D3868A8">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非甲烷总烃</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93FA27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固态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03A054BC">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w:t>
                  </w:r>
                </w:p>
              </w:tc>
            </w:tr>
            <w:tr w14:paraId="096A3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right w:val="single" w:color="auto" w:sz="4" w:space="0"/>
                    <w:tl2br w:val="nil"/>
                    <w:tr2bl w:val="nil"/>
                  </w:tcBorders>
                  <w:noWrap w:val="0"/>
                  <w:vAlign w:val="center"/>
                </w:tcPr>
                <w:p w14:paraId="2E31BF23">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34C76B2">
                  <w:pPr>
                    <w:pStyle w:val="30"/>
                    <w:spacing w:beforeLines="0" w:afterLines="0"/>
                    <w:rPr>
                      <w:rFonts w:hint="default" w:ascii="Times New Roman" w:hAnsi="Times New Roman" w:eastAsia="Times New Roman" w:cs="Times New Roman"/>
                      <w:color w:val="auto"/>
                      <w:sz w:val="21"/>
                      <w:szCs w:val="24"/>
                    </w:rPr>
                  </w:pPr>
                  <w:r>
                    <w:rPr>
                      <w:rFonts w:hint="eastAsia" w:ascii="Times New Roman" w:hAnsi="Times New Roman" w:cs="Times New Roman"/>
                      <w:color w:val="000000" w:themeColor="text1"/>
                      <w:lang w:val="en-US" w:eastAsia="zh-CN"/>
                      <w14:textFill>
                        <w14:solidFill>
                          <w14:schemeClr w14:val="tx1"/>
                        </w14:solidFill>
                      </w14:textFill>
                    </w:rPr>
                    <w:t>打磨沉渣</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65B771">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HW49其他废物</w:t>
                  </w:r>
                  <w:r>
                    <w:rPr>
                      <w:rFonts w:hint="default" w:ascii="Times New Roman" w:hAnsi="Times New Roman" w:cs="Times New Roman"/>
                      <w:color w:val="000000" w:themeColor="text1"/>
                      <w14:textFill>
                        <w14:solidFill>
                          <w14:schemeClr w14:val="tx1"/>
                        </w14:solidFill>
                      </w14:textFill>
                    </w:rPr>
                    <w:t>900-2</w:t>
                  </w:r>
                  <w:r>
                    <w:rPr>
                      <w:rFonts w:hint="eastAsia"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12</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F5D31C">
                  <w:pPr>
                    <w:pStyle w:val="30"/>
                    <w:spacing w:beforeLines="0" w:afterLines="0"/>
                    <w:ind w:firstLine="0" w:firstLineChar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树脂、颜料等</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5DBE0AB">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固态</w:t>
                  </w:r>
                  <w:r>
                    <w:rPr>
                      <w:rFonts w:hint="eastAsia" w:ascii="Times New Roman" w:hAnsi="Times New Roman" w:eastAsia="宋体" w:cs="Times New Roman"/>
                      <w:color w:val="auto"/>
                      <w:sz w:val="21"/>
                      <w:szCs w:val="24"/>
                      <w:lang w:eastAsia="zh-CN"/>
                    </w:rPr>
                    <w:t>、</w:t>
                  </w:r>
                  <w:r>
                    <w:rPr>
                      <w:rFonts w:hint="default" w:ascii="Times New Roman" w:hAnsi="Times New Roman" w:eastAsia="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5D031D73">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r w14:paraId="77427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right w:val="single" w:color="auto" w:sz="4" w:space="0"/>
                    <w:tl2br w:val="nil"/>
                    <w:tr2bl w:val="nil"/>
                  </w:tcBorders>
                  <w:noWrap w:val="0"/>
                  <w:vAlign w:val="center"/>
                </w:tcPr>
                <w:p w14:paraId="5694B2D9">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A196C2">
                  <w:pPr>
                    <w:pStyle w:val="30"/>
                    <w:spacing w:beforeLines="0" w:afterLine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水帘沉渣</w:t>
                  </w:r>
                </w:p>
              </w:tc>
              <w:tc>
                <w:tcPr>
                  <w:tcW w:w="2278"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7812E4">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HW49其他废物</w:t>
                  </w:r>
                  <w:r>
                    <w:rPr>
                      <w:rFonts w:hint="default" w:ascii="Times New Roman" w:hAnsi="Times New Roman" w:cs="Times New Roman"/>
                      <w:color w:val="000000" w:themeColor="text1"/>
                      <w14:textFill>
                        <w14:solidFill>
                          <w14:schemeClr w14:val="tx1"/>
                        </w14:solidFill>
                      </w14:textFill>
                    </w:rPr>
                    <w:t>900-2</w:t>
                  </w:r>
                  <w:r>
                    <w:rPr>
                      <w:rFonts w:hint="eastAsia"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12</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D82682">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树脂、颜料等</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197D0F">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固态</w:t>
                  </w:r>
                  <w:r>
                    <w:rPr>
                      <w:rFonts w:hint="eastAsia" w:ascii="Times New Roman" w:hAnsi="Times New Roman" w:eastAsia="宋体" w:cs="Times New Roman"/>
                      <w:color w:val="auto"/>
                      <w:sz w:val="21"/>
                      <w:szCs w:val="24"/>
                      <w:lang w:eastAsia="zh-CN"/>
                    </w:rPr>
                    <w:t>、</w:t>
                  </w:r>
                  <w:r>
                    <w:rPr>
                      <w:rFonts w:hint="default" w:ascii="Times New Roman" w:hAnsi="Times New Roman" w:eastAsia="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6D7BC4B2">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T，I</w:t>
                  </w:r>
                </w:p>
              </w:tc>
            </w:tr>
            <w:tr w14:paraId="30528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right w:val="single" w:color="auto" w:sz="4" w:space="0"/>
                    <w:tl2br w:val="nil"/>
                    <w:tr2bl w:val="nil"/>
                  </w:tcBorders>
                  <w:noWrap w:val="0"/>
                  <w:vAlign w:val="center"/>
                </w:tcPr>
                <w:p w14:paraId="6E1EC33E">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2D4F46">
                  <w:pPr>
                    <w:pStyle w:val="30"/>
                    <w:spacing w:beforeLines="0" w:afterLine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水帘废液</w:t>
                  </w:r>
                </w:p>
              </w:tc>
              <w:tc>
                <w:tcPr>
                  <w:tcW w:w="2278"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3B5C1F">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HW49其他废物</w:t>
                  </w:r>
                  <w:r>
                    <w:rPr>
                      <w:rFonts w:hint="default" w:ascii="Times New Roman" w:hAnsi="Times New Roman" w:cs="Times New Roman"/>
                      <w:color w:val="000000" w:themeColor="text1"/>
                      <w14:textFill>
                        <w14:solidFill>
                          <w14:schemeClr w14:val="tx1"/>
                        </w14:solidFill>
                      </w14:textFill>
                    </w:rPr>
                    <w:t>900-2</w:t>
                  </w:r>
                  <w:r>
                    <w:rPr>
                      <w:rFonts w:hint="eastAsia" w:ascii="Times New Roman" w:hAnsi="Times New Roman" w:cs="Times New Roman"/>
                      <w:color w:val="000000" w:themeColor="text1"/>
                      <w:lang w:val="en-US" w:eastAsia="zh-CN"/>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12</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28030C">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树脂、颜料等</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AD5F436">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67026B0E">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T，I</w:t>
                  </w:r>
                </w:p>
              </w:tc>
            </w:tr>
            <w:tr w14:paraId="0266B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right w:val="single" w:color="auto" w:sz="4" w:space="0"/>
                    <w:tl2br w:val="nil"/>
                    <w:tr2bl w:val="nil"/>
                  </w:tcBorders>
                  <w:noWrap w:val="0"/>
                  <w:vAlign w:val="center"/>
                </w:tcPr>
                <w:p w14:paraId="1A0A7DAE">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1C57CF4">
                  <w:pPr>
                    <w:pStyle w:val="30"/>
                    <w:spacing w:beforeLines="0" w:afterLine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废催化剂</w:t>
                  </w:r>
                </w:p>
              </w:tc>
              <w:tc>
                <w:tcPr>
                  <w:tcW w:w="2278"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F22AE2">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cs="Times New Roman"/>
                      <w:color w:val="000000" w:themeColor="text1"/>
                      <w:lang w:val="en-US" w:eastAsia="zh-CN"/>
                      <w14:textFill>
                        <w14:solidFill>
                          <w14:schemeClr w14:val="tx1"/>
                        </w14:solidFill>
                      </w14:textFill>
                    </w:rPr>
                    <w:t>HW50：900-049-50</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EBAC1FA">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铂、钯等</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4CEC74C">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固态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3C2C1944">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T</w:t>
                  </w:r>
                </w:p>
              </w:tc>
            </w:tr>
            <w:tr w14:paraId="16F40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right w:val="single" w:color="auto" w:sz="4" w:space="0"/>
                    <w:tl2br w:val="nil"/>
                    <w:tr2bl w:val="nil"/>
                  </w:tcBorders>
                  <w:noWrap w:val="0"/>
                  <w:vAlign w:val="center"/>
                </w:tcPr>
                <w:p w14:paraId="4FBED0E1">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0092F1D">
                  <w:pPr>
                    <w:pStyle w:val="30"/>
                    <w:spacing w:beforeLines="0" w:afterLine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废布袋</w:t>
                  </w:r>
                </w:p>
              </w:tc>
              <w:tc>
                <w:tcPr>
                  <w:tcW w:w="2278"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CACAF9">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HW49其他废物、废物代码为900-041-49</w:t>
                  </w:r>
                </w:p>
              </w:tc>
              <w:tc>
                <w:tcPr>
                  <w:tcW w:w="141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BE85F05">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树脂、颜料等</w:t>
                  </w:r>
                </w:p>
              </w:tc>
              <w:tc>
                <w:tcPr>
                  <w:tcW w:w="80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2443941">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固态</w:t>
                  </w:r>
                </w:p>
              </w:tc>
              <w:tc>
                <w:tcPr>
                  <w:tcW w:w="817"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0A1AEF9B">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eastAsia="Times New Roman" w:cs="Times New Roman"/>
                      <w:color w:val="auto"/>
                      <w:sz w:val="21"/>
                      <w:szCs w:val="24"/>
                    </w:rPr>
                    <w:t>T，I</w:t>
                  </w:r>
                </w:p>
              </w:tc>
            </w:tr>
            <w:tr w14:paraId="14E38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bottom w:val="single" w:color="auto" w:sz="4" w:space="0"/>
                    <w:right w:val="single" w:color="auto" w:sz="4" w:space="0"/>
                    <w:tl2br w:val="nil"/>
                    <w:tr2bl w:val="nil"/>
                  </w:tcBorders>
                  <w:noWrap w:val="0"/>
                  <w:vAlign w:val="center"/>
                </w:tcPr>
                <w:p w14:paraId="053942C3">
                  <w:pPr>
                    <w:pStyle w:val="30"/>
                    <w:spacing w:beforeLines="0" w:afterLines="0"/>
                    <w:rPr>
                      <w:rFonts w:hint="eastAsia" w:ascii="Times New Roman" w:hAnsi="Times New Roman" w:eastAsia="宋体" w:cs="Times New Roman"/>
                      <w:color w:val="auto"/>
                      <w:sz w:val="21"/>
                      <w:szCs w:val="24"/>
                      <w:lang w:val="en-US" w:eastAsia="zh-CN"/>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4E8B0AF">
                  <w:pPr>
                    <w:pStyle w:val="30"/>
                    <w:spacing w:beforeLines="0" w:afterLines="0"/>
                    <w:rPr>
                      <w:rFonts w:hint="default" w:ascii="Times New Roman" w:hAnsi="Times New Roman" w:eastAsia="Times New Roman" w:cs="Times New Roman"/>
                      <w:color w:val="auto"/>
                      <w:sz w:val="21"/>
                      <w:szCs w:val="24"/>
                    </w:rPr>
                  </w:pPr>
                  <w:r>
                    <w:rPr>
                      <w:rFonts w:hint="eastAsia" w:ascii="Times New Roman" w:hAnsi="Times New Roman" w:cs="Times New Roman"/>
                      <w:color w:val="000000" w:themeColor="text1"/>
                      <w:lang w:val="en-US" w:eastAsia="zh-CN"/>
                      <w14:textFill>
                        <w14:solidFill>
                          <w14:schemeClr w14:val="tx1"/>
                        </w14:solidFill>
                      </w14:textFill>
                    </w:rPr>
                    <w:t>废过滤芯</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342EA54">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000000" w:themeColor="text1"/>
                      <w14:textFill>
                        <w14:solidFill>
                          <w14:schemeClr w14:val="tx1"/>
                        </w14:solidFill>
                      </w14:textFill>
                    </w:rPr>
                    <w:t>HW49其他废物、废物代码为900-041-49</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A41146">
                  <w:pPr>
                    <w:pStyle w:val="30"/>
                    <w:spacing w:beforeLines="0" w:afterLines="0"/>
                    <w:ind w:firstLine="0" w:firstLineChar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非甲烷总烃、二甲苯等、树脂、颜料等</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BAA2E9">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固态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67963D30">
                  <w:pPr>
                    <w:pStyle w:val="30"/>
                    <w:spacing w:beforeLines="0" w:afterLines="0"/>
                    <w:ind w:firstLine="0" w:firstLineChar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r w14:paraId="7F729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restart"/>
                  <w:tcBorders>
                    <w:top w:val="single" w:color="auto" w:sz="4" w:space="0"/>
                    <w:left w:val="nil"/>
                    <w:right w:val="single" w:color="auto" w:sz="4" w:space="0"/>
                    <w:tl2br w:val="nil"/>
                    <w:tr2bl w:val="nil"/>
                  </w:tcBorders>
                  <w:noWrap w:val="0"/>
                  <w:vAlign w:val="center"/>
                </w:tcPr>
                <w:p w14:paraId="5E1E577C">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机械设备的运行和维修过程</w:t>
                  </w: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67DC7B8">
                  <w:pPr>
                    <w:pStyle w:val="30"/>
                    <w:ind w:firstLine="0" w:firstLineChars="0"/>
                    <w:rPr>
                      <w:rFonts w:hint="default" w:ascii="Times New Roman" w:hAnsi="Times New Roman" w:eastAsia="Times New Roman" w:cs="Times New Roman"/>
                      <w:color w:val="auto"/>
                      <w:kern w:val="2"/>
                      <w:sz w:val="21"/>
                      <w:szCs w:val="24"/>
                      <w:lang w:val="en-US" w:eastAsia="zh-CN" w:bidi="ar-SA"/>
                    </w:rPr>
                  </w:pPr>
                  <w:r>
                    <w:rPr>
                      <w:rFonts w:hint="eastAsia" w:ascii="Times New Roman" w:hAnsi="Times New Roman" w:eastAsia="Times New Roman" w:cs="Times New Roman"/>
                      <w:color w:val="auto"/>
                      <w:sz w:val="21"/>
                      <w:szCs w:val="24"/>
                    </w:rPr>
                    <w:t>废机油</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A58AF9B">
                  <w:pPr>
                    <w:pStyle w:val="30"/>
                    <w:spacing w:beforeLines="0" w:afterLines="0"/>
                    <w:rPr>
                      <w:rFonts w:hint="eastAsia"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HW08废矿物油与含矿物油废物</w:t>
                  </w:r>
                  <w:r>
                    <w:rPr>
                      <w:rFonts w:hint="eastAsia" w:ascii="Times New Roman" w:hAnsi="Times New Roman" w:cs="Times New Roman"/>
                      <w:color w:val="auto"/>
                      <w:sz w:val="21"/>
                      <w:szCs w:val="24"/>
                      <w:lang w:val="en-US" w:eastAsia="zh-CN"/>
                    </w:rPr>
                    <w:t>-900-214-08</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54A7237">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废矿物油</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743401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液态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14E52505">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r w14:paraId="732FC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vMerge w:val="continue"/>
                  <w:tcBorders>
                    <w:left w:val="nil"/>
                    <w:bottom w:val="single" w:color="auto" w:sz="4" w:space="0"/>
                    <w:right w:val="single" w:color="auto" w:sz="4" w:space="0"/>
                    <w:tl2br w:val="nil"/>
                    <w:tr2bl w:val="nil"/>
                  </w:tcBorders>
                  <w:noWrap w:val="0"/>
                  <w:vAlign w:val="center"/>
                </w:tcPr>
                <w:p w14:paraId="62A31411">
                  <w:pPr>
                    <w:pStyle w:val="30"/>
                    <w:spacing w:beforeLines="0" w:afterLines="0"/>
                    <w:rPr>
                      <w:rFonts w:hint="default" w:ascii="Times New Roman" w:hAnsi="Times New Roman" w:eastAsia="Times New Roman" w:cs="Times New Roman"/>
                      <w:color w:val="auto"/>
                      <w:sz w:val="21"/>
                      <w:szCs w:val="24"/>
                    </w:rPr>
                  </w:pPr>
                </w:p>
              </w:tc>
              <w:tc>
                <w:tcPr>
                  <w:tcW w:w="12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CE951F">
                  <w:pPr>
                    <w:pStyle w:val="30"/>
                    <w:ind w:firstLine="0" w:firstLineChars="0"/>
                    <w:rPr>
                      <w:rFonts w:hint="default" w:ascii="Times New Roman" w:hAnsi="Times New Roman" w:eastAsia="Times New Roman" w:cs="Times New Roman"/>
                      <w:color w:val="auto"/>
                      <w:kern w:val="2"/>
                      <w:sz w:val="21"/>
                      <w:szCs w:val="24"/>
                      <w:lang w:val="en-US" w:eastAsia="zh-CN" w:bidi="ar-SA"/>
                    </w:rPr>
                  </w:pPr>
                  <w:r>
                    <w:rPr>
                      <w:rFonts w:hint="eastAsia" w:ascii="Times New Roman" w:hAnsi="Times New Roman" w:eastAsia="Times New Roman" w:cs="Times New Roman"/>
                      <w:color w:val="auto"/>
                      <w:sz w:val="21"/>
                      <w:szCs w:val="24"/>
                    </w:rPr>
                    <w:t>废机油桶</w:t>
                  </w:r>
                </w:p>
              </w:tc>
              <w:tc>
                <w:tcPr>
                  <w:tcW w:w="22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652EDBB">
                  <w:pPr>
                    <w:pStyle w:val="30"/>
                    <w:spacing w:beforeLines="0" w:afterLines="0"/>
                    <w:rPr>
                      <w:rFonts w:hint="eastAsia"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HW08废矿物油与含矿物油废物</w:t>
                  </w:r>
                  <w:r>
                    <w:rPr>
                      <w:rFonts w:hint="eastAsia" w:ascii="Times New Roman" w:hAnsi="Times New Roman" w:cs="Times New Roman"/>
                      <w:color w:val="auto"/>
                      <w:sz w:val="21"/>
                      <w:szCs w:val="24"/>
                      <w:lang w:val="en-US" w:eastAsia="zh-CN"/>
                    </w:rPr>
                    <w:t>-900-249-08</w:t>
                  </w:r>
                </w:p>
              </w:tc>
              <w:tc>
                <w:tcPr>
                  <w:tcW w:w="141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2026CDD">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废矿物油</w:t>
                  </w:r>
                </w:p>
              </w:tc>
              <w:tc>
                <w:tcPr>
                  <w:tcW w:w="8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25AEBE">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固态、液态</w:t>
                  </w:r>
                </w:p>
              </w:tc>
              <w:tc>
                <w:tcPr>
                  <w:tcW w:w="817" w:type="dxa"/>
                  <w:tcBorders>
                    <w:top w:val="single" w:color="auto" w:sz="4" w:space="0"/>
                    <w:left w:val="single" w:color="auto" w:sz="4" w:space="0"/>
                    <w:bottom w:val="single" w:color="auto" w:sz="4" w:space="0"/>
                    <w:right w:val="nil"/>
                    <w:tl2br w:val="nil"/>
                    <w:tr2bl w:val="nil"/>
                  </w:tcBorders>
                  <w:noWrap w:val="0"/>
                  <w:vAlign w:val="center"/>
                </w:tcPr>
                <w:p w14:paraId="7AD139B4">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T，I</w:t>
                  </w:r>
                </w:p>
              </w:tc>
            </w:tr>
          </w:tbl>
          <w:p w14:paraId="46A6AAD4">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表4-17</w:t>
            </w:r>
            <w:r>
              <w:rPr>
                <w:rFonts w:hint="default" w:ascii="Times New Roman" w:hAnsi="Times New Roman" w:cs="Times New Roman"/>
                <w:color w:val="auto"/>
                <w:lang w:val="en-US" w:eastAsia="zh-CN"/>
              </w:rPr>
              <w:t xml:space="preserve">  固体废物处理处置情况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963"/>
              <w:gridCol w:w="1551"/>
              <w:gridCol w:w="1324"/>
              <w:gridCol w:w="1321"/>
              <w:gridCol w:w="1328"/>
            </w:tblGrid>
            <w:tr w14:paraId="1D6F4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12" w:space="0"/>
                    <w:left w:val="nil"/>
                    <w:bottom w:val="single" w:color="auto" w:sz="4" w:space="0"/>
                    <w:right w:val="single" w:color="auto" w:sz="4" w:space="0"/>
                    <w:tl2br w:val="nil"/>
                    <w:tr2bl w:val="nil"/>
                  </w:tcBorders>
                  <w:noWrap w:val="0"/>
                  <w:vAlign w:val="center"/>
                </w:tcPr>
                <w:p w14:paraId="595FE06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固废名称</w:t>
                  </w:r>
                </w:p>
              </w:tc>
              <w:tc>
                <w:tcPr>
                  <w:tcW w:w="969"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52CF68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年产生量（t）</w:t>
                  </w:r>
                </w:p>
              </w:tc>
              <w:tc>
                <w:tcPr>
                  <w:tcW w:w="156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97CA2E7">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贮存方式</w:t>
                  </w:r>
                </w:p>
              </w:tc>
              <w:tc>
                <w:tcPr>
                  <w:tcW w:w="1333"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9734D2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处理、处置方式</w:t>
                  </w:r>
                </w:p>
              </w:tc>
              <w:tc>
                <w:tcPr>
                  <w:tcW w:w="133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7CD0DF42">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最终</w:t>
                  </w:r>
                </w:p>
                <w:p w14:paraId="49B8334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去向</w:t>
                  </w:r>
                </w:p>
              </w:tc>
              <w:tc>
                <w:tcPr>
                  <w:tcW w:w="1336" w:type="dxa"/>
                  <w:tcBorders>
                    <w:top w:val="single" w:color="auto" w:sz="12" w:space="0"/>
                    <w:left w:val="single" w:color="auto" w:sz="4" w:space="0"/>
                    <w:bottom w:val="single" w:color="auto" w:sz="4" w:space="0"/>
                    <w:right w:val="nil"/>
                    <w:tl2br w:val="nil"/>
                    <w:tr2bl w:val="nil"/>
                  </w:tcBorders>
                  <w:noWrap w:val="0"/>
                  <w:vAlign w:val="center"/>
                </w:tcPr>
                <w:p w14:paraId="75973D0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处理、处置量（t）</w:t>
                  </w:r>
                </w:p>
              </w:tc>
            </w:tr>
            <w:tr w14:paraId="63ACB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38E0559B">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生活垃圾</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B60038">
                  <w:pPr>
                    <w:pStyle w:val="30"/>
                    <w:spacing w:beforeLines="0" w:afterLines="0"/>
                    <w:rPr>
                      <w:rFonts w:hint="default" w:ascii="Times New Roman" w:hAnsi="Times New Roman" w:cs="Times New Roman"/>
                      <w:color w:val="auto"/>
                      <w:sz w:val="21"/>
                      <w:szCs w:val="24"/>
                      <w:lang w:val="en-US"/>
                    </w:rPr>
                  </w:pPr>
                  <w:r>
                    <w:rPr>
                      <w:rFonts w:hint="eastAsia" w:ascii="Times New Roman" w:hAnsi="Times New Roman" w:cs="Times New Roman"/>
                      <w:color w:val="auto"/>
                      <w:sz w:val="21"/>
                      <w:szCs w:val="24"/>
                      <w:lang w:val="en-US" w:eastAsia="zh-CN"/>
                    </w:rPr>
                    <w:t>1.5</w:t>
                  </w:r>
                </w:p>
              </w:tc>
              <w:tc>
                <w:tcPr>
                  <w:tcW w:w="156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9CD358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垃圾桶</w:t>
                  </w:r>
                </w:p>
              </w:tc>
              <w:tc>
                <w:tcPr>
                  <w:tcW w:w="133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9E8FA3">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交由环卫部门清运处理</w:t>
                  </w:r>
                </w:p>
              </w:tc>
              <w:tc>
                <w:tcPr>
                  <w:tcW w:w="13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42DA9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交由环卫部门清运处理</w:t>
                  </w:r>
                </w:p>
              </w:tc>
              <w:tc>
                <w:tcPr>
                  <w:tcW w:w="1336" w:type="dxa"/>
                  <w:tcBorders>
                    <w:top w:val="single" w:color="auto" w:sz="4" w:space="0"/>
                    <w:left w:val="single" w:color="auto" w:sz="4" w:space="0"/>
                    <w:bottom w:val="single" w:color="auto" w:sz="4" w:space="0"/>
                    <w:right w:val="nil"/>
                    <w:tl2br w:val="nil"/>
                    <w:tr2bl w:val="nil"/>
                  </w:tcBorders>
                  <w:noWrap w:val="0"/>
                  <w:vAlign w:val="center"/>
                </w:tcPr>
                <w:p w14:paraId="2F012A7D">
                  <w:pPr>
                    <w:pStyle w:val="30"/>
                    <w:spacing w:beforeLines="0" w:afterLines="0"/>
                    <w:rPr>
                      <w:rFonts w:hint="default" w:ascii="Times New Roman" w:hAnsi="Times New Roman" w:cs="Times New Roman"/>
                      <w:color w:val="auto"/>
                      <w:sz w:val="21"/>
                      <w:szCs w:val="24"/>
                      <w:lang w:val="en-US"/>
                    </w:rPr>
                  </w:pPr>
                  <w:r>
                    <w:rPr>
                      <w:rFonts w:hint="eastAsia" w:ascii="Times New Roman" w:hAnsi="Times New Roman" w:cs="Times New Roman"/>
                      <w:color w:val="auto"/>
                      <w:sz w:val="21"/>
                      <w:szCs w:val="24"/>
                      <w:lang w:val="en-US" w:eastAsia="zh-CN"/>
                    </w:rPr>
                    <w:t>1.5</w:t>
                  </w:r>
                </w:p>
              </w:tc>
            </w:tr>
            <w:tr w14:paraId="39C37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16F23A8C">
                  <w:pPr>
                    <w:pStyle w:val="30"/>
                    <w:spacing w:beforeLines="0" w:afterLines="0"/>
                    <w:ind w:firstLine="0" w:firstLineChars="0"/>
                    <w:rPr>
                      <w:rFonts w:hint="default" w:ascii="Times New Roman" w:hAnsi="Times New Roman" w:cs="Times New Roman"/>
                      <w:color w:val="FF0000"/>
                      <w:sz w:val="21"/>
                      <w:szCs w:val="24"/>
                    </w:rPr>
                  </w:pPr>
                  <w:r>
                    <w:rPr>
                      <w:rFonts w:hint="default" w:ascii="Times New Roman" w:hAnsi="Times New Roman" w:eastAsia="Times New Roman" w:cs="Times New Roman"/>
                      <w:color w:val="auto"/>
                      <w:sz w:val="21"/>
                      <w:szCs w:val="24"/>
                    </w:rPr>
                    <w:t>废</w:t>
                  </w:r>
                  <w:r>
                    <w:rPr>
                      <w:rFonts w:hint="eastAsia" w:ascii="Times New Roman" w:hAnsi="Times New Roman" w:eastAsia="宋体" w:cs="Times New Roman"/>
                      <w:color w:val="auto"/>
                      <w:sz w:val="21"/>
                      <w:szCs w:val="24"/>
                      <w:lang w:val="en-US" w:eastAsia="zh-CN"/>
                    </w:rPr>
                    <w:t>涂料桶</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C269AC">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0.6</w:t>
                  </w:r>
                </w:p>
              </w:tc>
              <w:tc>
                <w:tcPr>
                  <w:tcW w:w="1562" w:type="dxa"/>
                  <w:vMerge w:val="restart"/>
                  <w:tcBorders>
                    <w:top w:val="single" w:color="auto" w:sz="4" w:space="0"/>
                    <w:left w:val="single" w:color="auto" w:sz="4" w:space="0"/>
                    <w:right w:val="single" w:color="auto" w:sz="4" w:space="0"/>
                    <w:tl2br w:val="nil"/>
                    <w:tr2bl w:val="nil"/>
                  </w:tcBorders>
                  <w:noWrap w:val="0"/>
                  <w:vAlign w:val="center"/>
                </w:tcPr>
                <w:p w14:paraId="19C13FC8">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危废暂存间（20 m</w:t>
                  </w:r>
                  <w:r>
                    <w:rPr>
                      <w:rFonts w:hint="default" w:ascii="Times New Roman" w:hAnsi="Times New Roman" w:cs="Times New Roman"/>
                      <w:color w:val="auto"/>
                      <w:sz w:val="21"/>
                      <w:szCs w:val="24"/>
                      <w:vertAlign w:val="superscript"/>
                    </w:rPr>
                    <w:t>2</w:t>
                  </w:r>
                  <w:r>
                    <w:rPr>
                      <w:rFonts w:hint="default" w:ascii="Times New Roman" w:hAnsi="Times New Roman" w:cs="Times New Roman"/>
                      <w:color w:val="auto"/>
                      <w:sz w:val="21"/>
                      <w:szCs w:val="24"/>
                    </w:rPr>
                    <w:t>）</w:t>
                  </w:r>
                </w:p>
              </w:tc>
              <w:tc>
                <w:tcPr>
                  <w:tcW w:w="1333" w:type="dxa"/>
                  <w:vMerge w:val="restart"/>
                  <w:tcBorders>
                    <w:top w:val="single" w:color="auto" w:sz="4" w:space="0"/>
                    <w:left w:val="single" w:color="auto" w:sz="4" w:space="0"/>
                    <w:right w:val="single" w:color="auto" w:sz="4" w:space="0"/>
                    <w:tl2br w:val="nil"/>
                    <w:tr2bl w:val="nil"/>
                  </w:tcBorders>
                  <w:noWrap w:val="0"/>
                  <w:vAlign w:val="center"/>
                </w:tcPr>
                <w:p w14:paraId="5290E750">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定期交有资质单位处置</w:t>
                  </w:r>
                </w:p>
              </w:tc>
              <w:tc>
                <w:tcPr>
                  <w:tcW w:w="1330" w:type="dxa"/>
                  <w:vMerge w:val="restart"/>
                  <w:tcBorders>
                    <w:top w:val="single" w:color="auto" w:sz="4" w:space="0"/>
                    <w:left w:val="single" w:color="auto" w:sz="4" w:space="0"/>
                    <w:right w:val="single" w:color="auto" w:sz="4" w:space="0"/>
                    <w:tl2br w:val="nil"/>
                    <w:tr2bl w:val="nil"/>
                  </w:tcBorders>
                  <w:noWrap w:val="0"/>
                  <w:vAlign w:val="center"/>
                </w:tcPr>
                <w:p w14:paraId="43FD2C82">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定期交有资质单位处置</w:t>
                  </w: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601FA9E0">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0.6</w:t>
                  </w:r>
                </w:p>
              </w:tc>
            </w:tr>
            <w:tr w14:paraId="76DA81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7817228F">
                  <w:pPr>
                    <w:pStyle w:val="30"/>
                    <w:spacing w:beforeLines="0" w:afterLines="0"/>
                    <w:ind w:firstLine="0" w:firstLineChars="0"/>
                    <w:rPr>
                      <w:rFonts w:hint="default" w:ascii="Times New Roman" w:hAnsi="Times New Roman" w:cs="Times New Roman"/>
                      <w:color w:val="FF0000"/>
                      <w:sz w:val="21"/>
                      <w:szCs w:val="24"/>
                    </w:rPr>
                  </w:pPr>
                  <w:r>
                    <w:rPr>
                      <w:rFonts w:hint="eastAsia" w:ascii="Times New Roman" w:hAnsi="Times New Roman" w:eastAsia="宋体" w:cs="Times New Roman"/>
                      <w:color w:val="auto"/>
                      <w:sz w:val="21"/>
                      <w:szCs w:val="24"/>
                      <w:lang w:val="en-US" w:eastAsia="zh-CN"/>
                    </w:rPr>
                    <w:t>漆渣</w:t>
                  </w:r>
                  <w:r>
                    <w:rPr>
                      <w:rFonts w:hint="eastAsia" w:ascii="Times New Roman" w:hAnsi="Times New Roman" w:cs="Times New Roman"/>
                      <w:color w:val="auto"/>
                      <w:sz w:val="21"/>
                      <w:szCs w:val="24"/>
                      <w:lang w:val="en-US" w:eastAsia="zh-CN"/>
                    </w:rPr>
                    <w:t>（喷漆）</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D63221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0.3255</w:t>
                  </w:r>
                </w:p>
              </w:tc>
              <w:tc>
                <w:tcPr>
                  <w:tcW w:w="1562" w:type="dxa"/>
                  <w:vMerge w:val="continue"/>
                  <w:tcBorders>
                    <w:left w:val="single" w:color="auto" w:sz="4" w:space="0"/>
                    <w:right w:val="single" w:color="auto" w:sz="4" w:space="0"/>
                    <w:tl2br w:val="nil"/>
                    <w:tr2bl w:val="nil"/>
                  </w:tcBorders>
                  <w:noWrap w:val="0"/>
                  <w:vAlign w:val="center"/>
                </w:tcPr>
                <w:p w14:paraId="163DE61B">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4A09D0FC">
                  <w:pPr>
                    <w:pStyle w:val="30"/>
                    <w:spacing w:beforeLines="0" w:afterLines="0"/>
                    <w:ind w:firstLine="0" w:firstLineChar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6A90B694">
                  <w:pPr>
                    <w:pStyle w:val="30"/>
                    <w:spacing w:beforeLines="0" w:afterLines="0"/>
                    <w:ind w:firstLine="0" w:firstLineChar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1ECD44D1">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0.3255</w:t>
                  </w:r>
                </w:p>
              </w:tc>
            </w:tr>
            <w:tr w14:paraId="1E246A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19F57D8D">
                  <w:pPr>
                    <w:pStyle w:val="30"/>
                    <w:spacing w:beforeLines="0" w:afterLines="0"/>
                    <w:ind w:firstLine="0" w:firstLineChars="0"/>
                    <w:rPr>
                      <w:rFonts w:hint="default" w:ascii="Times New Roman" w:hAnsi="Times New Roman" w:cs="Times New Roman"/>
                      <w:color w:val="FF0000"/>
                      <w:sz w:val="21"/>
                      <w:szCs w:val="24"/>
                    </w:rPr>
                  </w:pPr>
                  <w:r>
                    <w:rPr>
                      <w:rFonts w:hint="eastAsia" w:ascii="Times New Roman" w:hAnsi="Times New Roman" w:cs="Times New Roman"/>
                      <w:color w:val="auto"/>
                      <w:sz w:val="21"/>
                      <w:szCs w:val="24"/>
                      <w:lang w:val="en-US" w:eastAsia="zh-CN"/>
                    </w:rPr>
                    <w:t>漆渣（打磨）</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2CDBAB">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0.02</w:t>
                  </w:r>
                </w:p>
              </w:tc>
              <w:tc>
                <w:tcPr>
                  <w:tcW w:w="1562" w:type="dxa"/>
                  <w:vMerge w:val="continue"/>
                  <w:tcBorders>
                    <w:left w:val="single" w:color="auto" w:sz="4" w:space="0"/>
                    <w:right w:val="single" w:color="auto" w:sz="4" w:space="0"/>
                    <w:tl2br w:val="nil"/>
                    <w:tr2bl w:val="nil"/>
                  </w:tcBorders>
                  <w:noWrap w:val="0"/>
                  <w:vAlign w:val="center"/>
                </w:tcPr>
                <w:p w14:paraId="01BBB1C2">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4FA9F468">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631D147C">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3FFE5D5C">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0.02</w:t>
                  </w:r>
                </w:p>
              </w:tc>
            </w:tr>
            <w:tr w14:paraId="4C965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13E0E6A0">
                  <w:pPr>
                    <w:pStyle w:val="30"/>
                    <w:spacing w:beforeLines="0" w:afterLines="0"/>
                    <w:ind w:firstLine="0" w:firstLineChars="0"/>
                    <w:rPr>
                      <w:rFonts w:hint="default" w:ascii="Times New Roman" w:hAnsi="Times New Roman" w:cs="Times New Roman"/>
                      <w:color w:val="FF0000"/>
                      <w:sz w:val="21"/>
                      <w:szCs w:val="24"/>
                    </w:rPr>
                  </w:pPr>
                  <w:r>
                    <w:rPr>
                      <w:rFonts w:hint="default" w:ascii="Times New Roman" w:hAnsi="Times New Roman" w:eastAsia="Times New Roman" w:cs="Times New Roman"/>
                      <w:color w:val="auto"/>
                      <w:sz w:val="21"/>
                      <w:szCs w:val="24"/>
                    </w:rPr>
                    <w:t>废活性炭</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35E1D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2.48</w:t>
                  </w:r>
                </w:p>
              </w:tc>
              <w:tc>
                <w:tcPr>
                  <w:tcW w:w="1562" w:type="dxa"/>
                  <w:vMerge w:val="continue"/>
                  <w:tcBorders>
                    <w:left w:val="single" w:color="auto" w:sz="4" w:space="0"/>
                    <w:right w:val="single" w:color="auto" w:sz="4" w:space="0"/>
                    <w:tl2br w:val="nil"/>
                    <w:tr2bl w:val="nil"/>
                  </w:tcBorders>
                  <w:noWrap w:val="0"/>
                  <w:vAlign w:val="center"/>
                </w:tcPr>
                <w:p w14:paraId="4CA55B01">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5ADDAE3B">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0DB3520D">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2DF4A7EC">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2.48</w:t>
                  </w:r>
                </w:p>
              </w:tc>
            </w:tr>
            <w:tr w14:paraId="7B767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3E155AE0">
                  <w:pPr>
                    <w:pStyle w:val="30"/>
                    <w:spacing w:beforeLines="0" w:afterLines="0"/>
                    <w:ind w:firstLine="0" w:firstLineChars="0"/>
                    <w:rPr>
                      <w:rFonts w:hint="default" w:ascii="Times New Roman" w:hAnsi="Times New Roman" w:cs="Times New Roman"/>
                      <w:color w:val="FF0000"/>
                      <w:sz w:val="21"/>
                      <w:szCs w:val="24"/>
                    </w:rPr>
                  </w:pPr>
                  <w:r>
                    <w:rPr>
                      <w:rFonts w:hint="eastAsia" w:ascii="Times New Roman" w:hAnsi="Times New Roman" w:cs="Times New Roman"/>
                      <w:color w:val="000000" w:themeColor="text1"/>
                      <w:lang w:val="en-US" w:eastAsia="zh-CN"/>
                      <w14:textFill>
                        <w14:solidFill>
                          <w14:schemeClr w14:val="tx1"/>
                        </w14:solidFill>
                      </w14:textFill>
                    </w:rPr>
                    <w:t>打磨沉渣</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0F98E7">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1.781</w:t>
                  </w:r>
                </w:p>
              </w:tc>
              <w:tc>
                <w:tcPr>
                  <w:tcW w:w="1562" w:type="dxa"/>
                  <w:vMerge w:val="continue"/>
                  <w:tcBorders>
                    <w:left w:val="single" w:color="auto" w:sz="4" w:space="0"/>
                    <w:right w:val="single" w:color="auto" w:sz="4" w:space="0"/>
                    <w:tl2br w:val="nil"/>
                    <w:tr2bl w:val="nil"/>
                  </w:tcBorders>
                  <w:noWrap w:val="0"/>
                  <w:vAlign w:val="center"/>
                </w:tcPr>
                <w:p w14:paraId="7D8F8739">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17CB122A">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04B78ED9">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4C39F0C1">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1.781</w:t>
                  </w:r>
                </w:p>
              </w:tc>
            </w:tr>
            <w:tr w14:paraId="681A0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34F07768">
                  <w:pPr>
                    <w:pStyle w:val="30"/>
                    <w:spacing w:beforeLines="0" w:afterLines="0"/>
                    <w:ind w:firstLine="0" w:firstLineChars="0"/>
                    <w:rPr>
                      <w:rFonts w:hint="default" w:ascii="Times New Roman" w:hAnsi="Times New Roman" w:cs="Times New Roman"/>
                      <w:color w:val="FF0000"/>
                      <w:lang w:val="en-US" w:eastAsia="zh-CN"/>
                    </w:rPr>
                  </w:pPr>
                  <w:r>
                    <w:rPr>
                      <w:rFonts w:hint="eastAsia" w:ascii="Times New Roman" w:hAnsi="Times New Roman" w:cs="Times New Roman"/>
                      <w:color w:val="000000" w:themeColor="text1"/>
                      <w:lang w:val="en-US" w:eastAsia="zh-CN"/>
                      <w14:textFill>
                        <w14:solidFill>
                          <w14:schemeClr w14:val="tx1"/>
                        </w14:solidFill>
                      </w14:textFill>
                    </w:rPr>
                    <w:t>水帘沉渣</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15525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3.646</w:t>
                  </w:r>
                </w:p>
              </w:tc>
              <w:tc>
                <w:tcPr>
                  <w:tcW w:w="1562" w:type="dxa"/>
                  <w:vMerge w:val="continue"/>
                  <w:tcBorders>
                    <w:left w:val="single" w:color="auto" w:sz="4" w:space="0"/>
                    <w:right w:val="single" w:color="auto" w:sz="4" w:space="0"/>
                    <w:tl2br w:val="nil"/>
                    <w:tr2bl w:val="nil"/>
                  </w:tcBorders>
                  <w:noWrap w:val="0"/>
                  <w:vAlign w:val="center"/>
                </w:tcPr>
                <w:p w14:paraId="19E98D13">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3C2771CF">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0B78EDB3">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45A7111B">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3.646</w:t>
                  </w:r>
                </w:p>
              </w:tc>
            </w:tr>
            <w:tr w14:paraId="062C9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389B1A68">
                  <w:pPr>
                    <w:pStyle w:val="30"/>
                    <w:spacing w:beforeLines="0" w:afterLines="0"/>
                    <w:ind w:firstLine="0" w:firstLineChars="0"/>
                    <w:rPr>
                      <w:rFonts w:hint="default" w:ascii="Times New Roman" w:hAnsi="Times New Roman" w:cs="Times New Roman"/>
                      <w:color w:val="FF0000"/>
                      <w:sz w:val="21"/>
                      <w:szCs w:val="24"/>
                    </w:rPr>
                  </w:pPr>
                  <w:r>
                    <w:rPr>
                      <w:rFonts w:hint="eastAsia" w:ascii="Times New Roman" w:hAnsi="Times New Roman" w:cs="Times New Roman"/>
                      <w:color w:val="000000" w:themeColor="text1"/>
                      <w:lang w:val="en-US" w:eastAsia="zh-CN"/>
                      <w14:textFill>
                        <w14:solidFill>
                          <w14:schemeClr w14:val="tx1"/>
                        </w14:solidFill>
                      </w14:textFill>
                    </w:rPr>
                    <w:t>水帘废液</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278996">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2.0</w:t>
                  </w:r>
                </w:p>
              </w:tc>
              <w:tc>
                <w:tcPr>
                  <w:tcW w:w="1562" w:type="dxa"/>
                  <w:vMerge w:val="continue"/>
                  <w:tcBorders>
                    <w:left w:val="single" w:color="auto" w:sz="4" w:space="0"/>
                    <w:right w:val="single" w:color="auto" w:sz="4" w:space="0"/>
                    <w:tl2br w:val="nil"/>
                    <w:tr2bl w:val="nil"/>
                  </w:tcBorders>
                  <w:noWrap w:val="0"/>
                  <w:vAlign w:val="center"/>
                </w:tcPr>
                <w:p w14:paraId="4DA1771A">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22BFADD2">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03EF3729">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615A34B6">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2.0</w:t>
                  </w:r>
                </w:p>
              </w:tc>
            </w:tr>
            <w:tr w14:paraId="0978C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49B8CB30">
                  <w:pPr>
                    <w:pStyle w:val="30"/>
                    <w:spacing w:beforeLines="0" w:afterLines="0"/>
                    <w:ind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废催化剂</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101E4C">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1.0/3年</w:t>
                  </w:r>
                </w:p>
              </w:tc>
              <w:tc>
                <w:tcPr>
                  <w:tcW w:w="1562" w:type="dxa"/>
                  <w:vMerge w:val="continue"/>
                  <w:tcBorders>
                    <w:left w:val="single" w:color="auto" w:sz="4" w:space="0"/>
                    <w:right w:val="single" w:color="auto" w:sz="4" w:space="0"/>
                    <w:tl2br w:val="nil"/>
                    <w:tr2bl w:val="nil"/>
                  </w:tcBorders>
                  <w:noWrap w:val="0"/>
                  <w:vAlign w:val="center"/>
                </w:tcPr>
                <w:p w14:paraId="31EDAE84">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20779266">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6C3CF626">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7F56A136">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1.0/3年</w:t>
                  </w:r>
                </w:p>
              </w:tc>
            </w:tr>
            <w:tr w14:paraId="1C454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6F19C076">
                  <w:pPr>
                    <w:pStyle w:val="30"/>
                    <w:spacing w:beforeLines="0" w:afterLines="0"/>
                    <w:ind w:firstLine="0" w:firstLine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废过滤芯</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FF510BC">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2.6</w:t>
                  </w:r>
                </w:p>
              </w:tc>
              <w:tc>
                <w:tcPr>
                  <w:tcW w:w="1562" w:type="dxa"/>
                  <w:vMerge w:val="continue"/>
                  <w:tcBorders>
                    <w:left w:val="single" w:color="auto" w:sz="4" w:space="0"/>
                    <w:right w:val="single" w:color="auto" w:sz="4" w:space="0"/>
                    <w:tl2br w:val="nil"/>
                    <w:tr2bl w:val="nil"/>
                  </w:tcBorders>
                  <w:noWrap w:val="0"/>
                  <w:vAlign w:val="center"/>
                </w:tcPr>
                <w:p w14:paraId="141D0BE1">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4D24F974">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630E62AE">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4C34D2B8">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2.6</w:t>
                  </w:r>
                </w:p>
              </w:tc>
            </w:tr>
            <w:tr w14:paraId="5254E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7D6295E1">
                  <w:pPr>
                    <w:pStyle w:val="30"/>
                    <w:spacing w:beforeLines="0" w:afterLines="0"/>
                    <w:ind w:firstLine="0" w:firstLineChar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废布袋</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B1169B">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0.03</w:t>
                  </w:r>
                </w:p>
              </w:tc>
              <w:tc>
                <w:tcPr>
                  <w:tcW w:w="1562" w:type="dxa"/>
                  <w:vMerge w:val="continue"/>
                  <w:tcBorders>
                    <w:left w:val="single" w:color="auto" w:sz="4" w:space="0"/>
                    <w:right w:val="single" w:color="auto" w:sz="4" w:space="0"/>
                    <w:tl2br w:val="nil"/>
                    <w:tr2bl w:val="nil"/>
                  </w:tcBorders>
                  <w:noWrap w:val="0"/>
                  <w:vAlign w:val="center"/>
                </w:tcPr>
                <w:p w14:paraId="1082F1AC">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494BCB49">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6195A0C0">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41BDAA37">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0.03</w:t>
                  </w:r>
                </w:p>
              </w:tc>
            </w:tr>
            <w:tr w14:paraId="37D42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7A9D88B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废机油</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28864DF">
                  <w:pPr>
                    <w:pStyle w:val="30"/>
                    <w:spacing w:beforeLines="0" w:afterLines="0"/>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1</w:t>
                  </w:r>
                </w:p>
              </w:tc>
              <w:tc>
                <w:tcPr>
                  <w:tcW w:w="1562" w:type="dxa"/>
                  <w:vMerge w:val="continue"/>
                  <w:tcBorders>
                    <w:left w:val="single" w:color="auto" w:sz="4" w:space="0"/>
                    <w:right w:val="single" w:color="auto" w:sz="4" w:space="0"/>
                    <w:tl2br w:val="nil"/>
                    <w:tr2bl w:val="nil"/>
                  </w:tcBorders>
                  <w:noWrap w:val="0"/>
                  <w:vAlign w:val="center"/>
                </w:tcPr>
                <w:p w14:paraId="19FD1F8E">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727A8FF8">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44A6EE0E">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7AC74106">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1</w:t>
                  </w:r>
                </w:p>
              </w:tc>
            </w:tr>
            <w:tr w14:paraId="27CDF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tcBorders>
                    <w:top w:val="single" w:color="auto" w:sz="4" w:space="0"/>
                    <w:left w:val="nil"/>
                    <w:bottom w:val="single" w:color="auto" w:sz="4" w:space="0"/>
                    <w:right w:val="single" w:color="auto" w:sz="4" w:space="0"/>
                    <w:tl2br w:val="nil"/>
                    <w:tr2bl w:val="nil"/>
                  </w:tcBorders>
                  <w:noWrap w:val="0"/>
                  <w:vAlign w:val="center"/>
                </w:tcPr>
                <w:p w14:paraId="361570E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废机油桶</w:t>
                  </w:r>
                </w:p>
              </w:tc>
              <w:tc>
                <w:tcPr>
                  <w:tcW w:w="96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390A20A">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0.04</w:t>
                  </w:r>
                </w:p>
              </w:tc>
              <w:tc>
                <w:tcPr>
                  <w:tcW w:w="1562" w:type="dxa"/>
                  <w:vMerge w:val="continue"/>
                  <w:tcBorders>
                    <w:left w:val="single" w:color="auto" w:sz="4" w:space="0"/>
                    <w:right w:val="single" w:color="auto" w:sz="4" w:space="0"/>
                    <w:tl2br w:val="nil"/>
                    <w:tr2bl w:val="nil"/>
                  </w:tcBorders>
                  <w:noWrap w:val="0"/>
                  <w:vAlign w:val="center"/>
                </w:tcPr>
                <w:p w14:paraId="6315016F">
                  <w:pPr>
                    <w:pStyle w:val="30"/>
                    <w:spacing w:beforeLines="0" w:afterLines="0"/>
                    <w:rPr>
                      <w:rFonts w:hint="default" w:ascii="Times New Roman" w:hAnsi="Times New Roman" w:cs="Times New Roman"/>
                      <w:color w:val="auto"/>
                      <w:sz w:val="21"/>
                      <w:szCs w:val="24"/>
                    </w:rPr>
                  </w:pPr>
                </w:p>
              </w:tc>
              <w:tc>
                <w:tcPr>
                  <w:tcW w:w="1333" w:type="dxa"/>
                  <w:vMerge w:val="continue"/>
                  <w:tcBorders>
                    <w:left w:val="single" w:color="auto" w:sz="4" w:space="0"/>
                    <w:right w:val="single" w:color="auto" w:sz="4" w:space="0"/>
                    <w:tl2br w:val="nil"/>
                    <w:tr2bl w:val="nil"/>
                  </w:tcBorders>
                  <w:noWrap w:val="0"/>
                  <w:vAlign w:val="center"/>
                </w:tcPr>
                <w:p w14:paraId="01DD6311">
                  <w:pPr>
                    <w:pStyle w:val="30"/>
                    <w:spacing w:beforeLines="0" w:afterLines="0"/>
                    <w:rPr>
                      <w:rFonts w:hint="default" w:ascii="Times New Roman" w:hAnsi="Times New Roman" w:cs="Times New Roman"/>
                      <w:color w:val="auto"/>
                      <w:sz w:val="21"/>
                      <w:szCs w:val="24"/>
                    </w:rPr>
                  </w:pPr>
                </w:p>
              </w:tc>
              <w:tc>
                <w:tcPr>
                  <w:tcW w:w="1330" w:type="dxa"/>
                  <w:vMerge w:val="continue"/>
                  <w:tcBorders>
                    <w:left w:val="single" w:color="auto" w:sz="4" w:space="0"/>
                    <w:right w:val="single" w:color="auto" w:sz="4" w:space="0"/>
                    <w:tl2br w:val="nil"/>
                    <w:tr2bl w:val="nil"/>
                  </w:tcBorders>
                  <w:noWrap w:val="0"/>
                  <w:vAlign w:val="center"/>
                </w:tcPr>
                <w:p w14:paraId="4E9BCFCF">
                  <w:pPr>
                    <w:pStyle w:val="30"/>
                    <w:spacing w:beforeLines="0" w:afterLines="0"/>
                    <w:rPr>
                      <w:rFonts w:hint="default" w:ascii="Times New Roman" w:hAnsi="Times New Roman" w:cs="Times New Roman"/>
                      <w:color w:val="auto"/>
                      <w:sz w:val="21"/>
                      <w:szCs w:val="24"/>
                    </w:rPr>
                  </w:pPr>
                </w:p>
              </w:tc>
              <w:tc>
                <w:tcPr>
                  <w:tcW w:w="133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5D6829C9">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sz w:val="21"/>
                      <w:szCs w:val="24"/>
                    </w:rPr>
                    <w:t>0.04</w:t>
                  </w:r>
                </w:p>
              </w:tc>
            </w:tr>
          </w:tbl>
          <w:p w14:paraId="028D8C8E">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表4-18  项目危险废物贮存场所（设施）基本情况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424"/>
              <w:gridCol w:w="660"/>
              <w:gridCol w:w="1166"/>
              <w:gridCol w:w="662"/>
              <w:gridCol w:w="864"/>
              <w:gridCol w:w="1094"/>
              <w:gridCol w:w="604"/>
              <w:gridCol w:w="570"/>
              <w:gridCol w:w="595"/>
              <w:gridCol w:w="716"/>
              <w:gridCol w:w="591"/>
            </w:tblGrid>
            <w:tr w14:paraId="694DE7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12" w:space="0"/>
                    <w:left w:val="nil"/>
                    <w:bottom w:val="single" w:color="auto" w:sz="4" w:space="0"/>
                    <w:right w:val="single" w:color="auto" w:sz="4" w:space="0"/>
                    <w:tl2br w:val="nil"/>
                    <w:tr2bl w:val="nil"/>
                  </w:tcBorders>
                  <w:noWrap w:val="0"/>
                  <w:vAlign w:val="center"/>
                </w:tcPr>
                <w:p w14:paraId="00CF8828">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66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792045F">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贮存场所名称</w:t>
                  </w:r>
                </w:p>
              </w:tc>
              <w:tc>
                <w:tcPr>
                  <w:tcW w:w="1166"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41CC782">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危险废物名称</w:t>
                  </w:r>
                </w:p>
              </w:tc>
              <w:tc>
                <w:tcPr>
                  <w:tcW w:w="66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70926947">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产生量（t）</w:t>
                  </w:r>
                </w:p>
              </w:tc>
              <w:tc>
                <w:tcPr>
                  <w:tcW w:w="86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9BA5149">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危险废物类别</w:t>
                  </w:r>
                </w:p>
              </w:tc>
              <w:tc>
                <w:tcPr>
                  <w:tcW w:w="109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7AFA7FB">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危险废物代码</w:t>
                  </w:r>
                </w:p>
              </w:tc>
              <w:tc>
                <w:tcPr>
                  <w:tcW w:w="60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357BA7DA">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位置</w:t>
                  </w:r>
                </w:p>
              </w:tc>
              <w:tc>
                <w:tcPr>
                  <w:tcW w:w="57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B132130">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占地面积</w:t>
                  </w:r>
                </w:p>
              </w:tc>
              <w:tc>
                <w:tcPr>
                  <w:tcW w:w="59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C1E7564">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贮存方式</w:t>
                  </w:r>
                </w:p>
              </w:tc>
              <w:tc>
                <w:tcPr>
                  <w:tcW w:w="716"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FB2F1DD">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贮存能力（t）</w:t>
                  </w:r>
                </w:p>
              </w:tc>
              <w:tc>
                <w:tcPr>
                  <w:tcW w:w="591" w:type="dxa"/>
                  <w:tcBorders>
                    <w:top w:val="single" w:color="auto" w:sz="12" w:space="0"/>
                    <w:left w:val="single" w:color="auto" w:sz="4" w:space="0"/>
                    <w:bottom w:val="single" w:color="auto" w:sz="4" w:space="0"/>
                    <w:right w:val="nil"/>
                    <w:tl2br w:val="nil"/>
                    <w:tr2bl w:val="nil"/>
                  </w:tcBorders>
                  <w:noWrap w:val="0"/>
                  <w:vAlign w:val="center"/>
                </w:tcPr>
                <w:p w14:paraId="1941D8B6">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贮存周期</w:t>
                  </w:r>
                </w:p>
              </w:tc>
            </w:tr>
            <w:tr w14:paraId="38FF1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15" w:hRule="atLeast"/>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63999FD0">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660" w:type="dxa"/>
                  <w:vMerge w:val="restart"/>
                  <w:tcBorders>
                    <w:top w:val="single" w:color="auto" w:sz="4" w:space="0"/>
                    <w:left w:val="single" w:color="auto" w:sz="4" w:space="0"/>
                    <w:right w:val="single" w:color="auto" w:sz="4" w:space="0"/>
                    <w:tl2br w:val="nil"/>
                    <w:tr2bl w:val="nil"/>
                  </w:tcBorders>
                  <w:noWrap w:val="0"/>
                  <w:vAlign w:val="center"/>
                </w:tcPr>
                <w:p w14:paraId="489F1588">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危废暂存间</w:t>
                  </w: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7DFF5F">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废</w:t>
                  </w:r>
                  <w:r>
                    <w:rPr>
                      <w:rFonts w:hint="eastAsia" w:ascii="Times New Roman" w:hAnsi="Times New Roman" w:eastAsia="宋体" w:cs="Times New Roman"/>
                      <w:color w:val="auto"/>
                      <w:sz w:val="21"/>
                      <w:szCs w:val="24"/>
                      <w:lang w:val="en-US" w:eastAsia="zh-CN"/>
                    </w:rPr>
                    <w:t>涂料桶</w:t>
                  </w:r>
                </w:p>
              </w:tc>
              <w:tc>
                <w:tcPr>
                  <w:tcW w:w="66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9706A2">
                  <w:pPr>
                    <w:pStyle w:val="30"/>
                    <w:spacing w:beforeLines="0" w:afterLines="0"/>
                    <w:ind w:firstLine="0" w:firstLineChars="0"/>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4"/>
                      <w:lang w:val="en-US" w:eastAsia="zh-CN"/>
                    </w:rPr>
                    <w:t>0.6</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30C3FE">
                  <w:pPr>
                    <w:pStyle w:val="30"/>
                    <w:spacing w:beforeLines="0" w:afterLine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5B3BFFE">
                  <w:pPr>
                    <w:pStyle w:val="30"/>
                    <w:spacing w:beforeLines="0" w:afterLines="0"/>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lang w:val="en-US" w:eastAsia="zh-CN"/>
                    </w:rPr>
                    <w:t>900-041-49</w:t>
                  </w:r>
                </w:p>
              </w:tc>
              <w:tc>
                <w:tcPr>
                  <w:tcW w:w="604" w:type="dxa"/>
                  <w:vMerge w:val="restart"/>
                  <w:tcBorders>
                    <w:top w:val="single" w:color="auto" w:sz="4" w:space="0"/>
                    <w:left w:val="single" w:color="auto" w:sz="4" w:space="0"/>
                    <w:right w:val="single" w:color="auto" w:sz="4" w:space="0"/>
                    <w:tl2br w:val="nil"/>
                    <w:tr2bl w:val="nil"/>
                  </w:tcBorders>
                  <w:noWrap w:val="0"/>
                  <w:vAlign w:val="center"/>
                </w:tcPr>
                <w:p w14:paraId="234A8253">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生产厂房</w:t>
                  </w:r>
                  <w:r>
                    <w:rPr>
                      <w:rFonts w:hint="eastAsia" w:ascii="Times New Roman" w:hAnsi="Times New Roman" w:cs="Times New Roman"/>
                      <w:color w:val="auto"/>
                      <w:sz w:val="21"/>
                      <w:szCs w:val="21"/>
                      <w:lang w:val="en-US" w:eastAsia="zh-CN"/>
                    </w:rPr>
                    <w:t>东</w:t>
                  </w:r>
                  <w:r>
                    <w:rPr>
                      <w:rFonts w:hint="default" w:ascii="Times New Roman" w:hAnsi="Times New Roman" w:cs="Times New Roman"/>
                      <w:color w:val="auto"/>
                      <w:sz w:val="21"/>
                      <w:szCs w:val="21"/>
                    </w:rPr>
                    <w:t>侧</w:t>
                  </w:r>
                </w:p>
              </w:tc>
              <w:tc>
                <w:tcPr>
                  <w:tcW w:w="570" w:type="dxa"/>
                  <w:vMerge w:val="restart"/>
                  <w:tcBorders>
                    <w:top w:val="single" w:color="auto" w:sz="4" w:space="0"/>
                    <w:left w:val="single" w:color="auto" w:sz="4" w:space="0"/>
                    <w:right w:val="single" w:color="auto" w:sz="4" w:space="0"/>
                    <w:tl2br w:val="nil"/>
                    <w:tr2bl w:val="nil"/>
                  </w:tcBorders>
                  <w:noWrap w:val="0"/>
                  <w:vAlign w:val="center"/>
                </w:tcPr>
                <w:p w14:paraId="044ECEDD">
                  <w:pPr>
                    <w:pStyle w:val="30"/>
                    <w:spacing w:beforeLines="0" w:afterLines="0"/>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rPr>
                    <w:t xml:space="preserve"> m</w:t>
                  </w:r>
                  <w:r>
                    <w:rPr>
                      <w:rFonts w:hint="default" w:ascii="Times New Roman" w:hAnsi="Times New Roman" w:cs="Times New Roman"/>
                      <w:color w:val="auto"/>
                      <w:sz w:val="21"/>
                      <w:szCs w:val="21"/>
                      <w:vertAlign w:val="superscript"/>
                    </w:rPr>
                    <w:t>2</w:t>
                  </w:r>
                </w:p>
              </w:tc>
              <w:tc>
                <w:tcPr>
                  <w:tcW w:w="595" w:type="dxa"/>
                  <w:vMerge w:val="restart"/>
                  <w:tcBorders>
                    <w:top w:val="single" w:color="auto" w:sz="4" w:space="0"/>
                    <w:left w:val="single" w:color="auto" w:sz="4" w:space="0"/>
                    <w:right w:val="single" w:color="auto" w:sz="4" w:space="0"/>
                    <w:tl2br w:val="nil"/>
                    <w:tr2bl w:val="nil"/>
                  </w:tcBorders>
                  <w:noWrap w:val="0"/>
                  <w:vAlign w:val="center"/>
                </w:tcPr>
                <w:p w14:paraId="0A13153B">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825404D">
                  <w:pPr>
                    <w:pStyle w:val="3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 xml:space="preserve">2 </w:t>
                  </w:r>
                </w:p>
              </w:tc>
              <w:tc>
                <w:tcPr>
                  <w:tcW w:w="591" w:type="dxa"/>
                  <w:vMerge w:val="restart"/>
                  <w:tcBorders>
                    <w:top w:val="single" w:color="auto" w:sz="4" w:space="0"/>
                    <w:left w:val="single" w:color="auto" w:sz="4" w:space="0"/>
                    <w:right w:val="nil"/>
                    <w:tl2br w:val="nil"/>
                    <w:tr2bl w:val="nil"/>
                  </w:tcBorders>
                  <w:noWrap w:val="0"/>
                  <w:vAlign w:val="center"/>
                </w:tcPr>
                <w:p w14:paraId="7856BAA0">
                  <w:pPr>
                    <w:pStyle w:val="30"/>
                    <w:spacing w:beforeLines="0" w:afterLine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6个月</w:t>
                  </w:r>
                </w:p>
              </w:tc>
            </w:tr>
            <w:tr w14:paraId="47231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6CAED574">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660" w:type="dxa"/>
                  <w:vMerge w:val="continue"/>
                  <w:tcBorders>
                    <w:left w:val="single" w:color="auto" w:sz="4" w:space="0"/>
                    <w:right w:val="single" w:color="auto" w:sz="4" w:space="0"/>
                    <w:tl2br w:val="nil"/>
                    <w:tr2bl w:val="nil"/>
                  </w:tcBorders>
                  <w:noWrap w:val="0"/>
                  <w:vAlign w:val="center"/>
                </w:tcPr>
                <w:p w14:paraId="5CE1B5CB">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02DDE5">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4"/>
                      <w:lang w:val="en-US" w:eastAsia="zh-CN"/>
                    </w:rPr>
                    <w:t>漆渣</w:t>
                  </w:r>
                  <w:r>
                    <w:rPr>
                      <w:rFonts w:hint="eastAsia" w:ascii="Times New Roman" w:hAnsi="Times New Roman" w:cs="Times New Roman"/>
                      <w:color w:val="auto"/>
                      <w:sz w:val="21"/>
                      <w:szCs w:val="24"/>
                      <w:lang w:val="en-US" w:eastAsia="zh-CN"/>
                    </w:rPr>
                    <w:t>（喷漆）</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5474475">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4"/>
                      <w:lang w:val="en-US" w:eastAsia="zh-CN"/>
                    </w:rPr>
                    <w:t>0.3255</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C487DF">
                  <w:pPr>
                    <w:pStyle w:val="30"/>
                    <w:spacing w:beforeLines="0" w:afterLine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HW12</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011A00">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604" w:type="dxa"/>
                  <w:vMerge w:val="continue"/>
                  <w:tcBorders>
                    <w:left w:val="single" w:color="auto" w:sz="4" w:space="0"/>
                    <w:right w:val="single" w:color="auto" w:sz="4" w:space="0"/>
                    <w:tl2br w:val="nil"/>
                    <w:tr2bl w:val="nil"/>
                  </w:tcBorders>
                  <w:noWrap w:val="0"/>
                  <w:vAlign w:val="center"/>
                </w:tcPr>
                <w:p w14:paraId="562ECA71">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509113D6">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364753E9">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8BDE6B">
                  <w:pPr>
                    <w:pStyle w:val="3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w:t>
                  </w:r>
                </w:p>
              </w:tc>
              <w:tc>
                <w:tcPr>
                  <w:tcW w:w="591" w:type="dxa"/>
                  <w:vMerge w:val="continue"/>
                  <w:tcBorders>
                    <w:left w:val="single" w:color="auto" w:sz="4" w:space="0"/>
                    <w:right w:val="nil"/>
                    <w:tl2br w:val="nil"/>
                    <w:tr2bl w:val="nil"/>
                  </w:tcBorders>
                  <w:noWrap w:val="0"/>
                  <w:vAlign w:val="center"/>
                </w:tcPr>
                <w:p w14:paraId="653C5671">
                  <w:pPr>
                    <w:pStyle w:val="30"/>
                    <w:spacing w:beforeLines="0" w:afterLines="0"/>
                    <w:rPr>
                      <w:rFonts w:hint="default" w:ascii="Times New Roman" w:hAnsi="Times New Roman" w:cs="Times New Roman"/>
                      <w:color w:val="auto"/>
                      <w:sz w:val="21"/>
                      <w:szCs w:val="21"/>
                    </w:rPr>
                  </w:pPr>
                </w:p>
              </w:tc>
            </w:tr>
            <w:tr w14:paraId="5C02D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0679BD73">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660" w:type="dxa"/>
                  <w:vMerge w:val="continue"/>
                  <w:tcBorders>
                    <w:left w:val="single" w:color="auto" w:sz="4" w:space="0"/>
                    <w:right w:val="single" w:color="auto" w:sz="4" w:space="0"/>
                    <w:tl2br w:val="nil"/>
                    <w:tr2bl w:val="nil"/>
                  </w:tcBorders>
                  <w:noWrap w:val="0"/>
                  <w:vAlign w:val="center"/>
                </w:tcPr>
                <w:p w14:paraId="63017E10">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FB37741">
                  <w:pPr>
                    <w:pStyle w:val="30"/>
                    <w:spacing w:beforeLines="0" w:afterLines="0"/>
                    <w:ind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4"/>
                      <w:lang w:val="en-US" w:eastAsia="zh-CN"/>
                    </w:rPr>
                    <w:t>漆渣（打磨）</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C0A2FF">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4"/>
                      <w:lang w:val="en-US" w:eastAsia="zh-CN"/>
                    </w:rPr>
                    <w:t>0.02</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4259A7">
                  <w:pPr>
                    <w:pStyle w:val="30"/>
                    <w:spacing w:beforeLines="0" w:afterLine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HW12</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D32378">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lang w:val="en-US" w:eastAsia="zh-CN"/>
                    </w:rPr>
                    <w:t xml:space="preserve">HW12  </w:t>
                  </w: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604" w:type="dxa"/>
                  <w:vMerge w:val="continue"/>
                  <w:tcBorders>
                    <w:left w:val="single" w:color="auto" w:sz="4" w:space="0"/>
                    <w:right w:val="single" w:color="auto" w:sz="4" w:space="0"/>
                    <w:tl2br w:val="nil"/>
                    <w:tr2bl w:val="nil"/>
                  </w:tcBorders>
                  <w:noWrap w:val="0"/>
                  <w:vAlign w:val="center"/>
                </w:tcPr>
                <w:p w14:paraId="16D4023F">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0E466E49">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59234790">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84845E0">
                  <w:pPr>
                    <w:pStyle w:val="3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591" w:type="dxa"/>
                  <w:vMerge w:val="continue"/>
                  <w:tcBorders>
                    <w:left w:val="single" w:color="auto" w:sz="4" w:space="0"/>
                    <w:right w:val="nil"/>
                    <w:tl2br w:val="nil"/>
                    <w:tr2bl w:val="nil"/>
                  </w:tcBorders>
                  <w:noWrap w:val="0"/>
                  <w:vAlign w:val="center"/>
                </w:tcPr>
                <w:p w14:paraId="5CBA47FD">
                  <w:pPr>
                    <w:pStyle w:val="30"/>
                    <w:spacing w:beforeLines="0" w:afterLines="0"/>
                    <w:rPr>
                      <w:rFonts w:hint="default" w:ascii="Times New Roman" w:hAnsi="Times New Roman" w:cs="Times New Roman"/>
                      <w:color w:val="auto"/>
                      <w:sz w:val="21"/>
                      <w:szCs w:val="21"/>
                    </w:rPr>
                  </w:pPr>
                </w:p>
              </w:tc>
            </w:tr>
            <w:tr w14:paraId="1E40B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44641577">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660" w:type="dxa"/>
                  <w:vMerge w:val="continue"/>
                  <w:tcBorders>
                    <w:left w:val="single" w:color="auto" w:sz="4" w:space="0"/>
                    <w:right w:val="single" w:color="auto" w:sz="4" w:space="0"/>
                    <w:tl2br w:val="nil"/>
                    <w:tr2bl w:val="nil"/>
                  </w:tcBorders>
                  <w:noWrap w:val="0"/>
                  <w:vAlign w:val="center"/>
                </w:tcPr>
                <w:p w14:paraId="36626307">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D8F4998">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废活性炭</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4113C6">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4"/>
                      <w:lang w:val="en-US" w:eastAsia="zh-CN"/>
                    </w:rPr>
                    <w:t>2.48</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11F01F">
                  <w:pPr>
                    <w:pStyle w:val="30"/>
                    <w:spacing w:beforeLines="0" w:afterLine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7AF81D6">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4"/>
                      <w:lang w:val="en-US" w:eastAsia="zh-CN"/>
                    </w:rPr>
                    <w:t>900-039-49</w:t>
                  </w:r>
                </w:p>
              </w:tc>
              <w:tc>
                <w:tcPr>
                  <w:tcW w:w="604" w:type="dxa"/>
                  <w:vMerge w:val="continue"/>
                  <w:tcBorders>
                    <w:left w:val="single" w:color="auto" w:sz="4" w:space="0"/>
                    <w:right w:val="single" w:color="auto" w:sz="4" w:space="0"/>
                    <w:tl2br w:val="nil"/>
                    <w:tr2bl w:val="nil"/>
                  </w:tcBorders>
                  <w:noWrap w:val="0"/>
                  <w:vAlign w:val="center"/>
                </w:tcPr>
                <w:p w14:paraId="2C1AC998">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199AD0EF">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5EFB0B42">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E3783F">
                  <w:pPr>
                    <w:pStyle w:val="3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5</w:t>
                  </w:r>
                </w:p>
              </w:tc>
              <w:tc>
                <w:tcPr>
                  <w:tcW w:w="591" w:type="dxa"/>
                  <w:vMerge w:val="continue"/>
                  <w:tcBorders>
                    <w:left w:val="single" w:color="auto" w:sz="4" w:space="0"/>
                    <w:right w:val="nil"/>
                    <w:tl2br w:val="nil"/>
                    <w:tr2bl w:val="nil"/>
                  </w:tcBorders>
                  <w:noWrap w:val="0"/>
                  <w:vAlign w:val="center"/>
                </w:tcPr>
                <w:p w14:paraId="73DA38FC">
                  <w:pPr>
                    <w:pStyle w:val="30"/>
                    <w:spacing w:beforeLines="0" w:afterLines="0"/>
                    <w:rPr>
                      <w:rFonts w:hint="default" w:ascii="Times New Roman" w:hAnsi="Times New Roman" w:cs="Times New Roman"/>
                      <w:color w:val="auto"/>
                      <w:sz w:val="21"/>
                      <w:szCs w:val="21"/>
                    </w:rPr>
                  </w:pPr>
                </w:p>
              </w:tc>
            </w:tr>
            <w:tr w14:paraId="0E1DA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665B744F">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660" w:type="dxa"/>
                  <w:vMerge w:val="continue"/>
                  <w:tcBorders>
                    <w:left w:val="single" w:color="auto" w:sz="4" w:space="0"/>
                    <w:right w:val="single" w:color="auto" w:sz="4" w:space="0"/>
                    <w:tl2br w:val="nil"/>
                    <w:tr2bl w:val="nil"/>
                  </w:tcBorders>
                  <w:noWrap w:val="0"/>
                  <w:vAlign w:val="center"/>
                </w:tcPr>
                <w:p w14:paraId="4487EC73">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ED5E50">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打磨沉渣</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02B595F">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4"/>
                      <w:lang w:val="en-US" w:eastAsia="zh-CN"/>
                    </w:rPr>
                    <w:t>1.781</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0B7661">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F637D2">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604" w:type="dxa"/>
                  <w:vMerge w:val="continue"/>
                  <w:tcBorders>
                    <w:left w:val="single" w:color="auto" w:sz="4" w:space="0"/>
                    <w:right w:val="single" w:color="auto" w:sz="4" w:space="0"/>
                    <w:tl2br w:val="nil"/>
                    <w:tr2bl w:val="nil"/>
                  </w:tcBorders>
                  <w:noWrap w:val="0"/>
                  <w:vAlign w:val="center"/>
                </w:tcPr>
                <w:p w14:paraId="6AA04087">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3C4329E8">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1315454B">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DD0A46B">
                  <w:pPr>
                    <w:pStyle w:val="3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w:t>
                  </w:r>
                </w:p>
              </w:tc>
              <w:tc>
                <w:tcPr>
                  <w:tcW w:w="591" w:type="dxa"/>
                  <w:vMerge w:val="continue"/>
                  <w:tcBorders>
                    <w:left w:val="single" w:color="auto" w:sz="4" w:space="0"/>
                    <w:right w:val="nil"/>
                    <w:tl2br w:val="nil"/>
                    <w:tr2bl w:val="nil"/>
                  </w:tcBorders>
                  <w:noWrap w:val="0"/>
                  <w:vAlign w:val="center"/>
                </w:tcPr>
                <w:p w14:paraId="7473D8D3">
                  <w:pPr>
                    <w:pStyle w:val="30"/>
                    <w:spacing w:beforeLines="0" w:afterLines="0"/>
                    <w:rPr>
                      <w:rFonts w:hint="default" w:ascii="Times New Roman" w:hAnsi="Times New Roman" w:cs="Times New Roman"/>
                      <w:color w:val="auto"/>
                      <w:sz w:val="21"/>
                      <w:szCs w:val="21"/>
                    </w:rPr>
                  </w:pPr>
                </w:p>
              </w:tc>
            </w:tr>
            <w:tr w14:paraId="0235E5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23C9D94F">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660" w:type="dxa"/>
                  <w:vMerge w:val="continue"/>
                  <w:tcBorders>
                    <w:left w:val="single" w:color="auto" w:sz="4" w:space="0"/>
                    <w:right w:val="single" w:color="auto" w:sz="4" w:space="0"/>
                    <w:tl2br w:val="nil"/>
                    <w:tr2bl w:val="nil"/>
                  </w:tcBorders>
                  <w:noWrap w:val="0"/>
                  <w:vAlign w:val="center"/>
                </w:tcPr>
                <w:p w14:paraId="76D95EEB">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1E00376">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水帘沉渣</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732FA02">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4"/>
                      <w:lang w:val="en-US" w:eastAsia="zh-CN"/>
                    </w:rPr>
                    <w:t>3.646</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03FF1A">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88FB986">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604" w:type="dxa"/>
                  <w:vMerge w:val="continue"/>
                  <w:tcBorders>
                    <w:left w:val="single" w:color="auto" w:sz="4" w:space="0"/>
                    <w:right w:val="single" w:color="auto" w:sz="4" w:space="0"/>
                    <w:tl2br w:val="nil"/>
                    <w:tr2bl w:val="nil"/>
                  </w:tcBorders>
                  <w:noWrap w:val="0"/>
                  <w:vAlign w:val="center"/>
                </w:tcPr>
                <w:p w14:paraId="23C8F334">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65C17008">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405BBA03">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E4C0CBB">
                  <w:pPr>
                    <w:pStyle w:val="3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5</w:t>
                  </w:r>
                </w:p>
              </w:tc>
              <w:tc>
                <w:tcPr>
                  <w:tcW w:w="591" w:type="dxa"/>
                  <w:vMerge w:val="continue"/>
                  <w:tcBorders>
                    <w:left w:val="single" w:color="auto" w:sz="4" w:space="0"/>
                    <w:right w:val="nil"/>
                    <w:tl2br w:val="nil"/>
                    <w:tr2bl w:val="nil"/>
                  </w:tcBorders>
                  <w:noWrap w:val="0"/>
                  <w:vAlign w:val="center"/>
                </w:tcPr>
                <w:p w14:paraId="44D812C3">
                  <w:pPr>
                    <w:pStyle w:val="30"/>
                    <w:spacing w:beforeLines="0" w:afterLines="0"/>
                    <w:rPr>
                      <w:rFonts w:hint="default" w:ascii="Times New Roman" w:hAnsi="Times New Roman" w:cs="Times New Roman"/>
                      <w:color w:val="auto"/>
                      <w:sz w:val="21"/>
                      <w:szCs w:val="21"/>
                    </w:rPr>
                  </w:pPr>
                </w:p>
              </w:tc>
            </w:tr>
            <w:tr w14:paraId="3018C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54900261">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660" w:type="dxa"/>
                  <w:vMerge w:val="continue"/>
                  <w:tcBorders>
                    <w:left w:val="single" w:color="auto" w:sz="4" w:space="0"/>
                    <w:right w:val="single" w:color="auto" w:sz="4" w:space="0"/>
                    <w:tl2br w:val="nil"/>
                    <w:tr2bl w:val="nil"/>
                  </w:tcBorders>
                  <w:noWrap w:val="0"/>
                  <w:vAlign w:val="center"/>
                </w:tcPr>
                <w:p w14:paraId="4E013A7A">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1BF0D76">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水帘废液</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9AC6B2">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4"/>
                      <w:lang w:val="en-US" w:eastAsia="zh-CN"/>
                    </w:rPr>
                    <w:t>2.0</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4920FD">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82D2883">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900-2</w:t>
                  </w:r>
                  <w:r>
                    <w:rPr>
                      <w:rFonts w:hint="eastAsia" w:ascii="Times New Roman" w:hAnsi="Times New Roman" w:cs="Times New Roman"/>
                      <w:color w:val="auto"/>
                      <w:lang w:val="en-US" w:eastAsia="zh-CN"/>
                    </w:rPr>
                    <w:t>52</w:t>
                  </w:r>
                  <w:r>
                    <w:rPr>
                      <w:rFonts w:hint="default" w:ascii="Times New Roman" w:hAnsi="Times New Roman" w:cs="Times New Roman"/>
                      <w:color w:val="auto"/>
                    </w:rPr>
                    <w:t>-</w:t>
                  </w:r>
                  <w:r>
                    <w:rPr>
                      <w:rFonts w:hint="eastAsia" w:ascii="Times New Roman" w:hAnsi="Times New Roman" w:cs="Times New Roman"/>
                      <w:color w:val="auto"/>
                      <w:lang w:val="en-US" w:eastAsia="zh-CN"/>
                    </w:rPr>
                    <w:t>12</w:t>
                  </w:r>
                </w:p>
              </w:tc>
              <w:tc>
                <w:tcPr>
                  <w:tcW w:w="604" w:type="dxa"/>
                  <w:vMerge w:val="continue"/>
                  <w:tcBorders>
                    <w:left w:val="single" w:color="auto" w:sz="4" w:space="0"/>
                    <w:right w:val="single" w:color="auto" w:sz="4" w:space="0"/>
                    <w:tl2br w:val="nil"/>
                    <w:tr2bl w:val="nil"/>
                  </w:tcBorders>
                  <w:noWrap w:val="0"/>
                  <w:vAlign w:val="center"/>
                </w:tcPr>
                <w:p w14:paraId="65F2E8F8">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3B701DC4">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19F3074B">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D506C8F">
                  <w:pPr>
                    <w:pStyle w:val="3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591" w:type="dxa"/>
                  <w:vMerge w:val="continue"/>
                  <w:tcBorders>
                    <w:left w:val="single" w:color="auto" w:sz="4" w:space="0"/>
                    <w:right w:val="nil"/>
                    <w:tl2br w:val="nil"/>
                    <w:tr2bl w:val="nil"/>
                  </w:tcBorders>
                  <w:noWrap w:val="0"/>
                  <w:vAlign w:val="center"/>
                </w:tcPr>
                <w:p w14:paraId="72748D8C">
                  <w:pPr>
                    <w:pStyle w:val="30"/>
                    <w:spacing w:beforeLines="0" w:afterLines="0"/>
                    <w:rPr>
                      <w:rFonts w:hint="default" w:ascii="Times New Roman" w:hAnsi="Times New Roman" w:cs="Times New Roman"/>
                      <w:color w:val="auto"/>
                      <w:sz w:val="21"/>
                      <w:szCs w:val="21"/>
                    </w:rPr>
                  </w:pPr>
                </w:p>
              </w:tc>
            </w:tr>
            <w:tr w14:paraId="3136B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00058E86">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660" w:type="dxa"/>
                  <w:vMerge w:val="continue"/>
                  <w:tcBorders>
                    <w:left w:val="single" w:color="auto" w:sz="4" w:space="0"/>
                    <w:right w:val="single" w:color="auto" w:sz="4" w:space="0"/>
                    <w:tl2br w:val="nil"/>
                    <w:tr2bl w:val="nil"/>
                  </w:tcBorders>
                  <w:noWrap w:val="0"/>
                  <w:vAlign w:val="center"/>
                </w:tcPr>
                <w:p w14:paraId="2022DCCB">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68C025">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废催化剂</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BBCE6E">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4"/>
                      <w:lang w:val="en-US" w:eastAsia="zh-CN"/>
                    </w:rPr>
                    <w:t>1.0/3年</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3A20EE8">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lang w:val="en-US" w:eastAsia="zh-CN"/>
                    </w:rPr>
                    <w:t>HW50</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4FCDDC">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lang w:val="en-US" w:eastAsia="zh-CN"/>
                    </w:rPr>
                    <w:t>900-049-50</w:t>
                  </w:r>
                </w:p>
              </w:tc>
              <w:tc>
                <w:tcPr>
                  <w:tcW w:w="604" w:type="dxa"/>
                  <w:vMerge w:val="continue"/>
                  <w:tcBorders>
                    <w:left w:val="single" w:color="auto" w:sz="4" w:space="0"/>
                    <w:right w:val="single" w:color="auto" w:sz="4" w:space="0"/>
                    <w:tl2br w:val="nil"/>
                    <w:tr2bl w:val="nil"/>
                  </w:tcBorders>
                  <w:noWrap w:val="0"/>
                  <w:vAlign w:val="center"/>
                </w:tcPr>
                <w:p w14:paraId="35AD667A">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32AFD6FF">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0DFA5C89">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8DF9661">
                  <w:pPr>
                    <w:pStyle w:val="3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591" w:type="dxa"/>
                  <w:vMerge w:val="continue"/>
                  <w:tcBorders>
                    <w:left w:val="single" w:color="auto" w:sz="4" w:space="0"/>
                    <w:right w:val="nil"/>
                    <w:tl2br w:val="nil"/>
                    <w:tr2bl w:val="nil"/>
                  </w:tcBorders>
                  <w:noWrap w:val="0"/>
                  <w:vAlign w:val="center"/>
                </w:tcPr>
                <w:p w14:paraId="6F979D43">
                  <w:pPr>
                    <w:pStyle w:val="30"/>
                    <w:spacing w:beforeLines="0" w:afterLines="0"/>
                    <w:rPr>
                      <w:rFonts w:hint="eastAsia" w:ascii="Times New Roman" w:hAnsi="Times New Roman" w:eastAsia="宋体" w:cs="Times New Roman"/>
                      <w:color w:val="auto"/>
                      <w:sz w:val="21"/>
                      <w:szCs w:val="21"/>
                      <w:lang w:val="en-US" w:eastAsia="zh-CN"/>
                    </w:rPr>
                  </w:pPr>
                </w:p>
              </w:tc>
            </w:tr>
            <w:tr w14:paraId="59EC9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7E2E2E0F">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w:t>
                  </w:r>
                </w:p>
              </w:tc>
              <w:tc>
                <w:tcPr>
                  <w:tcW w:w="660" w:type="dxa"/>
                  <w:vMerge w:val="continue"/>
                  <w:tcBorders>
                    <w:left w:val="single" w:color="auto" w:sz="4" w:space="0"/>
                    <w:right w:val="single" w:color="auto" w:sz="4" w:space="0"/>
                    <w:tl2br w:val="nil"/>
                    <w:tr2bl w:val="nil"/>
                  </w:tcBorders>
                  <w:noWrap w:val="0"/>
                  <w:vAlign w:val="center"/>
                </w:tcPr>
                <w:p w14:paraId="5F9026A3">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20CB23">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lang w:val="en-US" w:eastAsia="zh-CN"/>
                    </w:rPr>
                    <w:t>废过滤芯</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4DCFDA">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4"/>
                      <w:lang w:val="en-US" w:eastAsia="zh-CN"/>
                    </w:rPr>
                    <w:t>2.6</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5463AB">
                  <w:pPr>
                    <w:pStyle w:val="30"/>
                    <w:spacing w:beforeLines="0" w:afterLines="0"/>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6CA0DC">
                  <w:pPr>
                    <w:pStyle w:val="30"/>
                    <w:spacing w:beforeLines="0" w:afterLines="0"/>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900-041-49</w:t>
                  </w:r>
                </w:p>
              </w:tc>
              <w:tc>
                <w:tcPr>
                  <w:tcW w:w="604" w:type="dxa"/>
                  <w:vMerge w:val="continue"/>
                  <w:tcBorders>
                    <w:left w:val="single" w:color="auto" w:sz="4" w:space="0"/>
                    <w:right w:val="single" w:color="auto" w:sz="4" w:space="0"/>
                    <w:tl2br w:val="nil"/>
                    <w:tr2bl w:val="nil"/>
                  </w:tcBorders>
                  <w:noWrap w:val="0"/>
                  <w:vAlign w:val="center"/>
                </w:tcPr>
                <w:p w14:paraId="5647976F">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457C21AA">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3EF38B31">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08887B">
                  <w:pPr>
                    <w:pStyle w:val="30"/>
                    <w:ind w:firstLine="0" w:firstLineChar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591" w:type="dxa"/>
                  <w:vMerge w:val="continue"/>
                  <w:tcBorders>
                    <w:left w:val="single" w:color="auto" w:sz="4" w:space="0"/>
                    <w:right w:val="nil"/>
                    <w:tl2br w:val="nil"/>
                    <w:tr2bl w:val="nil"/>
                  </w:tcBorders>
                  <w:noWrap w:val="0"/>
                  <w:vAlign w:val="center"/>
                </w:tcPr>
                <w:p w14:paraId="766682CF">
                  <w:pPr>
                    <w:pStyle w:val="30"/>
                    <w:spacing w:beforeLines="0" w:afterLines="0"/>
                    <w:rPr>
                      <w:rFonts w:hint="default" w:ascii="Times New Roman" w:hAnsi="Times New Roman" w:eastAsia="宋体" w:cs="Times New Roman"/>
                      <w:color w:val="auto"/>
                      <w:sz w:val="21"/>
                      <w:szCs w:val="21"/>
                      <w:lang w:val="en-US" w:eastAsia="zh-CN"/>
                    </w:rPr>
                  </w:pPr>
                </w:p>
              </w:tc>
            </w:tr>
            <w:tr w14:paraId="48B87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11B32BEB">
                  <w:pPr>
                    <w:pStyle w:val="30"/>
                    <w:spacing w:beforeLines="0" w:afterLines="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660" w:type="dxa"/>
                  <w:vMerge w:val="continue"/>
                  <w:tcBorders>
                    <w:left w:val="single" w:color="auto" w:sz="4" w:space="0"/>
                    <w:right w:val="single" w:color="auto" w:sz="4" w:space="0"/>
                    <w:tl2br w:val="nil"/>
                    <w:tr2bl w:val="nil"/>
                  </w:tcBorders>
                  <w:noWrap w:val="0"/>
                  <w:vAlign w:val="center"/>
                </w:tcPr>
                <w:p w14:paraId="608514F9">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EB4CF5">
                  <w:pPr>
                    <w:pStyle w:val="30"/>
                    <w:spacing w:beforeLines="0" w:afterLines="0"/>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4"/>
                    </w:rPr>
                    <w:t>废机油</w:t>
                  </w:r>
                </w:p>
              </w:tc>
              <w:tc>
                <w:tcPr>
                  <w:tcW w:w="66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D0FC05">
                  <w:pPr>
                    <w:pStyle w:val="30"/>
                    <w:spacing w:beforeLines="0" w:afterLines="0"/>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05</w:t>
                  </w:r>
                </w:p>
              </w:tc>
              <w:tc>
                <w:tcPr>
                  <w:tcW w:w="8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678B4DC">
                  <w:pPr>
                    <w:pStyle w:val="30"/>
                    <w:spacing w:beforeLines="0" w:afterLines="0"/>
                    <w:rPr>
                      <w:rFonts w:hint="default" w:ascii="Times New Roman" w:hAnsi="Times New Roman" w:cs="Times New Roman"/>
                      <w:color w:val="auto"/>
                      <w:sz w:val="21"/>
                      <w:szCs w:val="21"/>
                    </w:rPr>
                  </w:pPr>
                  <w:r>
                    <w:rPr>
                      <w:rFonts w:hint="default" w:ascii="Times New Roman" w:hAnsi="Times New Roman" w:cs="Times New Roman"/>
                      <w:color w:val="auto"/>
                      <w:sz w:val="21"/>
                      <w:szCs w:val="24"/>
                    </w:rPr>
                    <w:t>HW08</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963C090">
                  <w:pPr>
                    <w:pStyle w:val="30"/>
                    <w:spacing w:beforeLines="0" w:afterLines="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4"/>
                      <w:lang w:val="en-US" w:eastAsia="zh-CN"/>
                    </w:rPr>
                    <w:t>900-214-08</w:t>
                  </w:r>
                </w:p>
              </w:tc>
              <w:tc>
                <w:tcPr>
                  <w:tcW w:w="604" w:type="dxa"/>
                  <w:vMerge w:val="continue"/>
                  <w:tcBorders>
                    <w:left w:val="single" w:color="auto" w:sz="4" w:space="0"/>
                    <w:right w:val="single" w:color="auto" w:sz="4" w:space="0"/>
                    <w:tl2br w:val="nil"/>
                    <w:tr2bl w:val="nil"/>
                  </w:tcBorders>
                  <w:noWrap w:val="0"/>
                  <w:vAlign w:val="center"/>
                </w:tcPr>
                <w:p w14:paraId="766E069F">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7EDC48E1">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16EA5DD9">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93AACF">
                  <w:pPr>
                    <w:pStyle w:val="30"/>
                    <w:spacing w:beforeLines="0" w:afterLines="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591" w:type="dxa"/>
                  <w:vMerge w:val="continue"/>
                  <w:tcBorders>
                    <w:left w:val="single" w:color="auto" w:sz="4" w:space="0"/>
                    <w:right w:val="nil"/>
                    <w:tl2br w:val="nil"/>
                    <w:tr2bl w:val="nil"/>
                  </w:tcBorders>
                  <w:shd w:val="clear" w:color="auto" w:fill="auto"/>
                  <w:noWrap w:val="0"/>
                  <w:vAlign w:val="center"/>
                </w:tcPr>
                <w:p w14:paraId="19E041ED">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p>
              </w:tc>
            </w:tr>
            <w:tr w14:paraId="5284C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4" w:space="0"/>
                    <w:right w:val="single" w:color="auto" w:sz="4" w:space="0"/>
                    <w:tl2br w:val="nil"/>
                    <w:tr2bl w:val="nil"/>
                  </w:tcBorders>
                  <w:noWrap w:val="0"/>
                  <w:vAlign w:val="center"/>
                </w:tcPr>
                <w:p w14:paraId="31CA5EF4">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w:t>
                  </w:r>
                </w:p>
              </w:tc>
              <w:tc>
                <w:tcPr>
                  <w:tcW w:w="660" w:type="dxa"/>
                  <w:vMerge w:val="continue"/>
                  <w:tcBorders>
                    <w:left w:val="single" w:color="auto" w:sz="4" w:space="0"/>
                    <w:right w:val="single" w:color="auto" w:sz="4" w:space="0"/>
                    <w:tl2br w:val="nil"/>
                    <w:tr2bl w:val="nil"/>
                  </w:tcBorders>
                  <w:noWrap w:val="0"/>
                  <w:vAlign w:val="center"/>
                </w:tcPr>
                <w:p w14:paraId="481A92F0">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F5ECA8C">
                  <w:pPr>
                    <w:pStyle w:val="30"/>
                    <w:spacing w:beforeLines="0" w:afterLines="0"/>
                    <w:ind w:firstLine="0" w:firstLineChar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废机油桶</w:t>
                  </w:r>
                </w:p>
              </w:tc>
              <w:tc>
                <w:tcPr>
                  <w:tcW w:w="66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E4EC71">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sz w:val="21"/>
                      <w:szCs w:val="24"/>
                    </w:rPr>
                    <w:t>0.040</w:t>
                  </w:r>
                </w:p>
              </w:tc>
              <w:tc>
                <w:tcPr>
                  <w:tcW w:w="864"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52E0CD2">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HW08</w:t>
                  </w:r>
                </w:p>
              </w:tc>
              <w:tc>
                <w:tcPr>
                  <w:tcW w:w="10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90073B">
                  <w:pPr>
                    <w:pStyle w:val="30"/>
                    <w:spacing w:beforeLines="0" w:afterLines="0"/>
                    <w:ind w:firstLine="0" w:firstLineChars="0"/>
                    <w:rPr>
                      <w:rFonts w:hint="eastAsia"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900-249-08</w:t>
                  </w:r>
                </w:p>
              </w:tc>
              <w:tc>
                <w:tcPr>
                  <w:tcW w:w="604" w:type="dxa"/>
                  <w:vMerge w:val="continue"/>
                  <w:tcBorders>
                    <w:left w:val="single" w:color="auto" w:sz="4" w:space="0"/>
                    <w:right w:val="single" w:color="auto" w:sz="4" w:space="0"/>
                    <w:tl2br w:val="nil"/>
                    <w:tr2bl w:val="nil"/>
                  </w:tcBorders>
                  <w:noWrap w:val="0"/>
                  <w:vAlign w:val="center"/>
                </w:tcPr>
                <w:p w14:paraId="1E9C8EB7">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right w:val="single" w:color="auto" w:sz="4" w:space="0"/>
                    <w:tl2br w:val="nil"/>
                    <w:tr2bl w:val="nil"/>
                  </w:tcBorders>
                  <w:noWrap w:val="0"/>
                  <w:vAlign w:val="center"/>
                </w:tcPr>
                <w:p w14:paraId="7D859888">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right w:val="single" w:color="auto" w:sz="4" w:space="0"/>
                    <w:tl2br w:val="nil"/>
                    <w:tr2bl w:val="nil"/>
                  </w:tcBorders>
                  <w:noWrap w:val="0"/>
                  <w:vAlign w:val="center"/>
                </w:tcPr>
                <w:p w14:paraId="275906D2">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C16BC46">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591" w:type="dxa"/>
                  <w:vMerge w:val="continue"/>
                  <w:tcBorders>
                    <w:left w:val="single" w:color="auto" w:sz="4" w:space="0"/>
                    <w:right w:val="nil"/>
                    <w:tl2br w:val="nil"/>
                    <w:tr2bl w:val="nil"/>
                  </w:tcBorders>
                  <w:noWrap w:val="0"/>
                  <w:vAlign w:val="center"/>
                </w:tcPr>
                <w:p w14:paraId="63B3652D">
                  <w:pPr>
                    <w:pStyle w:val="30"/>
                    <w:spacing w:beforeLines="0" w:afterLines="0"/>
                    <w:rPr>
                      <w:rFonts w:hint="eastAsia" w:ascii="Times New Roman" w:hAnsi="Times New Roman" w:cs="Times New Roman"/>
                      <w:color w:val="auto"/>
                      <w:sz w:val="21"/>
                      <w:szCs w:val="21"/>
                      <w:lang w:val="en-US" w:eastAsia="zh-CN"/>
                    </w:rPr>
                  </w:pPr>
                </w:p>
              </w:tc>
            </w:tr>
            <w:tr w14:paraId="0716D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424" w:type="dxa"/>
                  <w:tcBorders>
                    <w:top w:val="single" w:color="auto" w:sz="4" w:space="0"/>
                    <w:left w:val="nil"/>
                    <w:bottom w:val="single" w:color="auto" w:sz="12" w:space="0"/>
                    <w:right w:val="single" w:color="auto" w:sz="4" w:space="0"/>
                    <w:tl2br w:val="nil"/>
                    <w:tr2bl w:val="nil"/>
                  </w:tcBorders>
                  <w:noWrap w:val="0"/>
                  <w:vAlign w:val="center"/>
                </w:tcPr>
                <w:p w14:paraId="69345CD9">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660" w:type="dxa"/>
                  <w:vMerge w:val="continue"/>
                  <w:tcBorders>
                    <w:left w:val="single" w:color="auto" w:sz="4" w:space="0"/>
                    <w:bottom w:val="single" w:color="auto" w:sz="12" w:space="0"/>
                    <w:right w:val="single" w:color="auto" w:sz="4" w:space="0"/>
                    <w:tl2br w:val="nil"/>
                    <w:tr2bl w:val="nil"/>
                  </w:tcBorders>
                  <w:noWrap w:val="0"/>
                  <w:vAlign w:val="center"/>
                </w:tcPr>
                <w:p w14:paraId="226ED41F">
                  <w:pPr>
                    <w:pStyle w:val="30"/>
                    <w:spacing w:beforeLines="0" w:afterLines="0"/>
                    <w:rPr>
                      <w:rFonts w:hint="default" w:ascii="Times New Roman" w:hAnsi="Times New Roman" w:cs="Times New Roman"/>
                      <w:color w:val="auto"/>
                      <w:sz w:val="21"/>
                      <w:szCs w:val="21"/>
                    </w:rPr>
                  </w:pPr>
                </w:p>
              </w:tc>
              <w:tc>
                <w:tcPr>
                  <w:tcW w:w="1166"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1570062">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废布袋</w:t>
                  </w:r>
                </w:p>
              </w:tc>
              <w:tc>
                <w:tcPr>
                  <w:tcW w:w="662" w:type="dxa"/>
                  <w:tcBorders>
                    <w:top w:val="single" w:color="auto" w:sz="4" w:space="0"/>
                    <w:left w:val="single" w:color="auto" w:sz="4" w:space="0"/>
                    <w:bottom w:val="single" w:color="auto" w:sz="12" w:space="0"/>
                    <w:right w:val="single" w:color="auto" w:sz="4" w:space="0"/>
                    <w:tl2br w:val="nil"/>
                    <w:tr2bl w:val="nil"/>
                  </w:tcBorders>
                  <w:shd w:val="clear" w:color="auto" w:fill="auto"/>
                  <w:noWrap w:val="0"/>
                  <w:vAlign w:val="center"/>
                </w:tcPr>
                <w:p w14:paraId="51FD1D53">
                  <w:pPr>
                    <w:pStyle w:val="30"/>
                    <w:spacing w:beforeLines="0" w:afterLines="0"/>
                    <w:ind w:firstLine="0" w:firstLineChar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0.03</w:t>
                  </w:r>
                </w:p>
              </w:tc>
              <w:tc>
                <w:tcPr>
                  <w:tcW w:w="864" w:type="dxa"/>
                  <w:tcBorders>
                    <w:top w:val="single" w:color="auto" w:sz="4" w:space="0"/>
                    <w:left w:val="single" w:color="auto" w:sz="4" w:space="0"/>
                    <w:bottom w:val="single" w:color="auto" w:sz="12" w:space="0"/>
                    <w:right w:val="single" w:color="auto" w:sz="4" w:space="0"/>
                    <w:tl2br w:val="nil"/>
                    <w:tr2bl w:val="nil"/>
                  </w:tcBorders>
                  <w:shd w:val="clear" w:color="auto" w:fill="auto"/>
                  <w:noWrap w:val="0"/>
                  <w:vAlign w:val="center"/>
                </w:tcPr>
                <w:p w14:paraId="5DDD5F40">
                  <w:pPr>
                    <w:pStyle w:val="30"/>
                    <w:spacing w:beforeLines="0" w:afterLines="0"/>
                    <w:ind w:firstLine="0" w:firstLineChars="0"/>
                    <w:rPr>
                      <w:rFonts w:hint="default" w:ascii="Times New Roman" w:hAnsi="Times New Roman" w:cs="Times New Roman"/>
                      <w:color w:val="auto"/>
                      <w:sz w:val="21"/>
                      <w:szCs w:val="24"/>
                    </w:rPr>
                  </w:pPr>
                  <w:r>
                    <w:rPr>
                      <w:rFonts w:hint="default" w:ascii="Times New Roman" w:hAnsi="Times New Roman" w:eastAsia="Times New Roman" w:cs="Times New Roman"/>
                      <w:color w:val="auto"/>
                      <w:sz w:val="21"/>
                      <w:szCs w:val="24"/>
                    </w:rPr>
                    <w:t>HW49</w:t>
                  </w:r>
                </w:p>
              </w:tc>
              <w:tc>
                <w:tcPr>
                  <w:tcW w:w="109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0465BFD">
                  <w:pPr>
                    <w:pStyle w:val="30"/>
                    <w:spacing w:beforeLines="0" w:afterLines="0"/>
                    <w:ind w:firstLine="0" w:firstLineChars="0"/>
                    <w:rPr>
                      <w:rFonts w:hint="eastAsia" w:ascii="Times New Roman" w:hAnsi="Times New Roman" w:cs="Times New Roman"/>
                      <w:color w:val="auto"/>
                      <w:sz w:val="21"/>
                      <w:szCs w:val="24"/>
                      <w:lang w:val="en-US" w:eastAsia="zh-CN"/>
                    </w:rPr>
                  </w:pPr>
                  <w:r>
                    <w:rPr>
                      <w:rFonts w:hint="default" w:ascii="Times New Roman" w:hAnsi="Times New Roman" w:cs="Times New Roman"/>
                      <w:color w:val="auto"/>
                    </w:rPr>
                    <w:t>900-041-49</w:t>
                  </w:r>
                </w:p>
              </w:tc>
              <w:tc>
                <w:tcPr>
                  <w:tcW w:w="604" w:type="dxa"/>
                  <w:vMerge w:val="continue"/>
                  <w:tcBorders>
                    <w:left w:val="single" w:color="auto" w:sz="4" w:space="0"/>
                    <w:bottom w:val="single" w:color="auto" w:sz="12" w:space="0"/>
                    <w:right w:val="single" w:color="auto" w:sz="4" w:space="0"/>
                    <w:tl2br w:val="nil"/>
                    <w:tr2bl w:val="nil"/>
                  </w:tcBorders>
                  <w:noWrap w:val="0"/>
                  <w:vAlign w:val="center"/>
                </w:tcPr>
                <w:p w14:paraId="62D50CEA">
                  <w:pPr>
                    <w:pStyle w:val="30"/>
                    <w:spacing w:beforeLines="0" w:afterLines="0"/>
                    <w:rPr>
                      <w:rFonts w:hint="default" w:ascii="Times New Roman" w:hAnsi="Times New Roman" w:cs="Times New Roman"/>
                      <w:color w:val="auto"/>
                      <w:sz w:val="21"/>
                      <w:szCs w:val="21"/>
                    </w:rPr>
                  </w:pPr>
                </w:p>
              </w:tc>
              <w:tc>
                <w:tcPr>
                  <w:tcW w:w="570" w:type="dxa"/>
                  <w:vMerge w:val="continue"/>
                  <w:tcBorders>
                    <w:left w:val="single" w:color="auto" w:sz="4" w:space="0"/>
                    <w:bottom w:val="single" w:color="auto" w:sz="12" w:space="0"/>
                    <w:right w:val="single" w:color="auto" w:sz="4" w:space="0"/>
                    <w:tl2br w:val="nil"/>
                    <w:tr2bl w:val="nil"/>
                  </w:tcBorders>
                  <w:noWrap w:val="0"/>
                  <w:vAlign w:val="center"/>
                </w:tcPr>
                <w:p w14:paraId="22650956">
                  <w:pPr>
                    <w:pStyle w:val="30"/>
                    <w:spacing w:beforeLines="0" w:afterLines="0"/>
                    <w:rPr>
                      <w:rFonts w:hint="default" w:ascii="Times New Roman" w:hAnsi="Times New Roman" w:cs="Times New Roman"/>
                      <w:color w:val="auto"/>
                      <w:sz w:val="21"/>
                      <w:szCs w:val="21"/>
                    </w:rPr>
                  </w:pPr>
                </w:p>
              </w:tc>
              <w:tc>
                <w:tcPr>
                  <w:tcW w:w="595" w:type="dxa"/>
                  <w:vMerge w:val="continue"/>
                  <w:tcBorders>
                    <w:left w:val="single" w:color="auto" w:sz="4" w:space="0"/>
                    <w:bottom w:val="single" w:color="auto" w:sz="12" w:space="0"/>
                    <w:right w:val="single" w:color="auto" w:sz="4" w:space="0"/>
                    <w:tl2br w:val="nil"/>
                    <w:tr2bl w:val="nil"/>
                  </w:tcBorders>
                  <w:noWrap w:val="0"/>
                  <w:vAlign w:val="center"/>
                </w:tcPr>
                <w:p w14:paraId="4D3A5673">
                  <w:pPr>
                    <w:pStyle w:val="30"/>
                    <w:spacing w:beforeLines="0" w:afterLines="0"/>
                    <w:rPr>
                      <w:rFonts w:hint="default" w:ascii="Times New Roman" w:hAnsi="Times New Roman" w:cs="Times New Roman"/>
                      <w:color w:val="auto"/>
                      <w:sz w:val="21"/>
                      <w:szCs w:val="21"/>
                    </w:rPr>
                  </w:pPr>
                </w:p>
              </w:tc>
              <w:tc>
                <w:tcPr>
                  <w:tcW w:w="716"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1A579D6E">
                  <w:pPr>
                    <w:pStyle w:val="30"/>
                    <w:spacing w:beforeLines="0" w:afterLines="0"/>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591" w:type="dxa"/>
                  <w:vMerge w:val="continue"/>
                  <w:tcBorders>
                    <w:left w:val="single" w:color="auto" w:sz="4" w:space="0"/>
                    <w:bottom w:val="single" w:color="auto" w:sz="12" w:space="0"/>
                    <w:right w:val="nil"/>
                    <w:tl2br w:val="nil"/>
                    <w:tr2bl w:val="nil"/>
                  </w:tcBorders>
                  <w:noWrap w:val="0"/>
                  <w:vAlign w:val="center"/>
                </w:tcPr>
                <w:p w14:paraId="67DAA86E">
                  <w:pPr>
                    <w:pStyle w:val="30"/>
                    <w:spacing w:beforeLines="0" w:afterLines="0"/>
                    <w:rPr>
                      <w:rFonts w:hint="eastAsia" w:ascii="Times New Roman" w:hAnsi="Times New Roman" w:cs="Times New Roman"/>
                      <w:color w:val="auto"/>
                      <w:sz w:val="21"/>
                      <w:szCs w:val="21"/>
                      <w:lang w:val="en-US" w:eastAsia="zh-CN"/>
                    </w:rPr>
                  </w:pPr>
                </w:p>
              </w:tc>
            </w:tr>
          </w:tbl>
          <w:p w14:paraId="4088B28D">
            <w:pPr>
              <w:pStyle w:val="29"/>
              <w:bidi w:val="0"/>
              <w:rPr>
                <w:rFonts w:hint="default" w:ascii="Times New Roman" w:hAnsi="Times New Roman" w:cs="Times New Roman"/>
                <w:color w:val="auto"/>
              </w:rPr>
            </w:pPr>
            <w:r>
              <w:rPr>
                <w:rFonts w:hint="default" w:ascii="Times New Roman" w:hAnsi="Times New Roman" w:cs="Times New Roman"/>
                <w:b/>
                <w:bCs/>
                <w:color w:val="auto"/>
              </w:rPr>
              <w:t xml:space="preserve">4.3 </w:t>
            </w:r>
            <w:r>
              <w:rPr>
                <w:rFonts w:hint="eastAsia" w:ascii="Times New Roman" w:hAnsi="Times New Roman" w:cs="Times New Roman"/>
                <w:b/>
                <w:bCs/>
                <w:color w:val="auto"/>
                <w:lang w:val="en-US" w:eastAsia="zh-CN"/>
              </w:rPr>
              <w:t>固废</w:t>
            </w:r>
            <w:r>
              <w:rPr>
                <w:rFonts w:hint="default" w:ascii="Times New Roman" w:hAnsi="Times New Roman" w:cs="Times New Roman"/>
                <w:b/>
                <w:bCs/>
                <w:color w:val="auto"/>
              </w:rPr>
              <w:t>环境管理要求</w:t>
            </w:r>
          </w:p>
          <w:p w14:paraId="7D389BA5">
            <w:pPr>
              <w:pStyle w:val="29"/>
              <w:bidi w:val="0"/>
              <w:rPr>
                <w:rFonts w:hint="default" w:ascii="Times New Roman" w:hAnsi="Times New Roman" w:cs="Times New Roman"/>
                <w:color w:val="auto"/>
              </w:rPr>
            </w:pPr>
            <w:r>
              <w:rPr>
                <w:rFonts w:hint="default" w:ascii="Times New Roman" w:hAnsi="Times New Roman" w:cs="Times New Roman"/>
                <w:b/>
                <w:bCs/>
                <w:color w:val="auto"/>
              </w:rPr>
              <w:t>4.3.1 一般工业固废管理要求</w:t>
            </w:r>
          </w:p>
          <w:p w14:paraId="222CDA62">
            <w:pPr>
              <w:pStyle w:val="29"/>
              <w:bidi w:val="0"/>
              <w:rPr>
                <w:rFonts w:hint="default" w:ascii="Times New Roman" w:hAnsi="Times New Roman" w:cs="Times New Roman"/>
                <w:color w:val="auto"/>
              </w:rPr>
            </w:pPr>
            <w:r>
              <w:rPr>
                <w:rFonts w:hint="default" w:ascii="Times New Roman" w:hAnsi="Times New Roman" w:cs="Times New Roman"/>
                <w:color w:val="auto"/>
              </w:rPr>
              <w:t>本环评建议企业严格按照《一般工业固体废物贮存和填埋污染控制标准》（GB18599-2020）、《中华人民共和国固体废物污染环境防治法》的有关规定，建设必要的固体废物分类收集和临时贮存设施，具体要求如下：</w:t>
            </w:r>
          </w:p>
          <w:p w14:paraId="74A10DE0">
            <w:pPr>
              <w:pStyle w:val="29"/>
              <w:bidi w:val="0"/>
              <w:rPr>
                <w:rFonts w:hint="default" w:ascii="Times New Roman" w:hAnsi="Times New Roman" w:cs="Times New Roman"/>
                <w:color w:val="auto"/>
              </w:rPr>
            </w:pPr>
            <w:r>
              <w:rPr>
                <w:rFonts w:hint="default" w:ascii="Times New Roman" w:hAnsi="Times New Roman" w:cs="Times New Roman"/>
                <w:color w:val="auto"/>
              </w:rPr>
              <w:t>①一般工业固体废物应分类收集、储存，不能混存。</w:t>
            </w:r>
          </w:p>
          <w:p w14:paraId="409678F9">
            <w:pPr>
              <w:pStyle w:val="29"/>
              <w:bidi w:val="0"/>
              <w:rPr>
                <w:rFonts w:hint="default" w:ascii="Times New Roman" w:hAnsi="Times New Roman" w:cs="Times New Roman"/>
                <w:color w:val="auto"/>
              </w:rPr>
            </w:pPr>
            <w:r>
              <w:rPr>
                <w:rFonts w:hint="default" w:ascii="Times New Roman" w:hAnsi="Times New Roman" w:cs="Times New Roman"/>
                <w:color w:val="auto"/>
              </w:rPr>
              <w:t>②一般工业固体废物临时储存地点必须防雨水冲刷，雨水通过场地四周导流渠流向雨水排放管；临时堆放场地应为水泥铺设地面，以防渗漏。</w:t>
            </w:r>
          </w:p>
          <w:p w14:paraId="66FDD696">
            <w:pPr>
              <w:pStyle w:val="29"/>
              <w:bidi w:val="0"/>
              <w:rPr>
                <w:rFonts w:hint="default" w:ascii="Times New Roman" w:hAnsi="Times New Roman" w:cs="Times New Roman"/>
                <w:color w:val="auto"/>
              </w:rPr>
            </w:pPr>
            <w:r>
              <w:rPr>
                <w:rFonts w:hint="default" w:ascii="Times New Roman" w:hAnsi="Times New Roman" w:cs="Times New Roman"/>
                <w:color w:val="auto"/>
              </w:rPr>
              <w:t>③储存</w:t>
            </w:r>
            <w:r>
              <w:rPr>
                <w:rFonts w:hint="eastAsia" w:ascii="Times New Roman" w:hAnsi="Times New Roman" w:cs="Times New Roman"/>
                <w:color w:val="auto"/>
                <w:lang w:val="en-US" w:eastAsia="zh-CN"/>
              </w:rPr>
              <w:t>场所</w:t>
            </w:r>
            <w:r>
              <w:rPr>
                <w:rFonts w:hint="default" w:ascii="Times New Roman" w:hAnsi="Times New Roman" w:cs="Times New Roman"/>
                <w:color w:val="auto"/>
              </w:rPr>
              <w:t>应加强监督管理，按GB15562.2设置环境保护图形标志。</w:t>
            </w:r>
          </w:p>
          <w:p w14:paraId="333524C4">
            <w:pPr>
              <w:pStyle w:val="29"/>
              <w:bidi w:val="0"/>
              <w:rPr>
                <w:rFonts w:hint="default" w:ascii="Times New Roman" w:hAnsi="Times New Roman" w:cs="Times New Roman"/>
                <w:color w:val="auto"/>
              </w:rPr>
            </w:pPr>
            <w:r>
              <w:rPr>
                <w:rFonts w:hint="default" w:ascii="Times New Roman" w:hAnsi="Times New Roman" w:cs="Times New Roman"/>
                <w:color w:val="auto"/>
              </w:rPr>
              <w:t>④建立档案制度，将临时储存的一般工业固体废物的种类、数量和外运的一般工业固体废物的种类、数量详细记录在案，长期保存，供随时查阅。</w:t>
            </w:r>
          </w:p>
          <w:p w14:paraId="18D714B8">
            <w:pPr>
              <w:pStyle w:val="29"/>
              <w:bidi w:val="0"/>
              <w:rPr>
                <w:rFonts w:hint="default" w:ascii="Times New Roman" w:hAnsi="Times New Roman" w:cs="Times New Roman"/>
                <w:color w:val="auto"/>
              </w:rPr>
            </w:pPr>
            <w:r>
              <w:rPr>
                <w:rFonts w:hint="default" w:ascii="Times New Roman" w:hAnsi="Times New Roman" w:cs="Times New Roman"/>
                <w:b/>
                <w:bCs/>
                <w:color w:val="auto"/>
              </w:rPr>
              <w:t>4.3.2 危险废物管理要求</w:t>
            </w:r>
          </w:p>
          <w:p w14:paraId="5FDC18F7">
            <w:pPr>
              <w:pStyle w:val="29"/>
              <w:bidi w:val="0"/>
              <w:rPr>
                <w:rFonts w:hint="default" w:ascii="Times New Roman" w:hAnsi="Times New Roman" w:cs="Times New Roman"/>
                <w:color w:val="auto"/>
              </w:rPr>
            </w:pPr>
            <w:r>
              <w:rPr>
                <w:rFonts w:hint="default" w:ascii="Times New Roman" w:hAnsi="Times New Roman" w:cs="Times New Roman"/>
                <w:color w:val="auto"/>
              </w:rPr>
              <w:t>本环评</w:t>
            </w:r>
            <w:r>
              <w:rPr>
                <w:rFonts w:hint="eastAsia" w:ascii="Times New Roman" w:hAnsi="Times New Roman" w:cs="Times New Roman"/>
                <w:color w:val="auto"/>
                <w:lang w:val="en-US" w:eastAsia="zh-CN"/>
              </w:rPr>
              <w:t>要求</w:t>
            </w:r>
            <w:r>
              <w:rPr>
                <w:rFonts w:hint="default" w:ascii="Times New Roman" w:hAnsi="Times New Roman" w:cs="Times New Roman"/>
                <w:color w:val="auto"/>
              </w:rPr>
              <w:t>企业按照《危险废物贮存污染控制标准》（GB18597-2023）</w:t>
            </w:r>
            <w:r>
              <w:rPr>
                <w:rFonts w:hint="eastAsia" w:ascii="Times New Roman" w:hAnsi="Times New Roman" w:cs="Times New Roman"/>
                <w:color w:val="auto"/>
                <w:lang w:val="en-US" w:eastAsia="zh-CN"/>
              </w:rPr>
              <w:t>等</w:t>
            </w:r>
            <w:r>
              <w:rPr>
                <w:rFonts w:hint="default" w:ascii="Times New Roman" w:hAnsi="Times New Roman" w:cs="Times New Roman"/>
                <w:color w:val="auto"/>
              </w:rPr>
              <w:t>国家有关规定制定危险废物管理计划，向当地生态环境部门申报危险废物种类、产生量、流向、暂存及处置等有关资料。</w:t>
            </w:r>
          </w:p>
          <w:p w14:paraId="692A3D32">
            <w:pPr>
              <w:pStyle w:val="29"/>
              <w:bidi w:val="0"/>
              <w:rPr>
                <w:rFonts w:hint="default" w:ascii="Times New Roman" w:hAnsi="Times New Roman" w:cs="Times New Roman"/>
                <w:color w:val="auto"/>
              </w:rPr>
            </w:pPr>
            <w:r>
              <w:rPr>
                <w:rFonts w:hint="default" w:ascii="Times New Roman" w:hAnsi="Times New Roman" w:cs="Times New Roman"/>
                <w:color w:val="auto"/>
              </w:rPr>
              <w:t>①贮存场所（设施）要求及环境影响分析。企业应按照《危险废物贮存污染控制标准》（GB18597-2023）要求设置危废暂存间，远离厂区内外人员活动区、生产厂房等区域。</w:t>
            </w:r>
            <w:r>
              <w:rPr>
                <w:rFonts w:hint="eastAsia" w:ascii="Times New Roman" w:hAnsi="Times New Roman" w:cs="Times New Roman"/>
                <w:color w:val="auto"/>
                <w:lang w:val="en-US" w:eastAsia="zh-CN"/>
              </w:rPr>
              <w:t>废涂料桶在调漆房晾干后加盖密闭，漆渣在喷漆房晾干后</w:t>
            </w:r>
            <w:r>
              <w:rPr>
                <w:rFonts w:hint="default" w:ascii="Times New Roman" w:hAnsi="Times New Roman" w:cs="Times New Roman"/>
                <w:color w:val="auto"/>
              </w:rPr>
              <w:t>由员工收集</w:t>
            </w:r>
            <w:r>
              <w:rPr>
                <w:rFonts w:hint="eastAsia" w:ascii="Times New Roman" w:hAnsi="Times New Roman" w:cs="Times New Roman"/>
                <w:color w:val="auto"/>
                <w:lang w:val="en-US" w:eastAsia="zh-CN"/>
              </w:rPr>
              <w:t>于密闭容器后，确保危废暂存间无废气产生。</w:t>
            </w:r>
            <w:r>
              <w:rPr>
                <w:rFonts w:hint="default" w:ascii="Times New Roman" w:hAnsi="Times New Roman" w:cs="Times New Roman"/>
                <w:color w:val="auto"/>
              </w:rPr>
              <w:t>危废暂存间做好防腐、防渗、防雨“三防”措施，防止二次污染；地面采用坚固、防渗、耐腐蚀的材料建造；危险废物按照类别分置于防渗漏的专用包装物或者密闭的容器内，专用包装物、容器设有明显的警示标识和警示说明。建设单位产生的危废，即使有少量的泄漏，通过及时的收集处理，对地下水和土壤环境基本不会产生影响。</w:t>
            </w:r>
          </w:p>
          <w:p w14:paraId="13D06531">
            <w:pPr>
              <w:pStyle w:val="29"/>
              <w:bidi w:val="0"/>
              <w:rPr>
                <w:rFonts w:hint="default" w:ascii="Times New Roman" w:hAnsi="Times New Roman" w:cs="Times New Roman"/>
                <w:color w:val="auto"/>
              </w:rPr>
            </w:pPr>
            <w:r>
              <w:rPr>
                <w:rFonts w:hint="default" w:ascii="Times New Roman" w:hAnsi="Times New Roman" w:cs="Times New Roman"/>
                <w:color w:val="auto"/>
              </w:rPr>
              <w:t>②运输过程要求及环境影响分析。企业在厂内由生产</w:t>
            </w:r>
            <w:r>
              <w:rPr>
                <w:rFonts w:hint="eastAsia" w:ascii="Times New Roman" w:hAnsi="Times New Roman" w:cs="Times New Roman"/>
                <w:color w:val="auto"/>
                <w:lang w:val="en-US" w:eastAsia="zh-CN"/>
              </w:rPr>
              <w:t>区域</w:t>
            </w:r>
            <w:r>
              <w:rPr>
                <w:rFonts w:hint="default" w:ascii="Times New Roman" w:hAnsi="Times New Roman" w:cs="Times New Roman"/>
                <w:color w:val="auto"/>
              </w:rPr>
              <w:t>将各类危废运送至危废暂存间时应防止撒落，意外撒落应做好收集处理工作。</w:t>
            </w:r>
          </w:p>
          <w:p w14:paraId="269084C4">
            <w:pPr>
              <w:pStyle w:val="29"/>
              <w:bidi w:val="0"/>
              <w:rPr>
                <w:rFonts w:hint="default" w:ascii="Times New Roman" w:hAnsi="Times New Roman" w:cs="Times New Roman"/>
                <w:color w:val="auto"/>
              </w:rPr>
            </w:pPr>
            <w:r>
              <w:rPr>
                <w:rFonts w:hint="default" w:ascii="Times New Roman" w:hAnsi="Times New Roman" w:cs="Times New Roman"/>
                <w:color w:val="auto"/>
              </w:rPr>
              <w:t>企业必须对在生产运行过程中产生的危险废物进行申报登记，制定定期外运制度，并对危险废物的流向和最终处置进行跟踪，确保危险废物得到有效处置，禁止在转移过程中将危险废物排放至外环境中，防止运输过程中危险废物的污染损害是防止危险废物污染损害的主要环节之一。</w:t>
            </w:r>
          </w:p>
          <w:p w14:paraId="2549CB74">
            <w:pPr>
              <w:pStyle w:val="29"/>
              <w:bidi w:val="0"/>
              <w:rPr>
                <w:rFonts w:hint="default" w:ascii="Times New Roman" w:hAnsi="Times New Roman" w:cs="Times New Roman"/>
                <w:color w:val="auto"/>
              </w:rPr>
            </w:pPr>
            <w:r>
              <w:rPr>
                <w:rFonts w:hint="default" w:ascii="Times New Roman" w:hAnsi="Times New Roman" w:cs="Times New Roman"/>
                <w:color w:val="auto"/>
              </w:rPr>
              <w:t>运输危险废物，必须同时符合两个要求，一是必须采取防止污染环境的措施，符合环境保护的要求，做到无害化的运输；二是必须将所运输的危险废物作为危险货物对待，遵守国家有关危险货物运输管理的规定，符合危险货物运输的安全防护要求，做到安全运输；则危废运输过程不会对周边环境产生影响。</w:t>
            </w:r>
          </w:p>
          <w:p w14:paraId="677CC7E3">
            <w:pPr>
              <w:pStyle w:val="29"/>
              <w:bidi w:val="0"/>
              <w:rPr>
                <w:rFonts w:hint="default" w:ascii="Times New Roman" w:hAnsi="Times New Roman" w:cs="Times New Roman"/>
                <w:b/>
                <w:bCs/>
                <w:color w:val="auto"/>
              </w:rPr>
            </w:pPr>
            <w:r>
              <w:rPr>
                <w:rFonts w:hint="default" w:ascii="Times New Roman" w:hAnsi="Times New Roman" w:cs="Times New Roman"/>
                <w:b/>
                <w:bCs/>
                <w:color w:val="auto"/>
              </w:rPr>
              <w:t>5、地下水及土壤</w:t>
            </w:r>
          </w:p>
          <w:p w14:paraId="06A135B5">
            <w:pPr>
              <w:pStyle w:val="29"/>
              <w:bidi w:val="0"/>
              <w:rPr>
                <w:rFonts w:hint="default" w:ascii="Times New Roman" w:hAnsi="Times New Roman" w:cs="Times New Roman"/>
                <w:color w:val="auto"/>
              </w:rPr>
            </w:pPr>
            <w:r>
              <w:rPr>
                <w:rFonts w:hint="default" w:ascii="Times New Roman" w:hAnsi="Times New Roman" w:cs="Times New Roman"/>
                <w:b/>
                <w:bCs/>
                <w:color w:val="auto"/>
              </w:rPr>
              <w:t>5.1 潜在污染源及影响途径</w:t>
            </w:r>
          </w:p>
          <w:p w14:paraId="7F8B7C54">
            <w:pPr>
              <w:pStyle w:val="29"/>
              <w:bidi w:val="0"/>
              <w:rPr>
                <w:rFonts w:hint="default" w:ascii="Times New Roman" w:hAnsi="Times New Roman" w:cs="Times New Roman"/>
                <w:color w:val="auto"/>
              </w:rPr>
            </w:pPr>
            <w:r>
              <w:rPr>
                <w:rFonts w:hint="default" w:ascii="Times New Roman" w:hAnsi="Times New Roman" w:cs="Times New Roman"/>
                <w:color w:val="auto"/>
              </w:rPr>
              <w:t>本项目运营过程中，地下水、土壤环境存在的潜在污染源及影响途径情况见表4-</w:t>
            </w:r>
            <w:r>
              <w:rPr>
                <w:rFonts w:hint="eastAsia" w:ascii="Times New Roman" w:hAnsi="Times New Roman" w:cs="Times New Roman"/>
                <w:color w:val="auto"/>
                <w:lang w:val="en-US" w:eastAsia="zh-CN"/>
              </w:rPr>
              <w:t>19</w:t>
            </w:r>
            <w:r>
              <w:rPr>
                <w:rFonts w:hint="default" w:ascii="Times New Roman" w:hAnsi="Times New Roman" w:cs="Times New Roman"/>
                <w:color w:val="auto"/>
              </w:rPr>
              <w:t>。</w:t>
            </w:r>
          </w:p>
          <w:p w14:paraId="3171BDB9">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表4-19</w:t>
            </w:r>
            <w:r>
              <w:rPr>
                <w:rFonts w:hint="default" w:ascii="Times New Roman" w:hAnsi="Times New Roman" w:cs="Times New Roman"/>
                <w:color w:val="auto"/>
                <w:lang w:val="en-US" w:eastAsia="zh-CN"/>
              </w:rPr>
              <w:t xml:space="preserve">  地下水、土壤环境存在的潜在污染源及影响途径情况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134"/>
              <w:gridCol w:w="4194"/>
            </w:tblGrid>
            <w:tr w14:paraId="58592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2" w:type="dxa"/>
                  <w:tcBorders>
                    <w:top w:val="single" w:color="auto" w:sz="12" w:space="0"/>
                    <w:left w:val="nil"/>
                    <w:bottom w:val="single" w:color="auto" w:sz="4" w:space="0"/>
                    <w:right w:val="single" w:color="auto" w:sz="4" w:space="0"/>
                    <w:tl2br w:val="nil"/>
                    <w:tr2bl w:val="nil"/>
                  </w:tcBorders>
                  <w:noWrap w:val="0"/>
                  <w:vAlign w:val="center"/>
                </w:tcPr>
                <w:p w14:paraId="42457491">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区域</w:t>
                  </w:r>
                </w:p>
              </w:tc>
              <w:tc>
                <w:tcPr>
                  <w:tcW w:w="216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E22511B">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潜在污染源</w:t>
                  </w:r>
                </w:p>
              </w:tc>
              <w:tc>
                <w:tcPr>
                  <w:tcW w:w="4263" w:type="dxa"/>
                  <w:tcBorders>
                    <w:top w:val="single" w:color="auto" w:sz="12" w:space="0"/>
                    <w:left w:val="single" w:color="auto" w:sz="4" w:space="0"/>
                    <w:bottom w:val="single" w:color="auto" w:sz="4" w:space="0"/>
                    <w:right w:val="nil"/>
                    <w:tl2br w:val="nil"/>
                    <w:tr2bl w:val="nil"/>
                  </w:tcBorders>
                  <w:noWrap w:val="0"/>
                  <w:vAlign w:val="center"/>
                </w:tcPr>
                <w:p w14:paraId="466B7B04">
                  <w:pPr>
                    <w:pStyle w:val="30"/>
                    <w:spacing w:beforeLines="0" w:afterLines="0"/>
                    <w:rPr>
                      <w:rFonts w:hint="default" w:ascii="Times New Roman" w:hAnsi="Times New Roman" w:cs="Times New Roman"/>
                      <w:b/>
                      <w:bCs/>
                      <w:color w:val="auto"/>
                      <w:sz w:val="21"/>
                      <w:szCs w:val="24"/>
                    </w:rPr>
                  </w:pPr>
                  <w:r>
                    <w:rPr>
                      <w:rFonts w:hint="default" w:ascii="Times New Roman" w:hAnsi="Times New Roman" w:cs="Times New Roman"/>
                      <w:b/>
                      <w:bCs/>
                      <w:color w:val="auto"/>
                      <w:sz w:val="21"/>
                      <w:szCs w:val="24"/>
                    </w:rPr>
                    <w:t>影响途径</w:t>
                  </w:r>
                </w:p>
              </w:tc>
            </w:tr>
            <w:tr w14:paraId="54CD8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2" w:type="dxa"/>
                  <w:tcBorders>
                    <w:top w:val="single" w:color="auto" w:sz="4" w:space="0"/>
                    <w:left w:val="nil"/>
                    <w:bottom w:val="single" w:color="auto" w:sz="4" w:space="0"/>
                    <w:right w:val="single" w:color="auto" w:sz="4" w:space="0"/>
                    <w:tl2br w:val="nil"/>
                    <w:tr2bl w:val="nil"/>
                  </w:tcBorders>
                  <w:noWrap w:val="0"/>
                  <w:vAlign w:val="center"/>
                </w:tcPr>
                <w:p w14:paraId="7B57C028">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生产厂房</w:t>
                  </w:r>
                </w:p>
              </w:tc>
              <w:tc>
                <w:tcPr>
                  <w:tcW w:w="216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B859FB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eastAsia="zh-CN"/>
                    </w:rPr>
                    <w:t>机油</w:t>
                  </w:r>
                  <w:r>
                    <w:rPr>
                      <w:rFonts w:hint="default" w:ascii="Times New Roman" w:hAnsi="Times New Roman" w:cs="Times New Roman"/>
                      <w:color w:val="auto"/>
                      <w:sz w:val="21"/>
                      <w:szCs w:val="24"/>
                    </w:rPr>
                    <w:t>、废机油</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废液压油、油漆、稀释剂、固化剂</w:t>
                  </w:r>
                </w:p>
              </w:tc>
              <w:tc>
                <w:tcPr>
                  <w:tcW w:w="4263" w:type="dxa"/>
                  <w:tcBorders>
                    <w:top w:val="single" w:color="auto" w:sz="4" w:space="0"/>
                    <w:left w:val="single" w:color="auto" w:sz="4" w:space="0"/>
                    <w:bottom w:val="single" w:color="auto" w:sz="4" w:space="0"/>
                    <w:right w:val="nil"/>
                    <w:tl2br w:val="nil"/>
                    <w:tr2bl w:val="nil"/>
                  </w:tcBorders>
                  <w:noWrap w:val="0"/>
                  <w:vAlign w:val="center"/>
                </w:tcPr>
                <w:p w14:paraId="395CEFB2">
                  <w:pPr>
                    <w:pStyle w:val="30"/>
                    <w:spacing w:beforeLines="0" w:afterLines="0"/>
                    <w:rPr>
                      <w:rFonts w:hint="default" w:ascii="Times New Roman" w:hAnsi="Times New Roman" w:cs="Times New Roman"/>
                      <w:color w:val="auto"/>
                      <w:sz w:val="21"/>
                      <w:szCs w:val="24"/>
                    </w:rPr>
                  </w:pPr>
                  <w:r>
                    <w:rPr>
                      <w:rFonts w:hint="eastAsia" w:ascii="Times New Roman" w:hAnsi="Times New Roman" w:cs="Times New Roman"/>
                      <w:color w:val="auto"/>
                      <w:sz w:val="21"/>
                      <w:szCs w:val="24"/>
                      <w:lang w:val="en-US" w:eastAsia="zh-CN"/>
                    </w:rPr>
                    <w:t>喷漆、</w:t>
                  </w:r>
                  <w:r>
                    <w:rPr>
                      <w:rFonts w:hint="default" w:ascii="Times New Roman" w:hAnsi="Times New Roman" w:cs="Times New Roman"/>
                      <w:color w:val="auto"/>
                      <w:sz w:val="21"/>
                      <w:szCs w:val="24"/>
                    </w:rPr>
                    <w:t>机械运行、维修</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更换</w:t>
                  </w:r>
                  <w:r>
                    <w:rPr>
                      <w:rFonts w:hint="default" w:ascii="Times New Roman" w:hAnsi="Times New Roman" w:cs="Times New Roman"/>
                      <w:color w:val="auto"/>
                      <w:sz w:val="21"/>
                      <w:szCs w:val="24"/>
                    </w:rPr>
                    <w:t>过程</w:t>
                  </w:r>
                  <w:r>
                    <w:rPr>
                      <w:rFonts w:hint="eastAsia" w:ascii="Times New Roman" w:hAnsi="Times New Roman" w:cs="Times New Roman"/>
                      <w:color w:val="auto"/>
                      <w:sz w:val="21"/>
                      <w:szCs w:val="24"/>
                      <w:lang w:val="en-US" w:eastAsia="zh-CN"/>
                    </w:rPr>
                    <w:t>中</w:t>
                  </w:r>
                  <w:r>
                    <w:rPr>
                      <w:rFonts w:hint="default" w:ascii="Times New Roman" w:hAnsi="Times New Roman" w:cs="Times New Roman"/>
                      <w:color w:val="auto"/>
                      <w:sz w:val="21"/>
                      <w:szCs w:val="24"/>
                    </w:rPr>
                    <w:t>机油、废机油泄漏至地面，污染土壤及地下水环境</w:t>
                  </w:r>
                </w:p>
              </w:tc>
            </w:tr>
            <w:tr w14:paraId="4104D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2" w:type="dxa"/>
                  <w:tcBorders>
                    <w:top w:val="single" w:color="auto" w:sz="4" w:space="0"/>
                    <w:left w:val="nil"/>
                    <w:bottom w:val="single" w:color="auto" w:sz="4" w:space="0"/>
                    <w:right w:val="single" w:color="auto" w:sz="4" w:space="0"/>
                    <w:tl2br w:val="nil"/>
                    <w:tr2bl w:val="nil"/>
                  </w:tcBorders>
                  <w:noWrap w:val="0"/>
                  <w:vAlign w:val="center"/>
                </w:tcPr>
                <w:p w14:paraId="256F0D9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危废暂存间</w:t>
                  </w:r>
                </w:p>
              </w:tc>
              <w:tc>
                <w:tcPr>
                  <w:tcW w:w="216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1F12C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危险废物</w:t>
                  </w:r>
                </w:p>
              </w:tc>
              <w:tc>
                <w:tcPr>
                  <w:tcW w:w="4263" w:type="dxa"/>
                  <w:tcBorders>
                    <w:top w:val="single" w:color="auto" w:sz="4" w:space="0"/>
                    <w:left w:val="single" w:color="auto" w:sz="4" w:space="0"/>
                    <w:bottom w:val="single" w:color="auto" w:sz="4" w:space="0"/>
                    <w:right w:val="nil"/>
                    <w:tl2br w:val="nil"/>
                    <w:tr2bl w:val="nil"/>
                  </w:tcBorders>
                  <w:noWrap w:val="0"/>
                  <w:vAlign w:val="center"/>
                </w:tcPr>
                <w:p w14:paraId="3DC31D9D">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危险废物</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液态</w:t>
                  </w:r>
                  <w:r>
                    <w:rPr>
                      <w:rFonts w:hint="eastAsia" w:ascii="Times New Roman" w:hAnsi="Times New Roman" w:cs="Times New Roman"/>
                      <w:color w:val="auto"/>
                      <w:sz w:val="21"/>
                      <w:szCs w:val="24"/>
                      <w:lang w:eastAsia="zh-CN"/>
                    </w:rPr>
                    <w:t>）</w:t>
                  </w:r>
                  <w:r>
                    <w:rPr>
                      <w:rFonts w:hint="default" w:ascii="Times New Roman" w:hAnsi="Times New Roman" w:cs="Times New Roman"/>
                      <w:color w:val="auto"/>
                      <w:sz w:val="21"/>
                      <w:szCs w:val="24"/>
                    </w:rPr>
                    <w:t>泄漏至土壤，通过下渗进而污染地下水</w:t>
                  </w:r>
                </w:p>
              </w:tc>
            </w:tr>
            <w:tr w14:paraId="50947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2" w:type="dxa"/>
                  <w:tcBorders>
                    <w:top w:val="single" w:color="auto" w:sz="4" w:space="0"/>
                    <w:left w:val="nil"/>
                    <w:bottom w:val="single" w:color="auto" w:sz="12" w:space="0"/>
                    <w:right w:val="single" w:color="auto" w:sz="4" w:space="0"/>
                    <w:tl2br w:val="nil"/>
                    <w:tr2bl w:val="nil"/>
                  </w:tcBorders>
                  <w:noWrap w:val="0"/>
                  <w:vAlign w:val="center"/>
                </w:tcPr>
                <w:p w14:paraId="327D9EA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化粪池</w:t>
                  </w:r>
                </w:p>
              </w:tc>
              <w:tc>
                <w:tcPr>
                  <w:tcW w:w="2167"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A8F4E55">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生活污水</w:t>
                  </w:r>
                </w:p>
              </w:tc>
              <w:tc>
                <w:tcPr>
                  <w:tcW w:w="4263" w:type="dxa"/>
                  <w:tcBorders>
                    <w:top w:val="single" w:color="auto" w:sz="4" w:space="0"/>
                    <w:left w:val="single" w:color="auto" w:sz="4" w:space="0"/>
                    <w:bottom w:val="single" w:color="auto" w:sz="12" w:space="0"/>
                    <w:right w:val="nil"/>
                    <w:tl2br w:val="nil"/>
                    <w:tr2bl w:val="nil"/>
                  </w:tcBorders>
                  <w:noWrap w:val="0"/>
                  <w:vAlign w:val="center"/>
                </w:tcPr>
                <w:p w14:paraId="5A26BAB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生活污水泄漏污染土壤及地下水环境</w:t>
                  </w:r>
                </w:p>
              </w:tc>
            </w:tr>
          </w:tbl>
          <w:p w14:paraId="46B2177C">
            <w:pPr>
              <w:pStyle w:val="29"/>
              <w:bidi w:val="0"/>
              <w:rPr>
                <w:rFonts w:hint="default" w:ascii="Times New Roman" w:hAnsi="Times New Roman" w:cs="Times New Roman"/>
                <w:color w:val="auto"/>
              </w:rPr>
            </w:pPr>
            <w:r>
              <w:rPr>
                <w:rFonts w:hint="default" w:ascii="Times New Roman" w:hAnsi="Times New Roman" w:cs="Times New Roman"/>
                <w:b/>
                <w:bCs/>
                <w:color w:val="auto"/>
              </w:rPr>
              <w:t>5.2 分区防渗措施</w:t>
            </w:r>
          </w:p>
          <w:p w14:paraId="6054A32B">
            <w:pPr>
              <w:pStyle w:val="29"/>
              <w:bidi w:val="0"/>
              <w:rPr>
                <w:rFonts w:hint="default" w:ascii="Times New Roman" w:hAnsi="Times New Roman" w:cs="Times New Roman"/>
                <w:color w:val="auto"/>
              </w:rPr>
            </w:pPr>
            <w:r>
              <w:rPr>
                <w:rFonts w:hint="default" w:ascii="Times New Roman" w:hAnsi="Times New Roman" w:cs="Times New Roman"/>
                <w:color w:val="auto"/>
              </w:rPr>
              <w:t>根据《环境影响评价技术导则 地下水环境》（HJ610-2016）表7内容，结合项目实际情况，本环评建议将危废暂存间设为重点防渗区，剩余区域设为简单防渗区。</w:t>
            </w:r>
          </w:p>
          <w:p w14:paraId="3927D210">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详情见表</w:t>
            </w:r>
            <w:r>
              <w:rPr>
                <w:rFonts w:hint="eastAsia" w:ascii="Times New Roman" w:hAnsi="Times New Roman" w:cs="Times New Roman"/>
                <w:color w:val="auto"/>
                <w:lang w:val="en-US" w:eastAsia="zh-CN"/>
              </w:rPr>
              <w:t>4-20。</w:t>
            </w:r>
          </w:p>
          <w:p w14:paraId="75B93C61">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表4-20  分区防渗措施</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546"/>
              <w:gridCol w:w="1318"/>
              <w:gridCol w:w="4410"/>
            </w:tblGrid>
            <w:tr w14:paraId="0052F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op w:val="single" w:color="auto" w:sz="12" w:space="0"/>
                    <w:left w:val="nil"/>
                    <w:bottom w:val="single" w:color="auto" w:sz="4" w:space="0"/>
                    <w:right w:val="single" w:color="auto" w:sz="4" w:space="0"/>
                    <w:tl2br w:val="nil"/>
                    <w:tr2bl w:val="nil"/>
                  </w:tcBorders>
                  <w:noWrap w:val="0"/>
                  <w:vAlign w:val="center"/>
                </w:tcPr>
                <w:p w14:paraId="6C65E93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序号</w:t>
                  </w:r>
                </w:p>
              </w:tc>
              <w:tc>
                <w:tcPr>
                  <w:tcW w:w="1546"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ABC9D12">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单元</w:t>
                  </w:r>
                </w:p>
              </w:tc>
              <w:tc>
                <w:tcPr>
                  <w:tcW w:w="131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9C83EE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防渗分区</w:t>
                  </w:r>
                </w:p>
              </w:tc>
              <w:tc>
                <w:tcPr>
                  <w:tcW w:w="4410" w:type="dxa"/>
                  <w:tcBorders>
                    <w:top w:val="single" w:color="auto" w:sz="12" w:space="0"/>
                    <w:left w:val="single" w:color="auto" w:sz="4" w:space="0"/>
                    <w:bottom w:val="single" w:color="auto" w:sz="4" w:space="0"/>
                    <w:right w:val="nil"/>
                    <w:tl2br w:val="nil"/>
                    <w:tr2bl w:val="nil"/>
                  </w:tcBorders>
                  <w:noWrap w:val="0"/>
                  <w:vAlign w:val="center"/>
                </w:tcPr>
                <w:p w14:paraId="582883DA">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防渗技术要求</w:t>
                  </w:r>
                </w:p>
              </w:tc>
            </w:tr>
            <w:tr w14:paraId="2899C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op w:val="single" w:color="auto" w:sz="4" w:space="0"/>
                    <w:left w:val="nil"/>
                    <w:bottom w:val="single" w:color="auto" w:sz="4" w:space="0"/>
                    <w:right w:val="single" w:color="auto" w:sz="4" w:space="0"/>
                    <w:tl2br w:val="nil"/>
                    <w:tr2bl w:val="nil"/>
                  </w:tcBorders>
                  <w:noWrap w:val="0"/>
                  <w:vAlign w:val="center"/>
                </w:tcPr>
                <w:p w14:paraId="0E07098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w:t>
                  </w:r>
                </w:p>
              </w:tc>
              <w:tc>
                <w:tcPr>
                  <w:tcW w:w="154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462DFF2">
                  <w:pPr>
                    <w:pStyle w:val="30"/>
                    <w:spacing w:beforeLines="0" w:afterLines="0"/>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危废暂存间</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喷漆房、烤漆房、调漆房、打磨房和油漆仓库</w:t>
                  </w:r>
                </w:p>
              </w:tc>
              <w:tc>
                <w:tcPr>
                  <w:tcW w:w="131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5597B88">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重点防渗区</w:t>
                  </w:r>
                </w:p>
              </w:tc>
              <w:tc>
                <w:tcPr>
                  <w:tcW w:w="4410" w:type="dxa"/>
                  <w:tcBorders>
                    <w:top w:val="single" w:color="auto" w:sz="4" w:space="0"/>
                    <w:left w:val="single" w:color="auto" w:sz="4" w:space="0"/>
                    <w:bottom w:val="single" w:color="auto" w:sz="4" w:space="0"/>
                    <w:right w:val="nil"/>
                    <w:tl2br w:val="nil"/>
                    <w:tr2bl w:val="nil"/>
                  </w:tcBorders>
                  <w:noWrap w:val="0"/>
                  <w:vAlign w:val="center"/>
                </w:tcPr>
                <w:p w14:paraId="02DACADB">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等效黏土防渗层Mb≥6.0m，K≤1×10</w:t>
                  </w:r>
                  <w:r>
                    <w:rPr>
                      <w:rFonts w:hint="default" w:ascii="Times New Roman" w:hAnsi="Times New Roman" w:cs="Times New Roman"/>
                      <w:color w:val="auto"/>
                      <w:sz w:val="21"/>
                      <w:szCs w:val="24"/>
                      <w:vertAlign w:val="superscript"/>
                    </w:rPr>
                    <w:t>-7</w:t>
                  </w:r>
                  <w:r>
                    <w:rPr>
                      <w:rFonts w:hint="default" w:ascii="Times New Roman" w:hAnsi="Times New Roman" w:cs="Times New Roman"/>
                      <w:color w:val="auto"/>
                      <w:sz w:val="21"/>
                      <w:szCs w:val="24"/>
                    </w:rPr>
                    <w:t>cm/s；或参照GB18598执行；同时需符合《危险废物贮存污染控制标准》(GB18597-2023)相关要求</w:t>
                  </w:r>
                </w:p>
              </w:tc>
            </w:tr>
            <w:tr w14:paraId="58990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op w:val="single" w:color="auto" w:sz="4" w:space="0"/>
                    <w:left w:val="nil"/>
                    <w:bottom w:val="single" w:color="auto" w:sz="12" w:space="0"/>
                    <w:right w:val="single" w:color="auto" w:sz="4" w:space="0"/>
                    <w:tl2br w:val="nil"/>
                    <w:tr2bl w:val="nil"/>
                  </w:tcBorders>
                  <w:noWrap w:val="0"/>
                  <w:vAlign w:val="center"/>
                </w:tcPr>
                <w:p w14:paraId="1C357DD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w:t>
                  </w:r>
                </w:p>
              </w:tc>
              <w:tc>
                <w:tcPr>
                  <w:tcW w:w="1546"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B50745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厂区剩余区域</w:t>
                  </w:r>
                </w:p>
              </w:tc>
              <w:tc>
                <w:tcPr>
                  <w:tcW w:w="1318"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31AF0F5">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简单防渗区</w:t>
                  </w:r>
                </w:p>
              </w:tc>
              <w:tc>
                <w:tcPr>
                  <w:tcW w:w="4410" w:type="dxa"/>
                  <w:tcBorders>
                    <w:top w:val="single" w:color="auto" w:sz="4" w:space="0"/>
                    <w:left w:val="single" w:color="auto" w:sz="4" w:space="0"/>
                    <w:bottom w:val="single" w:color="auto" w:sz="12" w:space="0"/>
                    <w:right w:val="nil"/>
                    <w:tl2br w:val="nil"/>
                    <w:tr2bl w:val="nil"/>
                  </w:tcBorders>
                  <w:noWrap w:val="0"/>
                  <w:vAlign w:val="center"/>
                </w:tcPr>
                <w:p w14:paraId="48E1714E">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一般地面硬化</w:t>
                  </w:r>
                </w:p>
              </w:tc>
            </w:tr>
          </w:tbl>
          <w:p w14:paraId="2F53DE7D">
            <w:pPr>
              <w:pStyle w:val="29"/>
              <w:bidi w:val="0"/>
              <w:rPr>
                <w:rFonts w:hint="default" w:ascii="Times New Roman" w:hAnsi="Times New Roman" w:cs="Times New Roman"/>
                <w:color w:val="auto"/>
              </w:rPr>
            </w:pPr>
            <w:r>
              <w:rPr>
                <w:rFonts w:hint="default" w:ascii="Times New Roman" w:hAnsi="Times New Roman" w:cs="Times New Roman"/>
                <w:color w:val="auto"/>
              </w:rPr>
              <w:t>综上所述，在确保各项防渗措施得以落实，并加强维护和环境管理的前提下，可有效控制本项目运营期间各污染源对地下水、土壤环境的垂直下渗、地面漫流影响，避免污染地下水、土壤环境。因此，本项目无需进行地下水、土壤环境跟踪监测。</w:t>
            </w:r>
          </w:p>
          <w:p w14:paraId="101E2B92">
            <w:pPr>
              <w:pStyle w:val="29"/>
              <w:bidi w:val="0"/>
              <w:rPr>
                <w:rFonts w:hint="default" w:ascii="Times New Roman" w:hAnsi="Times New Roman" w:cs="Times New Roman"/>
                <w:color w:val="auto"/>
              </w:rPr>
            </w:pPr>
            <w:r>
              <w:rPr>
                <w:rFonts w:hint="default" w:ascii="Times New Roman" w:hAnsi="Times New Roman" w:cs="Times New Roman"/>
                <w:b/>
                <w:bCs/>
                <w:color w:val="auto"/>
              </w:rPr>
              <w:t>6、生态环境</w:t>
            </w:r>
          </w:p>
          <w:p w14:paraId="19EA6EB1">
            <w:pPr>
              <w:pStyle w:val="29"/>
              <w:bidi w:val="0"/>
              <w:rPr>
                <w:rFonts w:hint="eastAsia" w:ascii="Times New Roman" w:hAnsi="Times New Roman" w:eastAsia="宋体" w:cs="Times New Roman"/>
                <w:color w:val="auto"/>
                <w:lang w:val="en-US" w:eastAsia="zh-CN"/>
              </w:rPr>
            </w:pPr>
            <w:r>
              <w:rPr>
                <w:rFonts w:hint="default" w:ascii="Times New Roman" w:hAnsi="Times New Roman" w:cs="Times New Roman"/>
                <w:color w:val="auto"/>
              </w:rPr>
              <w:t>本项目</w:t>
            </w:r>
            <w:r>
              <w:rPr>
                <w:rFonts w:hint="eastAsia" w:ascii="Times New Roman" w:hAnsi="Times New Roman" w:cs="Times New Roman"/>
                <w:color w:val="auto"/>
                <w:lang w:val="en-US" w:eastAsia="zh-CN"/>
              </w:rPr>
              <w:t>位于湖南省衡阳高新技术产业开发区湖南新岳电力设备有限公司内（富强路11号），根据现场勘查结果，厂界范围内未发现国家保护的珍稀动、植物物种。</w:t>
            </w:r>
          </w:p>
          <w:p w14:paraId="13B9631F">
            <w:pPr>
              <w:pStyle w:val="29"/>
              <w:bidi w:val="0"/>
              <w:rPr>
                <w:rFonts w:hint="default" w:ascii="Times New Roman" w:hAnsi="Times New Roman" w:cs="Times New Roman"/>
                <w:color w:val="auto"/>
              </w:rPr>
            </w:pPr>
            <w:r>
              <w:rPr>
                <w:rFonts w:hint="default" w:ascii="Times New Roman" w:hAnsi="Times New Roman" w:cs="Times New Roman"/>
                <w:color w:val="auto"/>
              </w:rPr>
              <w:t>本环评要求建设单位做好厂区</w:t>
            </w:r>
            <w:r>
              <w:rPr>
                <w:rFonts w:hint="eastAsia" w:ascii="Times New Roman" w:hAnsi="Times New Roman" w:cs="Times New Roman"/>
                <w:color w:val="auto"/>
                <w:lang w:val="en-US" w:eastAsia="zh-CN"/>
              </w:rPr>
              <w:t>内部</w:t>
            </w:r>
            <w:r>
              <w:rPr>
                <w:rFonts w:hint="default" w:ascii="Times New Roman" w:hAnsi="Times New Roman" w:cs="Times New Roman"/>
                <w:color w:val="auto"/>
              </w:rPr>
              <w:t>及厂界处绿化工作。</w:t>
            </w:r>
          </w:p>
          <w:p w14:paraId="5B37FAD4">
            <w:pPr>
              <w:pStyle w:val="29"/>
              <w:bidi w:val="0"/>
              <w:rPr>
                <w:rFonts w:hint="default" w:ascii="Times New Roman" w:hAnsi="Times New Roman" w:cs="Times New Roman"/>
                <w:b/>
                <w:bCs/>
                <w:color w:val="auto"/>
              </w:rPr>
            </w:pPr>
            <w:r>
              <w:rPr>
                <w:rFonts w:hint="default" w:ascii="Times New Roman" w:hAnsi="Times New Roman" w:cs="Times New Roman"/>
                <w:b/>
                <w:bCs/>
                <w:color w:val="auto"/>
              </w:rPr>
              <w:t>7、环境风险</w:t>
            </w:r>
          </w:p>
          <w:p w14:paraId="1079FEC9">
            <w:pPr>
              <w:pStyle w:val="29"/>
              <w:bidi w:val="0"/>
              <w:rPr>
                <w:rFonts w:hint="default" w:ascii="Times New Roman" w:hAnsi="Times New Roman" w:cs="Times New Roman"/>
                <w:color w:val="auto"/>
              </w:rPr>
            </w:pPr>
            <w:r>
              <w:rPr>
                <w:rFonts w:hint="default" w:ascii="Times New Roman" w:hAnsi="Times New Roman" w:cs="Times New Roman"/>
                <w:b/>
                <w:bCs/>
                <w:color w:val="auto"/>
              </w:rPr>
              <w:t>7.1 风险源调查</w:t>
            </w:r>
          </w:p>
          <w:p w14:paraId="7D0DD00A">
            <w:pPr>
              <w:pStyle w:val="29"/>
              <w:bidi w:val="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根据《建设项目环境风险评价技术导则》(以下简称“风险导则”)，对照附录B，对项目生产过程中的</w:t>
            </w:r>
            <w:r>
              <w:rPr>
                <w:rFonts w:hint="eastAsia" w:ascii="Times New Roman" w:hAnsi="Times New Roman" w:cs="Times New Roman"/>
                <w:color w:val="auto"/>
                <w:lang w:val="en-US" w:eastAsia="zh-CN"/>
              </w:rPr>
              <w:t>物质</w:t>
            </w:r>
            <w:r>
              <w:rPr>
                <w:rFonts w:hint="default" w:ascii="Times New Roman" w:hAnsi="Times New Roman" w:cs="Times New Roman"/>
                <w:color w:val="auto"/>
              </w:rPr>
              <w:t>进行识别，以最大储存量进行计算，计算公式如下：</w:t>
            </w:r>
          </w:p>
          <w:p w14:paraId="01AF87D6">
            <w:pPr>
              <w:pStyle w:val="29"/>
              <w:bidi w:val="0"/>
              <w:rPr>
                <w:rFonts w:hint="default" w:ascii="Times New Roman" w:hAnsi="Times New Roman" w:cs="Times New Roman"/>
                <w:color w:val="auto"/>
              </w:rPr>
            </w:pPr>
            <w:r>
              <w:rPr>
                <w:rFonts w:hint="default" w:ascii="Times New Roman" w:hAnsi="Times New Roman" w:cs="Times New Roman"/>
                <w:color w:val="auto"/>
              </w:rPr>
              <w:t>当只涉及1种物质时，计算该物质的总量与其临界量比值即为Q。</w:t>
            </w:r>
          </w:p>
          <w:p w14:paraId="5F53F156">
            <w:pPr>
              <w:pStyle w:val="29"/>
              <w:bidi w:val="0"/>
              <w:rPr>
                <w:rFonts w:hint="default" w:ascii="Times New Roman" w:hAnsi="Times New Roman" w:cs="Times New Roman"/>
                <w:color w:val="auto"/>
              </w:rPr>
            </w:pPr>
            <w:r>
              <w:rPr>
                <w:rFonts w:hint="default" w:ascii="Times New Roman" w:hAnsi="Times New Roman" w:cs="Times New Roman"/>
                <w:color w:val="auto"/>
              </w:rPr>
              <w:t>当存在多种危险物质时，则按下式计算物质总量与其临界量比值Q，</w:t>
            </w:r>
          </w:p>
          <w:p w14:paraId="63BB3182">
            <w:pPr>
              <w:pStyle w:val="29"/>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t>Q=q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n</w:t>
            </w:r>
            <w:r>
              <w:rPr>
                <w:rFonts w:hint="default" w:ascii="Times New Roman" w:hAnsi="Times New Roman" w:cs="Times New Roman"/>
                <w:color w:val="auto"/>
              </w:rPr>
              <w:t>/Q</w:t>
            </w:r>
            <w:r>
              <w:rPr>
                <w:rFonts w:hint="default" w:ascii="Times New Roman" w:hAnsi="Times New Roman" w:cs="Times New Roman"/>
                <w:color w:val="auto"/>
                <w:vertAlign w:val="subscript"/>
              </w:rPr>
              <w:t>n</w:t>
            </w:r>
          </w:p>
          <w:p w14:paraId="7F1E55AC">
            <w:pPr>
              <w:pStyle w:val="29"/>
              <w:bidi w:val="0"/>
              <w:rPr>
                <w:rFonts w:hint="default" w:ascii="Times New Roman" w:hAnsi="Times New Roman" w:cs="Times New Roman"/>
                <w:color w:val="auto"/>
              </w:rPr>
            </w:pPr>
            <w:r>
              <w:rPr>
                <w:rFonts w:hint="default" w:ascii="Times New Roman" w:hAnsi="Times New Roman" w:cs="Times New Roman"/>
                <w:color w:val="auto"/>
              </w:rPr>
              <w:t>式中：q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n</w:t>
            </w:r>
            <w:r>
              <w:rPr>
                <w:rFonts w:hint="default" w:ascii="Times New Roman" w:hAnsi="Times New Roman" w:cs="Times New Roman"/>
                <w:color w:val="auto"/>
              </w:rPr>
              <w:t>—每种风险物质最大存在量(t)；</w:t>
            </w:r>
          </w:p>
          <w:p w14:paraId="27D963E1">
            <w:pPr>
              <w:pStyle w:val="29"/>
              <w:bidi w:val="0"/>
              <w:rPr>
                <w:rFonts w:hint="default" w:ascii="Times New Roman" w:hAnsi="Times New Roman" w:cs="Times New Roman"/>
                <w:color w:val="auto"/>
              </w:rPr>
            </w:pPr>
            <w:r>
              <w:rPr>
                <w:rFonts w:hint="default" w:ascii="Times New Roman" w:hAnsi="Times New Roman" w:cs="Times New Roman"/>
                <w:color w:val="auto"/>
              </w:rPr>
              <w:t>Q</w:t>
            </w:r>
            <w:r>
              <w:rPr>
                <w:rFonts w:hint="default" w:ascii="Times New Roman" w:hAnsi="Times New Roman" w:cs="Times New Roman"/>
                <w:color w:val="auto"/>
                <w:vertAlign w:val="subscript"/>
              </w:rPr>
              <w:t>1</w:t>
            </w:r>
            <w:r>
              <w:rPr>
                <w:rFonts w:hint="default" w:ascii="Times New Roman" w:hAnsi="Times New Roman" w:cs="Times New Roman"/>
                <w:color w:val="auto"/>
              </w:rPr>
              <w:t>，Q</w:t>
            </w:r>
            <w:r>
              <w:rPr>
                <w:rFonts w:hint="default" w:ascii="Times New Roman" w:hAnsi="Times New Roman" w:cs="Times New Roman"/>
                <w:color w:val="auto"/>
                <w:vertAlign w:val="subscript"/>
              </w:rPr>
              <w:t>2</w:t>
            </w:r>
            <w:r>
              <w:rPr>
                <w:rFonts w:hint="default" w:ascii="Times New Roman" w:hAnsi="Times New Roman" w:cs="Times New Roman"/>
                <w:color w:val="auto"/>
              </w:rPr>
              <w:t>……Q</w:t>
            </w:r>
            <w:r>
              <w:rPr>
                <w:rFonts w:hint="default" w:ascii="Times New Roman" w:hAnsi="Times New Roman" w:cs="Times New Roman"/>
                <w:color w:val="auto"/>
                <w:vertAlign w:val="subscript"/>
              </w:rPr>
              <w:t>n</w:t>
            </w:r>
            <w:r>
              <w:rPr>
                <w:rFonts w:hint="default" w:ascii="Times New Roman" w:hAnsi="Times New Roman" w:cs="Times New Roman"/>
                <w:color w:val="auto"/>
              </w:rPr>
              <w:t>—每种风险物质的临界量（t）。</w:t>
            </w:r>
          </w:p>
          <w:p w14:paraId="69FB6234">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本项目涉及的风险物质及其临界量情况见表</w:t>
            </w:r>
            <w:r>
              <w:rPr>
                <w:rFonts w:hint="eastAsia" w:ascii="Times New Roman" w:hAnsi="Times New Roman" w:cs="Times New Roman"/>
                <w:color w:val="auto"/>
                <w:lang w:val="en-US" w:eastAsia="zh-CN"/>
              </w:rPr>
              <w:t>4-21。</w:t>
            </w:r>
          </w:p>
          <w:p w14:paraId="2B9F92F0">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表4-21  项目涉及的风险物质及其临界量情况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2316"/>
              <w:gridCol w:w="1849"/>
              <w:gridCol w:w="1285"/>
              <w:gridCol w:w="1250"/>
            </w:tblGrid>
            <w:tr w14:paraId="3102A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12" w:space="0"/>
                    <w:left w:val="nil"/>
                    <w:bottom w:val="single" w:color="auto" w:sz="4" w:space="0"/>
                    <w:right w:val="single" w:color="auto" w:sz="4" w:space="0"/>
                    <w:tl2br w:val="nil"/>
                    <w:tr2bl w:val="nil"/>
                  </w:tcBorders>
                  <w:noWrap w:val="0"/>
                  <w:vAlign w:val="center"/>
                </w:tcPr>
                <w:p w14:paraId="56959285">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物质名称</w:t>
                  </w:r>
                </w:p>
              </w:tc>
              <w:tc>
                <w:tcPr>
                  <w:tcW w:w="2316"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B006DC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年使用（产生）量（t）</w:t>
                  </w:r>
                </w:p>
              </w:tc>
              <w:tc>
                <w:tcPr>
                  <w:tcW w:w="1849"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62D0841">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最大储存量（t）</w:t>
                  </w:r>
                </w:p>
              </w:tc>
              <w:tc>
                <w:tcPr>
                  <w:tcW w:w="128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750ACB3">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临界量（t）</w:t>
                  </w:r>
                </w:p>
              </w:tc>
              <w:tc>
                <w:tcPr>
                  <w:tcW w:w="1250" w:type="dxa"/>
                  <w:tcBorders>
                    <w:top w:val="single" w:color="auto" w:sz="12" w:space="0"/>
                    <w:left w:val="single" w:color="auto" w:sz="4" w:space="0"/>
                    <w:bottom w:val="single" w:color="auto" w:sz="4" w:space="0"/>
                    <w:right w:val="nil"/>
                    <w:tl2br w:val="nil"/>
                    <w:tr2bl w:val="nil"/>
                  </w:tcBorders>
                  <w:noWrap w:val="0"/>
                  <w:vAlign w:val="center"/>
                </w:tcPr>
                <w:p w14:paraId="7FF41AC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Q值</w:t>
                  </w:r>
                </w:p>
              </w:tc>
            </w:tr>
            <w:tr w14:paraId="4CA0D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392284B5">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二甲苯</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CE19F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2.29</w:t>
                  </w:r>
                </w:p>
              </w:tc>
              <w:tc>
                <w:tcPr>
                  <w:tcW w:w="18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2E5B68">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0.229</w:t>
                  </w:r>
                </w:p>
              </w:tc>
              <w:tc>
                <w:tcPr>
                  <w:tcW w:w="128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9FED1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10</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531FC11B">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0.0229</w:t>
                  </w:r>
                </w:p>
              </w:tc>
            </w:tr>
            <w:tr w14:paraId="71522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0F43A29B">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乙酸丁酯</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38288E">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1.235</w:t>
                  </w:r>
                </w:p>
              </w:tc>
              <w:tc>
                <w:tcPr>
                  <w:tcW w:w="184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B2AAD2A">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0.1235</w:t>
                  </w:r>
                </w:p>
              </w:tc>
              <w:tc>
                <w:tcPr>
                  <w:tcW w:w="128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518CE80">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10*</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6CF9C10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0.01235</w:t>
                  </w:r>
                </w:p>
              </w:tc>
            </w:tr>
            <w:tr w14:paraId="40DC6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1A308A19">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正丁醇</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1DF2F0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0.5</w:t>
                  </w:r>
                </w:p>
              </w:tc>
              <w:tc>
                <w:tcPr>
                  <w:tcW w:w="18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A4CE934">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0.05</w:t>
                  </w:r>
                </w:p>
              </w:tc>
              <w:tc>
                <w:tcPr>
                  <w:tcW w:w="128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3EEC4FF">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10</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069B837A">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0.005</w:t>
                  </w:r>
                </w:p>
              </w:tc>
            </w:tr>
            <w:tr w14:paraId="6318E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7C0787A4">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环己酮</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A137E3">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0.3</w:t>
                  </w:r>
                </w:p>
              </w:tc>
              <w:tc>
                <w:tcPr>
                  <w:tcW w:w="18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4CA7F4">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0.03</w:t>
                  </w:r>
                </w:p>
              </w:tc>
              <w:tc>
                <w:tcPr>
                  <w:tcW w:w="128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104FE5">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10</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37142581">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0.003</w:t>
                  </w:r>
                </w:p>
              </w:tc>
            </w:tr>
            <w:tr w14:paraId="07BD0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4FB9AF50">
                  <w:pPr>
                    <w:pStyle w:val="30"/>
                    <w:spacing w:beforeLines="0" w:afterLines="0"/>
                    <w:rPr>
                      <w:rFonts w:hint="default" w:ascii="Times New Roman" w:hAnsi="Times New Roman" w:cs="Times New Roman"/>
                      <w:color w:val="auto"/>
                      <w:sz w:val="21"/>
                      <w:szCs w:val="24"/>
                      <w:u w:val="single"/>
                    </w:rPr>
                  </w:pPr>
                  <w:r>
                    <w:rPr>
                      <w:rFonts w:hint="default" w:ascii="Times New Roman" w:hAnsi="Times New Roman" w:cs="Times New Roman"/>
                      <w:color w:val="auto"/>
                      <w:sz w:val="21"/>
                      <w:szCs w:val="24"/>
                      <w:u w:val="single"/>
                    </w:rPr>
                    <w:t>机油</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D722865">
                  <w:pPr>
                    <w:pStyle w:val="30"/>
                    <w:spacing w:beforeLines="0" w:afterLines="0"/>
                    <w:rPr>
                      <w:rFonts w:hint="eastAsia" w:ascii="Times New Roman" w:hAnsi="Times New Roman" w:eastAsia="宋体" w:cs="Times New Roman"/>
                      <w:color w:val="auto"/>
                      <w:sz w:val="21"/>
                      <w:szCs w:val="24"/>
                      <w:u w:val="single"/>
                      <w:lang w:eastAsia="zh-CN"/>
                    </w:rPr>
                  </w:pPr>
                  <w:r>
                    <w:rPr>
                      <w:rFonts w:hint="default" w:ascii="Times New Roman" w:hAnsi="Times New Roman" w:cs="Times New Roman"/>
                      <w:color w:val="auto"/>
                      <w:sz w:val="21"/>
                      <w:szCs w:val="24"/>
                      <w:u w:val="single"/>
                    </w:rPr>
                    <w:t>0.</w:t>
                  </w:r>
                  <w:r>
                    <w:rPr>
                      <w:rFonts w:hint="eastAsia" w:ascii="Times New Roman" w:hAnsi="Times New Roman" w:cs="Times New Roman"/>
                      <w:color w:val="auto"/>
                      <w:sz w:val="21"/>
                      <w:szCs w:val="24"/>
                      <w:u w:val="single"/>
                      <w:lang w:val="en-US" w:eastAsia="zh-CN"/>
                    </w:rPr>
                    <w:t>1</w:t>
                  </w:r>
                </w:p>
              </w:tc>
              <w:tc>
                <w:tcPr>
                  <w:tcW w:w="18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F03886">
                  <w:pPr>
                    <w:pStyle w:val="30"/>
                    <w:spacing w:beforeLines="0" w:afterLines="0"/>
                    <w:rPr>
                      <w:rFonts w:hint="eastAsia" w:ascii="Times New Roman" w:hAnsi="Times New Roman" w:eastAsia="宋体" w:cs="Times New Roman"/>
                      <w:color w:val="auto"/>
                      <w:sz w:val="21"/>
                      <w:szCs w:val="24"/>
                      <w:u w:val="single"/>
                      <w:lang w:eastAsia="zh-CN"/>
                    </w:rPr>
                  </w:pPr>
                  <w:r>
                    <w:rPr>
                      <w:rFonts w:hint="default" w:ascii="Times New Roman" w:hAnsi="Times New Roman" w:cs="Times New Roman"/>
                      <w:color w:val="auto"/>
                      <w:sz w:val="21"/>
                      <w:szCs w:val="24"/>
                      <w:u w:val="single"/>
                    </w:rPr>
                    <w:t>0.</w:t>
                  </w:r>
                  <w:r>
                    <w:rPr>
                      <w:rFonts w:hint="eastAsia" w:ascii="Times New Roman" w:hAnsi="Times New Roman" w:cs="Times New Roman"/>
                      <w:color w:val="auto"/>
                      <w:sz w:val="21"/>
                      <w:szCs w:val="24"/>
                      <w:u w:val="single"/>
                      <w:lang w:val="en-US" w:eastAsia="zh-CN"/>
                    </w:rPr>
                    <w:t>1</w:t>
                  </w:r>
                </w:p>
              </w:tc>
              <w:tc>
                <w:tcPr>
                  <w:tcW w:w="128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465AAD">
                  <w:pPr>
                    <w:pStyle w:val="30"/>
                    <w:spacing w:beforeLines="0" w:afterLines="0"/>
                    <w:rPr>
                      <w:rFonts w:hint="default" w:ascii="Times New Roman" w:hAnsi="Times New Roman" w:cs="Times New Roman"/>
                      <w:color w:val="auto"/>
                      <w:sz w:val="21"/>
                      <w:szCs w:val="24"/>
                      <w:u w:val="single"/>
                    </w:rPr>
                  </w:pPr>
                  <w:r>
                    <w:rPr>
                      <w:rFonts w:hint="default" w:ascii="Times New Roman" w:hAnsi="Times New Roman" w:cs="Times New Roman"/>
                      <w:color w:val="auto"/>
                      <w:sz w:val="21"/>
                      <w:szCs w:val="24"/>
                      <w:u w:val="single"/>
                    </w:rPr>
                    <w:t>2500</w:t>
                  </w:r>
                  <w:r>
                    <w:rPr>
                      <w:rFonts w:hint="eastAsia" w:ascii="Times New Roman" w:hAnsi="Times New Roman" w:cs="Times New Roman"/>
                      <w:color w:val="auto"/>
                      <w:sz w:val="21"/>
                      <w:szCs w:val="24"/>
                      <w:u w:val="single"/>
                      <w:vertAlign w:val="superscript"/>
                      <w:lang w:val="en-US" w:eastAsia="zh-CN"/>
                    </w:rPr>
                    <w:t>①</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1BFA4AFB">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0.00004</w:t>
                  </w:r>
                </w:p>
              </w:tc>
            </w:tr>
            <w:tr w14:paraId="493C4E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6" w:type="dxa"/>
                  <w:tcBorders>
                    <w:top w:val="single" w:color="auto" w:sz="4" w:space="0"/>
                    <w:left w:val="nil"/>
                    <w:bottom w:val="single" w:color="auto" w:sz="4" w:space="0"/>
                    <w:right w:val="single" w:color="auto" w:sz="4" w:space="0"/>
                    <w:tl2br w:val="nil"/>
                    <w:tr2bl w:val="nil"/>
                  </w:tcBorders>
                  <w:noWrap w:val="0"/>
                  <w:vAlign w:val="center"/>
                </w:tcPr>
                <w:p w14:paraId="609C67B4">
                  <w:pPr>
                    <w:pStyle w:val="30"/>
                    <w:spacing w:beforeLines="0" w:afterLines="0"/>
                    <w:rPr>
                      <w:rFonts w:hint="default" w:ascii="Times New Roman" w:hAnsi="Times New Roman" w:eastAsia="宋体" w:cs="Times New Roman"/>
                      <w:color w:val="auto"/>
                      <w:sz w:val="21"/>
                      <w:szCs w:val="24"/>
                      <w:u w:val="single"/>
                      <w:lang w:val="en-US" w:eastAsia="zh-CN"/>
                    </w:rPr>
                  </w:pPr>
                  <w:r>
                    <w:rPr>
                      <w:rFonts w:hint="eastAsia" w:ascii="Times New Roman" w:hAnsi="Times New Roman" w:cs="Times New Roman"/>
                      <w:color w:val="auto"/>
                      <w:sz w:val="21"/>
                      <w:szCs w:val="24"/>
                      <w:u w:val="single"/>
                      <w:lang w:val="en-US" w:eastAsia="zh-CN"/>
                    </w:rPr>
                    <w:t>危险废物</w:t>
                  </w:r>
                </w:p>
              </w:tc>
              <w:tc>
                <w:tcPr>
                  <w:tcW w:w="231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C21F1E">
                  <w:pPr>
                    <w:pStyle w:val="30"/>
                    <w:spacing w:beforeLines="0" w:afterLines="0"/>
                    <w:rPr>
                      <w:rFonts w:hint="default" w:ascii="Times New Roman" w:hAnsi="Times New Roman" w:eastAsia="宋体" w:cs="Times New Roman"/>
                      <w:color w:val="auto"/>
                      <w:sz w:val="21"/>
                      <w:szCs w:val="24"/>
                      <w:u w:val="single"/>
                      <w:lang w:val="en-US" w:eastAsia="zh-CN"/>
                    </w:rPr>
                  </w:pPr>
                  <w:r>
                    <w:rPr>
                      <w:rFonts w:hint="eastAsia" w:ascii="Times New Roman" w:hAnsi="Times New Roman" w:cs="Times New Roman"/>
                      <w:color w:val="auto"/>
                      <w:sz w:val="21"/>
                      <w:szCs w:val="24"/>
                      <w:u w:val="single"/>
                      <w:lang w:val="en-US" w:eastAsia="zh-CN"/>
                    </w:rPr>
                    <w:t>14.65</w:t>
                  </w:r>
                </w:p>
              </w:tc>
              <w:tc>
                <w:tcPr>
                  <w:tcW w:w="184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068F6FD">
                  <w:pPr>
                    <w:pStyle w:val="30"/>
                    <w:spacing w:beforeLines="0" w:afterLines="0"/>
                    <w:rPr>
                      <w:rFonts w:hint="default" w:ascii="Times New Roman" w:hAnsi="Times New Roman" w:eastAsia="宋体" w:cs="Times New Roman"/>
                      <w:color w:val="auto"/>
                      <w:sz w:val="21"/>
                      <w:szCs w:val="24"/>
                      <w:u w:val="single"/>
                      <w:lang w:val="en-US" w:eastAsia="zh-CN"/>
                    </w:rPr>
                  </w:pPr>
                  <w:r>
                    <w:rPr>
                      <w:rFonts w:hint="eastAsia" w:ascii="Times New Roman" w:hAnsi="Times New Roman" w:cs="Times New Roman"/>
                      <w:color w:val="auto"/>
                      <w:sz w:val="21"/>
                      <w:szCs w:val="24"/>
                      <w:u w:val="single"/>
                      <w:lang w:val="en-US" w:eastAsia="zh-CN"/>
                    </w:rPr>
                    <w:t>8</w:t>
                  </w:r>
                </w:p>
              </w:tc>
              <w:tc>
                <w:tcPr>
                  <w:tcW w:w="128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74A2EF">
                  <w:pPr>
                    <w:pStyle w:val="30"/>
                    <w:spacing w:beforeLines="0" w:afterLines="0"/>
                    <w:rPr>
                      <w:rFonts w:hint="default" w:ascii="Times New Roman" w:hAnsi="Times New Roman" w:eastAsia="宋体" w:cs="Times New Roman"/>
                      <w:color w:val="auto"/>
                      <w:sz w:val="21"/>
                      <w:szCs w:val="24"/>
                      <w:u w:val="single"/>
                      <w:lang w:val="en-US" w:eastAsia="zh-CN"/>
                    </w:rPr>
                  </w:pPr>
                  <w:r>
                    <w:rPr>
                      <w:rFonts w:hint="eastAsia" w:ascii="Times New Roman" w:hAnsi="Times New Roman" w:cs="Times New Roman"/>
                      <w:color w:val="auto"/>
                      <w:sz w:val="21"/>
                      <w:szCs w:val="24"/>
                      <w:u w:val="single"/>
                      <w:lang w:val="en-US" w:eastAsia="zh-CN"/>
                    </w:rPr>
                    <w:t>50</w:t>
                  </w:r>
                  <w:r>
                    <w:rPr>
                      <w:rFonts w:hint="eastAsia" w:ascii="Times New Roman" w:hAnsi="Times New Roman" w:cs="Times New Roman"/>
                      <w:color w:val="auto"/>
                      <w:sz w:val="21"/>
                      <w:szCs w:val="24"/>
                      <w:u w:val="single"/>
                      <w:vertAlign w:val="superscript"/>
                      <w:lang w:val="en-US" w:eastAsia="zh-CN"/>
                    </w:rPr>
                    <w:t>②</w:t>
                  </w:r>
                </w:p>
              </w:tc>
              <w:tc>
                <w:tcPr>
                  <w:tcW w:w="1250" w:type="dxa"/>
                  <w:tcBorders>
                    <w:top w:val="single" w:color="auto" w:sz="4" w:space="0"/>
                    <w:left w:val="single" w:color="auto" w:sz="4" w:space="0"/>
                    <w:bottom w:val="single" w:color="auto" w:sz="4" w:space="0"/>
                    <w:right w:val="nil"/>
                    <w:tl2br w:val="nil"/>
                    <w:tr2bl w:val="nil"/>
                  </w:tcBorders>
                  <w:noWrap w:val="0"/>
                  <w:vAlign w:val="top"/>
                </w:tcPr>
                <w:p w14:paraId="66821BA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0.16</w:t>
                  </w:r>
                </w:p>
              </w:tc>
            </w:tr>
            <w:tr w14:paraId="5428E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96" w:type="dxa"/>
                  <w:gridSpan w:val="4"/>
                  <w:tcBorders>
                    <w:top w:val="single" w:color="auto" w:sz="4" w:space="0"/>
                    <w:left w:val="nil"/>
                    <w:bottom w:val="single" w:color="auto" w:sz="4" w:space="0"/>
                    <w:right w:val="single" w:color="auto" w:sz="4" w:space="0"/>
                    <w:tl2br w:val="nil"/>
                    <w:tr2bl w:val="nil"/>
                  </w:tcBorders>
                  <w:noWrap w:val="0"/>
                  <w:vAlign w:val="center"/>
                </w:tcPr>
                <w:p w14:paraId="0784A61D">
                  <w:pPr>
                    <w:pStyle w:val="30"/>
                    <w:spacing w:beforeLines="0" w:afterLines="0"/>
                    <w:rPr>
                      <w:rFonts w:hint="default" w:ascii="Times New Roman" w:hAnsi="Times New Roman" w:eastAsia="宋体" w:cs="Times New Roman"/>
                      <w:i w:val="0"/>
                      <w:iCs w:val="0"/>
                      <w:color w:val="auto"/>
                      <w:kern w:val="0"/>
                      <w:sz w:val="21"/>
                      <w:szCs w:val="21"/>
                      <w:u w:val="single"/>
                      <w:lang w:val="en-US" w:eastAsia="zh-CN" w:bidi="ar"/>
                    </w:rPr>
                  </w:pPr>
                  <w:r>
                    <w:rPr>
                      <w:rFonts w:hint="default" w:ascii="Times New Roman" w:hAnsi="Times New Roman" w:eastAsia="宋体" w:cs="Times New Roman"/>
                      <w:i w:val="0"/>
                      <w:iCs w:val="0"/>
                      <w:color w:val="auto"/>
                      <w:kern w:val="0"/>
                      <w:sz w:val="21"/>
                      <w:szCs w:val="21"/>
                      <w:u w:val="single"/>
                      <w:lang w:val="en-US" w:eastAsia="zh-CN" w:bidi="ar"/>
                    </w:rPr>
                    <w:t>总计</w:t>
                  </w:r>
                </w:p>
              </w:tc>
              <w:tc>
                <w:tcPr>
                  <w:tcW w:w="1250" w:type="dxa"/>
                  <w:tcBorders>
                    <w:top w:val="single" w:color="auto" w:sz="4" w:space="0"/>
                    <w:left w:val="single" w:color="auto" w:sz="4" w:space="0"/>
                    <w:bottom w:val="single" w:color="auto" w:sz="4" w:space="0"/>
                    <w:right w:val="nil"/>
                    <w:tl2br w:val="nil"/>
                    <w:tr2bl w:val="nil"/>
                  </w:tcBorders>
                  <w:noWrap w:val="0"/>
                  <w:vAlign w:val="center"/>
                </w:tcPr>
                <w:p w14:paraId="3E23C80F">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0.20329</w:t>
                  </w:r>
                </w:p>
              </w:tc>
            </w:tr>
            <w:tr w14:paraId="3F193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46" w:type="dxa"/>
                  <w:gridSpan w:val="5"/>
                  <w:tcBorders>
                    <w:top w:val="single" w:color="auto" w:sz="4" w:space="0"/>
                    <w:left w:val="nil"/>
                    <w:bottom w:val="single" w:color="auto" w:sz="12" w:space="0"/>
                    <w:right w:val="nil"/>
                    <w:tl2br w:val="nil"/>
                    <w:tr2bl w:val="nil"/>
                  </w:tcBorders>
                  <w:noWrap w:val="0"/>
                  <w:vAlign w:val="top"/>
                </w:tcPr>
                <w:p w14:paraId="4DAD2EC0">
                  <w:pPr>
                    <w:pStyle w:val="30"/>
                    <w:spacing w:beforeLines="0" w:afterLines="0"/>
                    <w:jc w:val="both"/>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*乙酸丁酯毒性略低于乙酸乙酯，从严参考乙酸乙酯临界量</w:t>
                  </w:r>
                </w:p>
                <w:p w14:paraId="7897E304">
                  <w:pPr>
                    <w:pStyle w:val="30"/>
                    <w:spacing w:beforeLines="0" w:afterLines="0"/>
                    <w:jc w:val="both"/>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①临界量参考“风险导则”</w:t>
                  </w:r>
                  <w:r>
                    <w:rPr>
                      <w:rFonts w:hint="eastAsia" w:ascii="Times New Roman" w:hAnsi="Times New Roman" w:cs="Times New Roman"/>
                      <w:color w:val="auto"/>
                      <w:sz w:val="21"/>
                      <w:szCs w:val="24"/>
                      <w:lang w:val="en-US" w:eastAsia="zh-CN"/>
                    </w:rPr>
                    <w:t>表B.1中381-</w:t>
                  </w:r>
                  <w:r>
                    <w:rPr>
                      <w:rFonts w:hint="default" w:ascii="Times New Roman" w:hAnsi="Times New Roman" w:cs="Times New Roman"/>
                      <w:color w:val="auto"/>
                      <w:sz w:val="21"/>
                      <w:szCs w:val="24"/>
                    </w:rPr>
                    <w:t>油类物质（矿物油类，如石油、汽油、柴油等；生物柴油等）；</w:t>
                  </w:r>
                </w:p>
                <w:p w14:paraId="604438B8">
                  <w:pPr>
                    <w:pStyle w:val="30"/>
                    <w:spacing w:beforeLines="0" w:afterLines="0"/>
                    <w:jc w:val="both"/>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②临界量参考“风险导则”表B.</w:t>
                  </w:r>
                  <w:r>
                    <w:rPr>
                      <w:rFonts w:hint="eastAsia" w:ascii="Times New Roman" w:hAnsi="Times New Roman" w:cs="Times New Roman"/>
                      <w:color w:val="auto"/>
                      <w:sz w:val="21"/>
                      <w:szCs w:val="24"/>
                      <w:lang w:val="en-US" w:eastAsia="zh-CN"/>
                    </w:rPr>
                    <w:t>2</w:t>
                  </w:r>
                  <w:r>
                    <w:rPr>
                      <w:rFonts w:hint="default" w:ascii="Times New Roman" w:hAnsi="Times New Roman" w:cs="Times New Roman"/>
                      <w:color w:val="auto"/>
                      <w:sz w:val="21"/>
                      <w:szCs w:val="24"/>
                    </w:rPr>
                    <w:t>中</w:t>
                  </w:r>
                  <w:r>
                    <w:rPr>
                      <w:rFonts w:hint="eastAsia" w:ascii="Times New Roman" w:hAnsi="Times New Roman" w:cs="Times New Roman"/>
                      <w:color w:val="auto"/>
                      <w:sz w:val="21"/>
                      <w:szCs w:val="24"/>
                      <w:lang w:val="en-US" w:eastAsia="zh-CN"/>
                    </w:rPr>
                    <w:t>2-健康危险急性毒性物质（类别2、类别3）。</w:t>
                  </w:r>
                </w:p>
              </w:tc>
            </w:tr>
          </w:tbl>
          <w:p w14:paraId="453C7209">
            <w:pPr>
              <w:pStyle w:val="29"/>
              <w:bidi w:val="0"/>
              <w:rPr>
                <w:rFonts w:hint="default" w:ascii="Times New Roman" w:hAnsi="Times New Roman" w:cs="Times New Roman"/>
                <w:color w:val="auto"/>
              </w:rPr>
            </w:pPr>
            <w:r>
              <w:rPr>
                <w:rFonts w:hint="default" w:ascii="Times New Roman" w:hAnsi="Times New Roman" w:cs="Times New Roman"/>
                <w:color w:val="auto"/>
              </w:rPr>
              <w:t>根据上表可知，本项目Q＜1，对照导则确定本项目环境风险潜势为I。结合表4-2</w:t>
            </w:r>
            <w:r>
              <w:rPr>
                <w:rFonts w:hint="eastAsia" w:ascii="Times New Roman" w:hAnsi="Times New Roman" w:cs="Times New Roman"/>
                <w:color w:val="auto"/>
                <w:lang w:val="en-US" w:eastAsia="zh-CN"/>
              </w:rPr>
              <w:t>2</w:t>
            </w:r>
            <w:r>
              <w:rPr>
                <w:rFonts w:hint="default" w:ascii="Times New Roman" w:hAnsi="Times New Roman" w:cs="Times New Roman"/>
                <w:color w:val="auto"/>
              </w:rPr>
              <w:t>内容，本项目环境风险评价等级为简单分析。</w:t>
            </w:r>
          </w:p>
          <w:p w14:paraId="7BE20D68">
            <w:pPr>
              <w:pStyle w:val="29"/>
              <w:bidi w:val="0"/>
              <w:rPr>
                <w:rFonts w:hint="default" w:ascii="Times New Roman" w:hAnsi="Times New Roman" w:cs="Times New Roman"/>
                <w:color w:val="auto"/>
              </w:rPr>
            </w:pPr>
            <w:r>
              <w:rPr>
                <w:rFonts w:hint="default" w:ascii="Times New Roman" w:hAnsi="Times New Roman" w:cs="Times New Roman"/>
                <w:b/>
                <w:bCs/>
                <w:color w:val="auto"/>
              </w:rPr>
              <w:t>7.2 环境风险识别</w:t>
            </w:r>
          </w:p>
          <w:p w14:paraId="6284D3BB">
            <w:pPr>
              <w:pStyle w:val="29"/>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本项目运营期风险识别结果见表</w:t>
            </w:r>
            <w:r>
              <w:rPr>
                <w:rFonts w:hint="eastAsia" w:ascii="Times New Roman" w:hAnsi="Times New Roman" w:cs="Times New Roman"/>
                <w:color w:val="auto"/>
                <w:lang w:val="en-US" w:eastAsia="zh-CN"/>
              </w:rPr>
              <w:t>4-23。</w:t>
            </w:r>
          </w:p>
          <w:p w14:paraId="63322F07">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表4-23  运营期风险识别结果</w:t>
            </w:r>
          </w:p>
          <w:tbl>
            <w:tblPr>
              <w:tblStyle w:val="18"/>
              <w:tblW w:w="7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275"/>
              <w:gridCol w:w="1929"/>
              <w:gridCol w:w="2914"/>
              <w:gridCol w:w="1152"/>
            </w:tblGrid>
            <w:tr w14:paraId="47C82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tcBorders>
                    <w:top w:val="single" w:color="auto" w:sz="12" w:space="0"/>
                    <w:left w:val="nil"/>
                    <w:bottom w:val="single" w:color="auto" w:sz="4" w:space="0"/>
                    <w:right w:val="single" w:color="auto" w:sz="4" w:space="0"/>
                    <w:tl2br w:val="nil"/>
                    <w:tr2bl w:val="nil"/>
                  </w:tcBorders>
                  <w:noWrap w:val="0"/>
                  <w:vAlign w:val="center"/>
                </w:tcPr>
                <w:p w14:paraId="38A2FF8A">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序号</w:t>
                  </w:r>
                </w:p>
              </w:tc>
              <w:tc>
                <w:tcPr>
                  <w:tcW w:w="1275"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0F48F288">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风险源</w:t>
                  </w:r>
                </w:p>
              </w:tc>
              <w:tc>
                <w:tcPr>
                  <w:tcW w:w="1929"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67A9FCD">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风险物质</w:t>
                  </w:r>
                </w:p>
              </w:tc>
              <w:tc>
                <w:tcPr>
                  <w:tcW w:w="291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BFA75E5">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可能影响途径</w:t>
                  </w:r>
                </w:p>
              </w:tc>
              <w:tc>
                <w:tcPr>
                  <w:tcW w:w="1152" w:type="dxa"/>
                  <w:tcBorders>
                    <w:top w:val="single" w:color="auto" w:sz="12" w:space="0"/>
                    <w:left w:val="single" w:color="auto" w:sz="4" w:space="0"/>
                    <w:bottom w:val="single" w:color="auto" w:sz="4" w:space="0"/>
                    <w:right w:val="nil"/>
                    <w:tl2br w:val="nil"/>
                    <w:tr2bl w:val="nil"/>
                  </w:tcBorders>
                  <w:noWrap w:val="0"/>
                  <w:vAlign w:val="center"/>
                </w:tcPr>
                <w:p w14:paraId="48FA60B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环境风险类型</w:t>
                  </w:r>
                </w:p>
              </w:tc>
            </w:tr>
            <w:tr w14:paraId="7B51C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tcBorders>
                    <w:top w:val="single" w:color="auto" w:sz="4" w:space="0"/>
                    <w:left w:val="nil"/>
                    <w:bottom w:val="single" w:color="auto" w:sz="4" w:space="0"/>
                    <w:right w:val="single" w:color="auto" w:sz="4" w:space="0"/>
                    <w:tl2br w:val="nil"/>
                    <w:tr2bl w:val="nil"/>
                  </w:tcBorders>
                  <w:noWrap w:val="0"/>
                  <w:vAlign w:val="center"/>
                </w:tcPr>
                <w:p w14:paraId="33B752DD">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1</w:t>
                  </w:r>
                </w:p>
              </w:tc>
              <w:tc>
                <w:tcPr>
                  <w:tcW w:w="12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5325068">
                  <w:pPr>
                    <w:pStyle w:val="3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生产设备</w:t>
                  </w:r>
                </w:p>
              </w:tc>
              <w:tc>
                <w:tcPr>
                  <w:tcW w:w="192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501150">
                  <w:pPr>
                    <w:pStyle w:val="30"/>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机油（废机油）</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油漆、稀释剂等</w:t>
                  </w:r>
                </w:p>
              </w:tc>
              <w:tc>
                <w:tcPr>
                  <w:tcW w:w="29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E7D1A49">
                  <w:pPr>
                    <w:pStyle w:val="3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泄漏，通过地面漫流及下渗方式污染地下水和土壤</w:t>
                  </w:r>
                </w:p>
              </w:tc>
              <w:tc>
                <w:tcPr>
                  <w:tcW w:w="1152" w:type="dxa"/>
                  <w:tcBorders>
                    <w:top w:val="single" w:color="auto" w:sz="4" w:space="0"/>
                    <w:left w:val="single" w:color="auto" w:sz="4" w:space="0"/>
                    <w:bottom w:val="single" w:color="auto" w:sz="4" w:space="0"/>
                    <w:right w:val="nil"/>
                    <w:tl2br w:val="nil"/>
                    <w:tr2bl w:val="nil"/>
                  </w:tcBorders>
                  <w:noWrap w:val="0"/>
                  <w:vAlign w:val="center"/>
                </w:tcPr>
                <w:p w14:paraId="15773012">
                  <w:pPr>
                    <w:pStyle w:val="3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泄漏</w:t>
                  </w:r>
                </w:p>
              </w:tc>
            </w:tr>
            <w:tr w14:paraId="75628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tcBorders>
                    <w:top w:val="single" w:color="auto" w:sz="4" w:space="0"/>
                    <w:left w:val="nil"/>
                    <w:bottom w:val="single" w:color="auto" w:sz="4" w:space="0"/>
                    <w:right w:val="single" w:color="auto" w:sz="4" w:space="0"/>
                    <w:tl2br w:val="nil"/>
                    <w:tr2bl w:val="nil"/>
                  </w:tcBorders>
                  <w:noWrap w:val="0"/>
                  <w:vAlign w:val="center"/>
                </w:tcPr>
                <w:p w14:paraId="4E0B1180">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eastAsia="Times New Roman" w:cs="Times New Roman"/>
                      <w:color w:val="auto"/>
                      <w:sz w:val="21"/>
                      <w:szCs w:val="24"/>
                    </w:rPr>
                    <w:t>2</w:t>
                  </w:r>
                </w:p>
              </w:tc>
              <w:tc>
                <w:tcPr>
                  <w:tcW w:w="12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9715FA">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危废暂存间</w:t>
                  </w:r>
                </w:p>
              </w:tc>
              <w:tc>
                <w:tcPr>
                  <w:tcW w:w="192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08E26D">
                  <w:pPr>
                    <w:pStyle w:val="30"/>
                    <w:spacing w:beforeLines="0" w:afterLines="0"/>
                    <w:rPr>
                      <w:rFonts w:hint="eastAsia" w:ascii="Times New Roman" w:hAnsi="Times New Roman" w:eastAsia="宋体" w:cs="Times New Roman"/>
                      <w:color w:val="auto"/>
                      <w:sz w:val="21"/>
                      <w:szCs w:val="24"/>
                      <w:lang w:eastAsia="zh-CN"/>
                    </w:rPr>
                  </w:pPr>
                  <w:r>
                    <w:rPr>
                      <w:rFonts w:hint="eastAsia" w:ascii="Times New Roman" w:hAnsi="Times New Roman" w:eastAsia="宋体" w:cs="Times New Roman"/>
                      <w:color w:val="auto"/>
                      <w:sz w:val="21"/>
                      <w:szCs w:val="24"/>
                      <w:lang w:val="en-US" w:eastAsia="zh-CN"/>
                    </w:rPr>
                    <w:t>危险废物</w:t>
                  </w:r>
                </w:p>
              </w:tc>
              <w:tc>
                <w:tcPr>
                  <w:tcW w:w="29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B4CE43">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泄漏，通过地面漫流及下渗方式污染地下水和土壤</w:t>
                  </w:r>
                </w:p>
              </w:tc>
              <w:tc>
                <w:tcPr>
                  <w:tcW w:w="1152" w:type="dxa"/>
                  <w:tcBorders>
                    <w:top w:val="single" w:color="auto" w:sz="4" w:space="0"/>
                    <w:left w:val="single" w:color="auto" w:sz="4" w:space="0"/>
                    <w:bottom w:val="single" w:color="auto" w:sz="4" w:space="0"/>
                    <w:right w:val="nil"/>
                    <w:tl2br w:val="nil"/>
                    <w:tr2bl w:val="nil"/>
                  </w:tcBorders>
                  <w:noWrap w:val="0"/>
                  <w:vAlign w:val="center"/>
                </w:tcPr>
                <w:p w14:paraId="05A51820">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泄漏</w:t>
                  </w:r>
                </w:p>
              </w:tc>
            </w:tr>
            <w:tr w14:paraId="69FA2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tcBorders>
                    <w:top w:val="single" w:color="auto" w:sz="4" w:space="0"/>
                    <w:left w:val="nil"/>
                    <w:bottom w:val="single" w:color="auto" w:sz="4" w:space="0"/>
                    <w:right w:val="single" w:color="auto" w:sz="4" w:space="0"/>
                    <w:tl2br w:val="nil"/>
                    <w:tr2bl w:val="nil"/>
                  </w:tcBorders>
                  <w:noWrap w:val="0"/>
                  <w:vAlign w:val="center"/>
                </w:tcPr>
                <w:p w14:paraId="75607DD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w:t>
                  </w:r>
                </w:p>
              </w:tc>
              <w:tc>
                <w:tcPr>
                  <w:tcW w:w="127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66C5C71">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废气环保设施故障</w:t>
                  </w:r>
                </w:p>
              </w:tc>
              <w:tc>
                <w:tcPr>
                  <w:tcW w:w="192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6C8FE72">
                  <w:pPr>
                    <w:pStyle w:val="30"/>
                    <w:spacing w:beforeLines="0" w:afterLines="0"/>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rPr>
                    <w:t>颗粒物、非甲烷总烃</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二甲苯、苯系物</w:t>
                  </w:r>
                </w:p>
              </w:tc>
              <w:tc>
                <w:tcPr>
                  <w:tcW w:w="29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09604F">
                  <w:pPr>
                    <w:pStyle w:val="30"/>
                    <w:spacing w:beforeLines="0" w:afterLines="0"/>
                    <w:rPr>
                      <w:rFonts w:hint="default" w:ascii="Times New Roman" w:hAnsi="Times New Roman" w:eastAsia="Times New Roman" w:cs="Times New Roman"/>
                      <w:color w:val="auto"/>
                      <w:sz w:val="21"/>
                      <w:szCs w:val="24"/>
                    </w:rPr>
                  </w:pPr>
                  <w:r>
                    <w:rPr>
                      <w:rFonts w:hint="eastAsia" w:ascii="Times New Roman" w:hAnsi="Times New Roman" w:cs="Times New Roman"/>
                      <w:color w:val="auto"/>
                      <w:sz w:val="21"/>
                      <w:szCs w:val="24"/>
                      <w:lang w:val="en-US" w:eastAsia="zh-CN"/>
                    </w:rPr>
                    <w:t>水帘、催化燃烧装置</w:t>
                  </w:r>
                  <w:r>
                    <w:rPr>
                      <w:rFonts w:hint="default" w:ascii="Times New Roman" w:hAnsi="Times New Roman" w:cs="Times New Roman"/>
                      <w:color w:val="auto"/>
                      <w:sz w:val="21"/>
                      <w:szCs w:val="24"/>
                    </w:rPr>
                    <w:t>故障，导致颗粒物</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非甲烷总烃、二甲苯、苯系物</w:t>
                  </w:r>
                  <w:r>
                    <w:rPr>
                      <w:rFonts w:hint="default" w:ascii="Times New Roman" w:hAnsi="Times New Roman" w:cs="Times New Roman"/>
                      <w:color w:val="auto"/>
                      <w:sz w:val="21"/>
                      <w:szCs w:val="24"/>
                    </w:rPr>
                    <w:t>未经处理直接排放</w:t>
                  </w:r>
                </w:p>
              </w:tc>
              <w:tc>
                <w:tcPr>
                  <w:tcW w:w="1152" w:type="dxa"/>
                  <w:tcBorders>
                    <w:top w:val="single" w:color="auto" w:sz="4" w:space="0"/>
                    <w:left w:val="single" w:color="auto" w:sz="4" w:space="0"/>
                    <w:bottom w:val="single" w:color="auto" w:sz="4" w:space="0"/>
                    <w:right w:val="nil"/>
                    <w:tl2br w:val="nil"/>
                    <w:tr2bl w:val="nil"/>
                  </w:tcBorders>
                  <w:noWrap w:val="0"/>
                  <w:vAlign w:val="center"/>
                </w:tcPr>
                <w:p w14:paraId="1A00AE9F">
                  <w:pPr>
                    <w:pStyle w:val="30"/>
                    <w:spacing w:beforeLines="0" w:afterLines="0"/>
                    <w:rPr>
                      <w:rFonts w:hint="default" w:ascii="Times New Roman" w:hAnsi="Times New Roman" w:eastAsia="Times New Roman" w:cs="Times New Roman"/>
                      <w:color w:val="auto"/>
                      <w:sz w:val="21"/>
                      <w:szCs w:val="24"/>
                    </w:rPr>
                  </w:pPr>
                  <w:r>
                    <w:rPr>
                      <w:rFonts w:hint="default" w:ascii="Times New Roman" w:hAnsi="Times New Roman" w:cs="Times New Roman"/>
                      <w:color w:val="auto"/>
                      <w:sz w:val="21"/>
                      <w:szCs w:val="24"/>
                    </w:rPr>
                    <w:t>事故排放</w:t>
                  </w:r>
                </w:p>
              </w:tc>
            </w:tr>
            <w:tr w14:paraId="0CD44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tcBorders>
                    <w:top w:val="single" w:color="auto" w:sz="4" w:space="0"/>
                    <w:left w:val="nil"/>
                    <w:bottom w:val="single" w:color="auto" w:sz="4" w:space="0"/>
                    <w:right w:val="single" w:color="auto" w:sz="4" w:space="0"/>
                    <w:tl2br w:val="nil"/>
                    <w:tr2bl w:val="nil"/>
                  </w:tcBorders>
                  <w:noWrap w:val="0"/>
                  <w:vAlign w:val="center"/>
                </w:tcPr>
                <w:p w14:paraId="2221DC04">
                  <w:pPr>
                    <w:pStyle w:val="30"/>
                    <w:spacing w:beforeLines="0" w:afterLines="0"/>
                    <w:rPr>
                      <w:rFonts w:hint="eastAsia"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4</w:t>
                  </w:r>
                </w:p>
              </w:tc>
              <w:tc>
                <w:tcPr>
                  <w:tcW w:w="1275"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C225262">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4"/>
                      <w:lang w:val="en-US" w:eastAsia="zh-CN"/>
                    </w:rPr>
                    <w:t>厂区</w:t>
                  </w:r>
                </w:p>
              </w:tc>
              <w:tc>
                <w:tcPr>
                  <w:tcW w:w="192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E80C4AA">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油漆</w:t>
                  </w:r>
                  <w:r>
                    <w:rPr>
                      <w:rFonts w:hint="default" w:ascii="Times New Roman" w:hAnsi="Times New Roman" w:cs="Times New Roman"/>
                      <w:color w:val="auto"/>
                      <w:sz w:val="21"/>
                      <w:szCs w:val="24"/>
                    </w:rPr>
                    <w:t>、</w:t>
                  </w:r>
                  <w:r>
                    <w:rPr>
                      <w:rFonts w:hint="eastAsia" w:ascii="Times New Roman" w:hAnsi="Times New Roman" w:cs="Times New Roman"/>
                      <w:color w:val="auto"/>
                      <w:sz w:val="21"/>
                      <w:szCs w:val="24"/>
                      <w:lang w:eastAsia="zh-CN"/>
                    </w:rPr>
                    <w:t>机油</w:t>
                  </w:r>
                  <w:r>
                    <w:rPr>
                      <w:rFonts w:hint="eastAsia" w:ascii="Times New Roman" w:hAnsi="Times New Roman" w:cs="Times New Roman"/>
                      <w:color w:val="auto"/>
                      <w:sz w:val="21"/>
                      <w:szCs w:val="24"/>
                      <w:lang w:val="en-US" w:eastAsia="zh-CN"/>
                    </w:rPr>
                    <w:t>及其它易燃易爆物</w:t>
                  </w:r>
                </w:p>
              </w:tc>
              <w:tc>
                <w:tcPr>
                  <w:tcW w:w="2914"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1C3F62">
                  <w:pPr>
                    <w:pStyle w:val="30"/>
                    <w:spacing w:beforeLines="0" w:afterLines="0"/>
                    <w:ind w:firstLine="0" w:firstLineChars="0"/>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cs="Times New Roman"/>
                      <w:color w:val="auto"/>
                      <w:sz w:val="21"/>
                      <w:szCs w:val="24"/>
                    </w:rPr>
                    <w:t>火灾、爆炸等引发的伴生/次生污染物排放</w:t>
                  </w:r>
                </w:p>
              </w:tc>
              <w:tc>
                <w:tcPr>
                  <w:tcW w:w="1152"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1131FC37">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sz w:val="21"/>
                      <w:szCs w:val="24"/>
                    </w:rPr>
                    <w:t>火灾、爆炸</w:t>
                  </w:r>
                </w:p>
              </w:tc>
            </w:tr>
          </w:tbl>
          <w:p w14:paraId="6472CB13">
            <w:pPr>
              <w:pStyle w:val="29"/>
              <w:bidi w:val="0"/>
              <w:rPr>
                <w:rFonts w:hint="default" w:ascii="Times New Roman" w:hAnsi="Times New Roman" w:cs="Times New Roman"/>
                <w:color w:val="auto"/>
              </w:rPr>
            </w:pPr>
            <w:r>
              <w:rPr>
                <w:rFonts w:hint="default" w:ascii="Times New Roman" w:hAnsi="Times New Roman" w:cs="Times New Roman"/>
                <w:b/>
                <w:bCs/>
                <w:color w:val="auto"/>
              </w:rPr>
              <w:t>7.3 环境风险影响分析及防治措施</w:t>
            </w:r>
          </w:p>
          <w:p w14:paraId="572D9C0C">
            <w:pPr>
              <w:pStyle w:val="29"/>
              <w:bidi w:val="0"/>
              <w:rPr>
                <w:rFonts w:hint="eastAsia" w:ascii="Times New Roman" w:hAnsi="Times New Roman" w:eastAsia="宋体" w:cs="Times New Roman"/>
                <w:color w:val="FF0000"/>
                <w:lang w:val="en-US" w:eastAsia="zh-CN"/>
              </w:rPr>
            </w:pPr>
            <w:r>
              <w:rPr>
                <w:rFonts w:hint="default" w:ascii="Times New Roman" w:hAnsi="Times New Roman" w:cs="Times New Roman"/>
                <w:color w:val="auto"/>
              </w:rPr>
              <w:t>本项目运营期主要环境风险为油漆、稀释剂、固化剂、</w:t>
            </w:r>
            <w:r>
              <w:rPr>
                <w:rFonts w:hint="eastAsia" w:ascii="Times New Roman" w:hAnsi="Times New Roman" w:cs="Times New Roman"/>
                <w:color w:val="auto"/>
                <w:lang w:eastAsia="zh-CN"/>
              </w:rPr>
              <w:t>机油</w:t>
            </w:r>
            <w:r>
              <w:rPr>
                <w:rFonts w:hint="eastAsia" w:ascii="Times New Roman" w:hAnsi="Times New Roman" w:cs="Times New Roman"/>
                <w:color w:val="auto"/>
                <w:lang w:val="en-US" w:eastAsia="zh-CN"/>
              </w:rPr>
              <w:t>泄漏；危废暂存间危险废物泄漏；废气环保设施故障；火灾、爆炸。</w:t>
            </w:r>
          </w:p>
          <w:p w14:paraId="7E51ADE1">
            <w:pPr>
              <w:pStyle w:val="29"/>
              <w:bidi w:val="0"/>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lang w:eastAsia="zh-CN"/>
              </w:rPr>
              <w:t>油漆、稀释剂、固化剂</w:t>
            </w:r>
            <w:r>
              <w:rPr>
                <w:rFonts w:hint="default" w:ascii="Times New Roman" w:hAnsi="Times New Roman" w:cs="Times New Roman"/>
                <w:color w:val="auto"/>
              </w:rPr>
              <w:t>、</w:t>
            </w:r>
            <w:r>
              <w:rPr>
                <w:rFonts w:hint="eastAsia" w:ascii="Times New Roman" w:hAnsi="Times New Roman" w:cs="Times New Roman"/>
                <w:color w:val="auto"/>
                <w:lang w:eastAsia="zh-CN"/>
              </w:rPr>
              <w:t>机油</w:t>
            </w:r>
            <w:r>
              <w:rPr>
                <w:rFonts w:hint="default" w:ascii="Times New Roman" w:hAnsi="Times New Roman" w:cs="Times New Roman"/>
                <w:color w:val="auto"/>
              </w:rPr>
              <w:t>泄漏环境风险防范措施</w:t>
            </w:r>
          </w:p>
          <w:p w14:paraId="6D6CC3B4">
            <w:pPr>
              <w:pStyle w:val="29"/>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生产期间，因操作不当导致油漆泄漏至地面，通过地面漫流及下渗等方式污染地下水和土壤；生产设备运行、维修、更换用油时，因操作不当或设备“跑冒滴漏”等原因，会导致机油（废机油）泄漏至地面，通过地面漫流及下渗等方式污染地下水和土壤。</w:t>
            </w:r>
          </w:p>
          <w:p w14:paraId="55C450CE">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建议采取以下措施：①加强管理，安排员工对生产设备定期巡检；②常备吸收材料，若出现泄漏现象，安排员工用吸收材料吸收泄漏</w:t>
            </w:r>
            <w:r>
              <w:rPr>
                <w:rFonts w:hint="eastAsia" w:ascii="Times New Roman" w:hAnsi="Times New Roman" w:cs="Times New Roman"/>
                <w:color w:val="auto"/>
                <w:lang w:val="en-US" w:eastAsia="zh-CN"/>
              </w:rPr>
              <w:t>物</w:t>
            </w:r>
            <w:r>
              <w:rPr>
                <w:rFonts w:hint="default" w:ascii="Times New Roman" w:hAnsi="Times New Roman" w:cs="Times New Roman"/>
                <w:color w:val="auto"/>
                <w:lang w:val="en-US" w:eastAsia="zh-CN"/>
              </w:rPr>
              <w:t>，并及时封堵泄漏点（吸收泄漏物后的材料按危废处理）。</w:t>
            </w:r>
          </w:p>
          <w:p w14:paraId="78055D0D">
            <w:pPr>
              <w:pStyle w:val="29"/>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）危废暂存间危险废物泄漏环境风险防范措施</w:t>
            </w:r>
          </w:p>
          <w:p w14:paraId="570957B8">
            <w:pPr>
              <w:pStyle w:val="29"/>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危废暂存间按《危险废物贮存污染控制标准》(GB18597-2023)要求进行建设。设置门槛阻止危废溢出，并常备危废泄漏吸收材料（吸收泄漏物后的材料按危废处理）。</w:t>
            </w:r>
          </w:p>
          <w:p w14:paraId="7DBADE7B">
            <w:pPr>
              <w:pStyle w:val="29"/>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）废气环保设施故障环境风险防范措施</w:t>
            </w:r>
          </w:p>
          <w:p w14:paraId="01541B05">
            <w:pPr>
              <w:pStyle w:val="29"/>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因布袋除尘器、二级活性炭吸附装置故障，导致颗粒物、非甲烷总烃未经处理直接排放，降低项目所在区域环境空气质量。</w:t>
            </w:r>
          </w:p>
          <w:p w14:paraId="46DC81CC">
            <w:pPr>
              <w:pStyle w:val="29"/>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防范措施：定期对环保设施进行检修，建立台账管理制度，当设备出现故障时，应及时停止生产，并对废气环保设施进行检修。</w:t>
            </w:r>
          </w:p>
          <w:p w14:paraId="210B63F8">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建议采取以下措施：①加强管理，安排员工对生产设备定期巡检；②隔油沉淀池</w:t>
            </w:r>
            <w:r>
              <w:rPr>
                <w:rFonts w:hint="eastAsia" w:ascii="Times New Roman" w:hAnsi="Times New Roman" w:cs="Times New Roman"/>
                <w:color w:val="auto"/>
                <w:lang w:val="en-US" w:eastAsia="zh-CN"/>
              </w:rPr>
              <w:t>周边设置围挡，防止直接冷却废水漫流；③</w:t>
            </w:r>
            <w:r>
              <w:rPr>
                <w:rFonts w:hint="default" w:ascii="Times New Roman" w:hAnsi="Times New Roman" w:cs="Times New Roman"/>
                <w:color w:val="auto"/>
                <w:lang w:val="en-US" w:eastAsia="zh-CN"/>
              </w:rPr>
              <w:t>常备吸收材料，若出现泄漏现象，安排员工用吸收材料吸收泄漏物，并及时封堵泄漏点（吸收泄漏物后的材料按危废处理）。</w:t>
            </w:r>
          </w:p>
          <w:p w14:paraId="70E5C7EA">
            <w:pPr>
              <w:pStyle w:val="29"/>
              <w:bidi w:val="0"/>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4</w:t>
            </w:r>
            <w:r>
              <w:rPr>
                <w:rFonts w:hint="eastAsia" w:ascii="Times New Roman" w:hAnsi="Times New Roman" w:cs="Times New Roman"/>
                <w:color w:val="auto"/>
                <w:lang w:eastAsia="zh-CN"/>
              </w:rPr>
              <w:t>）火灾、爆炸环境风险防范措施</w:t>
            </w:r>
          </w:p>
          <w:p w14:paraId="331C1E8C">
            <w:pPr>
              <w:pStyle w:val="29"/>
              <w:bidi w:val="0"/>
              <w:rPr>
                <w:rFonts w:hint="default" w:ascii="Times New Roman" w:hAnsi="Times New Roman" w:cs="Times New Roman"/>
                <w:color w:val="auto"/>
              </w:rPr>
            </w:pPr>
            <w:r>
              <w:rPr>
                <w:rFonts w:hint="default" w:ascii="Times New Roman" w:hAnsi="Times New Roman" w:cs="Times New Roman"/>
                <w:color w:val="auto"/>
              </w:rPr>
              <w:t>项目在生产过程中对于火灾、爆炸的防范不能忽视，项目运营期间，一旦发生火灾、爆炸，既可能导致严重的人身伤亡和经济损失，又会产生CO、烟尘等大气污染物。因此，建设单位需做好以下措施：①在厂区设置“严禁烟火”的警示牌，尤其是易燃易爆品所在的</w:t>
            </w:r>
            <w:r>
              <w:rPr>
                <w:rFonts w:hint="eastAsia" w:ascii="Times New Roman" w:hAnsi="Times New Roman" w:cs="Times New Roman"/>
                <w:color w:val="auto"/>
                <w:lang w:val="en-US" w:eastAsia="zh-CN"/>
              </w:rPr>
              <w:t>区域</w:t>
            </w:r>
            <w:r>
              <w:rPr>
                <w:rFonts w:hint="default" w:ascii="Times New Roman" w:hAnsi="Times New Roman" w:cs="Times New Roman"/>
                <w:color w:val="auto"/>
              </w:rPr>
              <w:t>；②灭火器应布置在明显便于取用的地方，并定期维护检查，确保能正常使用；③制定和落实防火安全责任制及消防安全规章制度，加强对员工的消防知识培训；④对电路定期检修；⑤制定灭火和应急疏散预案，同时设置安全疏散通道。</w:t>
            </w:r>
          </w:p>
          <w:p w14:paraId="67DF41EB">
            <w:pPr>
              <w:pStyle w:val="29"/>
              <w:bidi w:val="0"/>
              <w:rPr>
                <w:rFonts w:hint="default" w:ascii="Times New Roman" w:hAnsi="Times New Roman" w:cs="Times New Roman"/>
                <w:color w:val="auto"/>
              </w:rPr>
            </w:pPr>
            <w:r>
              <w:rPr>
                <w:rFonts w:hint="default" w:ascii="Times New Roman" w:hAnsi="Times New Roman" w:cs="Times New Roman"/>
                <w:b/>
                <w:bCs/>
                <w:color w:val="auto"/>
              </w:rPr>
              <w:t>7.4 环境风险评价结论</w:t>
            </w:r>
          </w:p>
          <w:p w14:paraId="03ADA35A">
            <w:pPr>
              <w:pStyle w:val="29"/>
              <w:bidi w:val="0"/>
              <w:rPr>
                <w:rFonts w:hint="default" w:ascii="Times New Roman" w:hAnsi="Times New Roman" w:cs="Times New Roman"/>
                <w:color w:val="auto"/>
              </w:rPr>
            </w:pPr>
            <w:r>
              <w:rPr>
                <w:rFonts w:hint="default" w:ascii="Times New Roman" w:hAnsi="Times New Roman" w:cs="Times New Roman"/>
                <w:color w:val="auto"/>
              </w:rPr>
              <w:t>本次环境影响评价要求企业对本项目进行安全评价，在企业开展安全评价后，本环评认为，只要企业严格按照有关规定、安评及环评提出的风险防范措施与管理的要求实施，并接受当地政府等有关部门的监督检查，该项目发生泄漏、事故排放和火灾爆炸事故引发的环境事故的可能性将进一步降低，环境风险可以控制在可预知、可控制、可解决的范围，不会对外环境造成大的危害影响。故本环评认为项目环境风险是可接受的。</w:t>
            </w:r>
          </w:p>
          <w:p w14:paraId="4DC76E80">
            <w:pPr>
              <w:pStyle w:val="29"/>
              <w:bidi w:val="0"/>
              <w:rPr>
                <w:rFonts w:hint="default" w:ascii="Times New Roman" w:hAnsi="Times New Roman" w:cs="Times New Roman"/>
                <w:color w:val="auto"/>
              </w:rPr>
            </w:pPr>
            <w:r>
              <w:rPr>
                <w:rFonts w:hint="default" w:ascii="Times New Roman" w:hAnsi="Times New Roman" w:cs="Times New Roman"/>
                <w:b/>
                <w:bCs/>
                <w:color w:val="auto"/>
              </w:rPr>
              <w:t>8、电磁辐射</w:t>
            </w:r>
          </w:p>
          <w:p w14:paraId="036F81FA">
            <w:pPr>
              <w:pStyle w:val="29"/>
              <w:bidi w:val="0"/>
              <w:rPr>
                <w:rFonts w:hint="default" w:ascii="Times New Roman" w:hAnsi="Times New Roman" w:cs="Times New Roman"/>
                <w:color w:val="auto"/>
              </w:rPr>
            </w:pPr>
            <w:r>
              <w:rPr>
                <w:rFonts w:hint="default" w:ascii="Times New Roman" w:hAnsi="Times New Roman" w:cs="Times New Roman"/>
                <w:color w:val="auto"/>
              </w:rPr>
              <w:t>本项目不涉及电磁辐射。</w:t>
            </w:r>
          </w:p>
          <w:p w14:paraId="3A64ACBD">
            <w:pPr>
              <w:pStyle w:val="29"/>
              <w:bidi w:val="0"/>
              <w:rPr>
                <w:rFonts w:hint="default" w:ascii="Times New Roman" w:hAnsi="Times New Roman" w:cs="Times New Roman"/>
                <w:color w:val="auto"/>
              </w:rPr>
            </w:pPr>
            <w:r>
              <w:rPr>
                <w:rFonts w:hint="default" w:ascii="Times New Roman" w:hAnsi="Times New Roman" w:cs="Times New Roman"/>
                <w:b/>
                <w:bCs/>
                <w:color w:val="auto"/>
              </w:rPr>
              <w:t>9、环保投资</w:t>
            </w:r>
          </w:p>
          <w:p w14:paraId="50CE64A8">
            <w:pPr>
              <w:pStyle w:val="29"/>
              <w:bidi w:val="0"/>
              <w:rPr>
                <w:rFonts w:hint="eastAsia" w:ascii="Times New Roman" w:hAnsi="Times New Roman" w:cs="Times New Roman"/>
                <w:color w:val="auto"/>
                <w:lang w:val="en-US" w:eastAsia="zh-CN"/>
              </w:rPr>
            </w:pPr>
            <w:r>
              <w:rPr>
                <w:rFonts w:hint="default" w:ascii="Times New Roman" w:hAnsi="Times New Roman" w:cs="Times New Roman"/>
                <w:color w:val="auto"/>
              </w:rPr>
              <w:t xml:space="preserve">本项目总投资 </w:t>
            </w:r>
            <w:r>
              <w:rPr>
                <w:rFonts w:hint="eastAsia" w:ascii="Times New Roman" w:hAnsi="Times New Roman" w:cs="Times New Roman"/>
                <w:color w:val="auto"/>
                <w:lang w:val="en-US" w:eastAsia="zh-CN"/>
              </w:rPr>
              <w:t>500</w:t>
            </w:r>
            <w:r>
              <w:rPr>
                <w:rFonts w:hint="default" w:ascii="Times New Roman" w:hAnsi="Times New Roman" w:cs="Times New Roman"/>
                <w:color w:val="auto"/>
              </w:rPr>
              <w:t xml:space="preserve"> 万元，其中环保投资为</w:t>
            </w:r>
            <w:r>
              <w:rPr>
                <w:rFonts w:hint="eastAsia" w:ascii="Times New Roman" w:hAnsi="Times New Roman" w:cs="Times New Roman"/>
                <w:color w:val="auto"/>
                <w:lang w:val="en-US" w:eastAsia="zh-CN"/>
              </w:rPr>
              <w:t>64.5</w:t>
            </w:r>
            <w:r>
              <w:rPr>
                <w:rFonts w:hint="default" w:ascii="Times New Roman" w:hAnsi="Times New Roman" w:cs="Times New Roman"/>
                <w:color w:val="auto"/>
              </w:rPr>
              <w:t>万元，占总投资的</w:t>
            </w:r>
            <w:r>
              <w:rPr>
                <w:rFonts w:hint="eastAsia" w:ascii="Times New Roman" w:hAnsi="Times New Roman" w:cs="Times New Roman"/>
                <w:color w:val="auto"/>
                <w:lang w:val="en-US" w:eastAsia="zh-CN"/>
              </w:rPr>
              <w:t>13.5</w:t>
            </w:r>
            <w:r>
              <w:rPr>
                <w:rFonts w:hint="default" w:ascii="Times New Roman" w:hAnsi="Times New Roman" w:cs="Times New Roman"/>
                <w:color w:val="auto"/>
              </w:rPr>
              <w:t>%。</w:t>
            </w:r>
            <w:r>
              <w:rPr>
                <w:rFonts w:hint="eastAsia" w:ascii="Times New Roman" w:hAnsi="Times New Roman" w:cs="Times New Roman"/>
                <w:color w:val="auto"/>
                <w:lang w:val="en-US" w:eastAsia="zh-CN"/>
              </w:rPr>
              <w:t>详情见表4-24。</w:t>
            </w:r>
          </w:p>
          <w:p w14:paraId="22EC4FC3">
            <w:pPr>
              <w:pStyle w:val="29"/>
              <w:bidi w:val="0"/>
              <w:rPr>
                <w:rFonts w:hint="eastAsia" w:ascii="Times New Roman" w:hAnsi="Times New Roman" w:cs="Times New Roman"/>
                <w:color w:val="auto"/>
                <w:lang w:val="en-US" w:eastAsia="zh-CN"/>
              </w:rPr>
            </w:pPr>
          </w:p>
          <w:p w14:paraId="2ED7E699">
            <w:pPr>
              <w:pStyle w:val="29"/>
              <w:bidi w:val="0"/>
              <w:rPr>
                <w:rFonts w:hint="default" w:ascii="Times New Roman" w:hAnsi="Times New Roman" w:cs="Times New Roman"/>
                <w:color w:val="auto"/>
                <w:lang w:val="en-US" w:eastAsia="zh-CN"/>
              </w:rPr>
            </w:pPr>
          </w:p>
          <w:p w14:paraId="36BCCFBB">
            <w:pPr>
              <w:pStyle w:val="31"/>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表4-24  环保投资估算</w:t>
            </w:r>
          </w:p>
          <w:tbl>
            <w:tblPr>
              <w:tblStyle w:val="18"/>
              <w:tblW w:w="79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5"/>
              <w:gridCol w:w="6420"/>
              <w:gridCol w:w="1078"/>
            </w:tblGrid>
            <w:tr w14:paraId="4AAB1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tcBorders>
                    <w:top w:val="single" w:color="auto" w:sz="12" w:space="0"/>
                    <w:left w:val="nil"/>
                    <w:bottom w:val="single" w:color="auto" w:sz="4" w:space="0"/>
                    <w:right w:val="single" w:color="auto" w:sz="4" w:space="0"/>
                    <w:tl2br w:val="nil"/>
                    <w:tr2bl w:val="nil"/>
                  </w:tcBorders>
                  <w:noWrap w:val="0"/>
                  <w:vAlign w:val="center"/>
                </w:tcPr>
                <w:p w14:paraId="76DF202F">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类型</w:t>
                  </w:r>
                </w:p>
              </w:tc>
              <w:tc>
                <w:tcPr>
                  <w:tcW w:w="642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7366E06">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投资内容</w:t>
                  </w:r>
                </w:p>
              </w:tc>
              <w:tc>
                <w:tcPr>
                  <w:tcW w:w="1078" w:type="dxa"/>
                  <w:tcBorders>
                    <w:top w:val="single" w:color="auto" w:sz="12" w:space="0"/>
                    <w:left w:val="single" w:color="auto" w:sz="4" w:space="0"/>
                    <w:bottom w:val="single" w:color="auto" w:sz="4" w:space="0"/>
                    <w:right w:val="nil"/>
                    <w:tl2br w:val="nil"/>
                    <w:tr2bl w:val="nil"/>
                  </w:tcBorders>
                  <w:noWrap w:val="0"/>
                  <w:vAlign w:val="center"/>
                </w:tcPr>
                <w:p w14:paraId="4482A2FA">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投资费用(万元)</w:t>
                  </w:r>
                </w:p>
              </w:tc>
            </w:tr>
            <w:tr w14:paraId="24B1E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vMerge w:val="restart"/>
                  <w:tcBorders>
                    <w:top w:val="single" w:color="auto" w:sz="4" w:space="0"/>
                    <w:left w:val="nil"/>
                    <w:bottom w:val="single" w:color="auto" w:sz="4" w:space="0"/>
                    <w:right w:val="single" w:color="auto" w:sz="4" w:space="0"/>
                    <w:tl2br w:val="nil"/>
                    <w:tr2bl w:val="nil"/>
                  </w:tcBorders>
                  <w:noWrap w:val="0"/>
                  <w:vAlign w:val="center"/>
                </w:tcPr>
                <w:p w14:paraId="3B0E9233">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废气</w:t>
                  </w:r>
                </w:p>
              </w:tc>
              <w:tc>
                <w:tcPr>
                  <w:tcW w:w="642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4717DD">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水帘柜+干式过滤+活性炭吸附脱附+催化燃烧+15m排气筒</w:t>
                  </w:r>
                </w:p>
              </w:tc>
              <w:tc>
                <w:tcPr>
                  <w:tcW w:w="1078" w:type="dxa"/>
                  <w:tcBorders>
                    <w:top w:val="single" w:color="auto" w:sz="4" w:space="0"/>
                    <w:left w:val="single" w:color="auto" w:sz="4" w:space="0"/>
                    <w:bottom w:val="single" w:color="auto" w:sz="4" w:space="0"/>
                    <w:right w:val="nil"/>
                    <w:tl2br w:val="nil"/>
                    <w:tr2bl w:val="nil"/>
                  </w:tcBorders>
                  <w:noWrap w:val="0"/>
                  <w:vAlign w:val="center"/>
                </w:tcPr>
                <w:p w14:paraId="1D121357">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50.0</w:t>
                  </w:r>
                </w:p>
              </w:tc>
            </w:tr>
            <w:tr w14:paraId="42D74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vMerge w:val="continue"/>
                  <w:tcBorders>
                    <w:left w:val="nil"/>
                    <w:right w:val="single" w:color="auto" w:sz="4" w:space="0"/>
                    <w:tl2br w:val="nil"/>
                    <w:tr2bl w:val="nil"/>
                  </w:tcBorders>
                  <w:noWrap w:val="0"/>
                  <w:vAlign w:val="center"/>
                </w:tcPr>
                <w:p w14:paraId="2E4AB533">
                  <w:pPr>
                    <w:pStyle w:val="30"/>
                    <w:spacing w:beforeLines="0" w:afterLines="0"/>
                    <w:rPr>
                      <w:rFonts w:hint="default" w:ascii="Times New Roman" w:hAnsi="Times New Roman" w:cs="Times New Roman"/>
                      <w:color w:val="auto"/>
                      <w:sz w:val="21"/>
                      <w:szCs w:val="24"/>
                    </w:rPr>
                  </w:pPr>
                </w:p>
              </w:tc>
              <w:tc>
                <w:tcPr>
                  <w:tcW w:w="642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84BF2D3">
                  <w:pPr>
                    <w:pStyle w:val="30"/>
                    <w:spacing w:beforeLines="0" w:afterLines="0"/>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密闭打磨车间+水帘+布袋除尘+无组织排放</w:t>
                  </w:r>
                </w:p>
              </w:tc>
              <w:tc>
                <w:tcPr>
                  <w:tcW w:w="1078" w:type="dxa"/>
                  <w:tcBorders>
                    <w:top w:val="single" w:color="auto" w:sz="4" w:space="0"/>
                    <w:left w:val="single" w:color="auto" w:sz="4" w:space="0"/>
                    <w:bottom w:val="single" w:color="auto" w:sz="4" w:space="0"/>
                    <w:right w:val="nil"/>
                    <w:tl2br w:val="nil"/>
                    <w:tr2bl w:val="nil"/>
                  </w:tcBorders>
                  <w:noWrap w:val="0"/>
                  <w:vAlign w:val="center"/>
                </w:tcPr>
                <w:p w14:paraId="555BDDA2">
                  <w:pPr>
                    <w:pStyle w:val="30"/>
                    <w:spacing w:beforeLines="0" w:afterLines="0"/>
                    <w:rPr>
                      <w:rFonts w:hint="default" w:ascii="Times New Roman" w:hAnsi="Times New Roman" w:cs="Times New Roman"/>
                      <w:color w:val="auto"/>
                      <w:sz w:val="21"/>
                      <w:szCs w:val="24"/>
                      <w:lang w:val="en-US" w:eastAsia="zh-CN"/>
                    </w:rPr>
                  </w:pPr>
                  <w:r>
                    <w:rPr>
                      <w:rFonts w:hint="eastAsia" w:ascii="Times New Roman" w:hAnsi="Times New Roman" w:cs="Times New Roman"/>
                      <w:color w:val="auto"/>
                      <w:sz w:val="21"/>
                      <w:szCs w:val="24"/>
                      <w:lang w:val="en-US" w:eastAsia="zh-CN"/>
                    </w:rPr>
                    <w:t>5.0</w:t>
                  </w:r>
                </w:p>
              </w:tc>
            </w:tr>
            <w:tr w14:paraId="076BC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tcBorders>
                    <w:top w:val="single" w:color="auto" w:sz="4" w:space="0"/>
                    <w:left w:val="nil"/>
                    <w:bottom w:val="single" w:color="auto" w:sz="4" w:space="0"/>
                    <w:right w:val="single" w:color="auto" w:sz="4" w:space="0"/>
                    <w:tl2br w:val="nil"/>
                    <w:tr2bl w:val="nil"/>
                  </w:tcBorders>
                  <w:noWrap w:val="0"/>
                  <w:vAlign w:val="center"/>
                </w:tcPr>
                <w:p w14:paraId="44B043F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废水</w:t>
                  </w:r>
                </w:p>
              </w:tc>
              <w:tc>
                <w:tcPr>
                  <w:tcW w:w="642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DC2166D">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sz w:val="21"/>
                      <w:szCs w:val="24"/>
                    </w:rPr>
                    <w:t>生活污水</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隔油池+</w:t>
                  </w:r>
                  <w:r>
                    <w:rPr>
                      <w:rFonts w:hint="eastAsia" w:ascii="Times New Roman" w:hAnsi="Times New Roman" w:cs="Times New Roman"/>
                      <w:color w:val="auto"/>
                      <w:sz w:val="21"/>
                      <w:szCs w:val="24"/>
                      <w:lang w:eastAsia="zh-CN"/>
                    </w:rPr>
                    <w:t>化粪池</w:t>
                  </w:r>
                </w:p>
              </w:tc>
              <w:tc>
                <w:tcPr>
                  <w:tcW w:w="1078"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14:paraId="2B9ED255">
                  <w:pPr>
                    <w:pStyle w:val="30"/>
                    <w:spacing w:beforeLines="0" w:afterLines="0"/>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z w:val="21"/>
                      <w:szCs w:val="24"/>
                      <w:lang w:val="en-US" w:eastAsia="zh-CN"/>
                    </w:rPr>
                    <w:t>3</w:t>
                  </w:r>
                </w:p>
              </w:tc>
            </w:tr>
            <w:tr w14:paraId="7DC05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tcBorders>
                    <w:top w:val="single" w:color="auto" w:sz="4" w:space="0"/>
                    <w:left w:val="nil"/>
                    <w:bottom w:val="single" w:color="auto" w:sz="4" w:space="0"/>
                    <w:right w:val="single" w:color="auto" w:sz="4" w:space="0"/>
                    <w:tl2br w:val="nil"/>
                    <w:tr2bl w:val="nil"/>
                  </w:tcBorders>
                  <w:noWrap w:val="0"/>
                  <w:vAlign w:val="center"/>
                </w:tcPr>
                <w:p w14:paraId="42E033D4">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噪声</w:t>
                  </w:r>
                </w:p>
              </w:tc>
              <w:tc>
                <w:tcPr>
                  <w:tcW w:w="642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DB8E75">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室内设备：</w:t>
                  </w:r>
                  <w:r>
                    <w:rPr>
                      <w:rFonts w:hint="default" w:ascii="Times New Roman" w:hAnsi="Times New Roman" w:cs="Times New Roman"/>
                      <w:color w:val="auto"/>
                      <w:sz w:val="21"/>
                      <w:szCs w:val="24"/>
                    </w:rPr>
                    <w:t>选用低噪声设备、基础减振</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建筑隔声；室外设备：选用低噪声设备、基础减振、消声器、隔声罩</w:t>
                  </w:r>
                </w:p>
              </w:tc>
              <w:tc>
                <w:tcPr>
                  <w:tcW w:w="1078" w:type="dxa"/>
                  <w:tcBorders>
                    <w:top w:val="single" w:color="auto" w:sz="4" w:space="0"/>
                    <w:left w:val="single" w:color="auto" w:sz="4" w:space="0"/>
                    <w:bottom w:val="single" w:color="auto" w:sz="4" w:space="0"/>
                    <w:right w:val="nil"/>
                    <w:tl2br w:val="nil"/>
                    <w:tr2bl w:val="nil"/>
                  </w:tcBorders>
                  <w:noWrap w:val="0"/>
                  <w:vAlign w:val="center"/>
                </w:tcPr>
                <w:p w14:paraId="76ADCCD4">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3</w:t>
                  </w:r>
                </w:p>
              </w:tc>
            </w:tr>
            <w:tr w14:paraId="001D5C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vMerge w:val="restart"/>
                  <w:tcBorders>
                    <w:top w:val="single" w:color="auto" w:sz="4" w:space="0"/>
                    <w:left w:val="nil"/>
                    <w:bottom w:val="single" w:color="auto" w:sz="4" w:space="0"/>
                    <w:right w:val="single" w:color="auto" w:sz="4" w:space="0"/>
                    <w:tl2br w:val="nil"/>
                    <w:tr2bl w:val="nil"/>
                  </w:tcBorders>
                  <w:noWrap w:val="0"/>
                  <w:vAlign w:val="center"/>
                </w:tcPr>
                <w:p w14:paraId="31119C4C">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固体废物</w:t>
                  </w:r>
                </w:p>
              </w:tc>
              <w:tc>
                <w:tcPr>
                  <w:tcW w:w="642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F86393">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生活垃圾：由员工收集至</w:t>
                  </w:r>
                  <w:r>
                    <w:rPr>
                      <w:rFonts w:hint="eastAsia" w:ascii="Times New Roman" w:hAnsi="Times New Roman" w:cs="Times New Roman"/>
                      <w:b/>
                      <w:bCs/>
                      <w:color w:val="auto"/>
                      <w:sz w:val="21"/>
                      <w:szCs w:val="24"/>
                      <w:lang w:val="en-US" w:eastAsia="zh-CN"/>
                    </w:rPr>
                    <w:t>垃圾桶</w:t>
                  </w:r>
                  <w:r>
                    <w:rPr>
                      <w:rFonts w:hint="eastAsia" w:ascii="Times New Roman" w:hAnsi="Times New Roman" w:cs="Times New Roman"/>
                      <w:color w:val="auto"/>
                      <w:sz w:val="21"/>
                      <w:szCs w:val="24"/>
                      <w:lang w:val="en-US" w:eastAsia="zh-CN"/>
                    </w:rPr>
                    <w:t>，</w:t>
                  </w:r>
                  <w:r>
                    <w:rPr>
                      <w:rFonts w:hint="eastAsia" w:ascii="Times New Roman" w:hAnsi="Times New Roman" w:cs="Times New Roman"/>
                      <w:b/>
                      <w:bCs/>
                      <w:color w:val="auto"/>
                      <w:sz w:val="21"/>
                      <w:szCs w:val="24"/>
                      <w:lang w:val="en-US" w:eastAsia="zh-CN"/>
                    </w:rPr>
                    <w:t>交由环卫部门清运处理</w:t>
                  </w:r>
                </w:p>
              </w:tc>
              <w:tc>
                <w:tcPr>
                  <w:tcW w:w="1078" w:type="dxa"/>
                  <w:tcBorders>
                    <w:top w:val="single" w:color="auto" w:sz="4" w:space="0"/>
                    <w:left w:val="single" w:color="auto" w:sz="4" w:space="0"/>
                    <w:bottom w:val="single" w:color="auto" w:sz="4" w:space="0"/>
                    <w:right w:val="nil"/>
                    <w:tl2br w:val="nil"/>
                    <w:tr2bl w:val="nil"/>
                  </w:tcBorders>
                  <w:noWrap w:val="0"/>
                  <w:vAlign w:val="center"/>
                </w:tcPr>
                <w:p w14:paraId="02576BB0">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0.5</w:t>
                  </w:r>
                </w:p>
              </w:tc>
            </w:tr>
            <w:tr w14:paraId="0155F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vMerge w:val="continue"/>
                  <w:tcBorders>
                    <w:top w:val="single" w:color="auto" w:sz="4" w:space="0"/>
                    <w:left w:val="nil"/>
                    <w:bottom w:val="single" w:color="auto" w:sz="4" w:space="0"/>
                    <w:right w:val="single" w:color="auto" w:sz="4" w:space="0"/>
                    <w:tl2br w:val="nil"/>
                    <w:tr2bl w:val="nil"/>
                  </w:tcBorders>
                  <w:noWrap w:val="0"/>
                  <w:vAlign w:val="center"/>
                </w:tcPr>
                <w:p w14:paraId="153D8776">
                  <w:pPr>
                    <w:pStyle w:val="30"/>
                    <w:spacing w:beforeLines="0" w:afterLines="0"/>
                    <w:rPr>
                      <w:rFonts w:hint="default" w:ascii="Times New Roman" w:hAnsi="Times New Roman" w:cs="Times New Roman"/>
                      <w:color w:val="auto"/>
                      <w:sz w:val="21"/>
                      <w:szCs w:val="24"/>
                    </w:rPr>
                  </w:pPr>
                </w:p>
              </w:tc>
              <w:tc>
                <w:tcPr>
                  <w:tcW w:w="642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CB9A4B0">
                  <w:pPr>
                    <w:pStyle w:val="30"/>
                    <w:spacing w:beforeLines="0" w:afterLines="0"/>
                    <w:rPr>
                      <w:rFonts w:hint="eastAsia" w:ascii="Times New Roman" w:hAnsi="Times New Roman" w:cs="Times New Roman"/>
                      <w:color w:val="auto"/>
                      <w:sz w:val="21"/>
                      <w:szCs w:val="24"/>
                      <w:lang w:val="en-US" w:eastAsia="zh-CN"/>
                    </w:rPr>
                  </w:pPr>
                  <w:r>
                    <w:rPr>
                      <w:rFonts w:hint="default" w:ascii="Times New Roman" w:hAnsi="Times New Roman" w:cs="Times New Roman"/>
                      <w:color w:val="auto"/>
                      <w:sz w:val="21"/>
                      <w:szCs w:val="24"/>
                    </w:rPr>
                    <w:t>危险废物</w:t>
                  </w:r>
                  <w:r>
                    <w:rPr>
                      <w:rFonts w:hint="eastAsia" w:ascii="Times New Roman" w:hAnsi="Times New Roman" w:cs="Times New Roman"/>
                      <w:color w:val="auto"/>
                      <w:sz w:val="21"/>
                      <w:szCs w:val="24"/>
                      <w:lang w:eastAsia="zh-CN"/>
                    </w:rPr>
                    <w:t>：废油漆</w:t>
                  </w:r>
                  <w:r>
                    <w:rPr>
                      <w:rFonts w:hint="eastAsia" w:ascii="Times New Roman" w:hAnsi="Times New Roman" w:cs="Times New Roman"/>
                      <w:color w:val="auto"/>
                      <w:sz w:val="21"/>
                      <w:szCs w:val="24"/>
                      <w:lang w:val="en-US" w:eastAsia="zh-CN"/>
                    </w:rPr>
                    <w:t>桶</w:t>
                  </w:r>
                  <w:r>
                    <w:rPr>
                      <w:rFonts w:hint="eastAsia" w:ascii="Times New Roman" w:hAnsi="Times New Roman" w:cs="Times New Roman"/>
                      <w:color w:val="auto"/>
                      <w:sz w:val="21"/>
                      <w:szCs w:val="24"/>
                      <w:lang w:eastAsia="zh-CN"/>
                    </w:rPr>
                    <w:t>、</w:t>
                  </w:r>
                  <w:r>
                    <w:rPr>
                      <w:rFonts w:hint="eastAsia" w:ascii="Times New Roman" w:hAnsi="Times New Roman" w:cs="Times New Roman"/>
                      <w:color w:val="auto"/>
                      <w:sz w:val="21"/>
                      <w:szCs w:val="24"/>
                      <w:lang w:val="en-US" w:eastAsia="zh-CN"/>
                    </w:rPr>
                    <w:t>漆渣、</w:t>
                  </w:r>
                  <w:r>
                    <w:rPr>
                      <w:rFonts w:hint="eastAsia" w:ascii="Times New Roman" w:hAnsi="Times New Roman" w:cs="Times New Roman"/>
                      <w:color w:val="auto"/>
                      <w:sz w:val="21"/>
                      <w:szCs w:val="24"/>
                      <w:lang w:eastAsia="zh-CN"/>
                    </w:rPr>
                    <w:t>废活性炭、废机油、废机油桶</w:t>
                  </w:r>
                  <w:r>
                    <w:rPr>
                      <w:rFonts w:hint="eastAsia" w:ascii="Times New Roman" w:hAnsi="Times New Roman" w:cs="Times New Roman"/>
                      <w:color w:val="auto"/>
                      <w:sz w:val="21"/>
                      <w:szCs w:val="24"/>
                      <w:lang w:val="en-US" w:eastAsia="zh-CN"/>
                    </w:rPr>
                    <w:t>等由员工收集暂存于</w:t>
                  </w:r>
                  <w:r>
                    <w:rPr>
                      <w:rFonts w:hint="eastAsia" w:ascii="Times New Roman" w:hAnsi="Times New Roman" w:cs="Times New Roman"/>
                      <w:b/>
                      <w:bCs/>
                      <w:color w:val="auto"/>
                      <w:sz w:val="21"/>
                      <w:szCs w:val="24"/>
                      <w:lang w:val="en-US" w:eastAsia="zh-CN"/>
                    </w:rPr>
                    <w:t>危废暂存间（20 m</w:t>
                  </w:r>
                  <w:r>
                    <w:rPr>
                      <w:rFonts w:hint="eastAsia" w:ascii="Times New Roman" w:hAnsi="Times New Roman" w:cs="Times New Roman"/>
                      <w:b/>
                      <w:bCs/>
                      <w:color w:val="auto"/>
                      <w:sz w:val="21"/>
                      <w:szCs w:val="24"/>
                      <w:vertAlign w:val="superscript"/>
                      <w:lang w:val="en-US" w:eastAsia="zh-CN"/>
                    </w:rPr>
                    <w:t>2</w:t>
                  </w:r>
                  <w:r>
                    <w:rPr>
                      <w:rFonts w:hint="eastAsia" w:ascii="Times New Roman" w:hAnsi="Times New Roman" w:cs="Times New Roman"/>
                      <w:b/>
                      <w:bCs/>
                      <w:color w:val="auto"/>
                      <w:sz w:val="21"/>
                      <w:szCs w:val="24"/>
                      <w:lang w:val="en-US" w:eastAsia="zh-CN"/>
                    </w:rPr>
                    <w:t>）</w:t>
                  </w:r>
                  <w:r>
                    <w:rPr>
                      <w:rFonts w:hint="eastAsia" w:ascii="Times New Roman" w:hAnsi="Times New Roman" w:cs="Times New Roman"/>
                      <w:color w:val="auto"/>
                      <w:sz w:val="21"/>
                      <w:szCs w:val="24"/>
                      <w:lang w:val="en-US" w:eastAsia="zh-CN"/>
                    </w:rPr>
                    <w:t>，定期交有资质单位处置。</w:t>
                  </w:r>
                </w:p>
                <w:p w14:paraId="3DC608AA">
                  <w:pPr>
                    <w:pStyle w:val="30"/>
                    <w:spacing w:beforeLines="0" w:afterLines="0"/>
                    <w:ind w:firstLine="0" w:firstLineChars="0"/>
                    <w:rPr>
                      <w:rFonts w:hint="default" w:ascii="Times New Roman" w:hAnsi="Times New Roman" w:cs="Times New Roman"/>
                      <w:color w:val="auto"/>
                      <w:sz w:val="21"/>
                      <w:szCs w:val="24"/>
                      <w:lang w:val="en-US" w:eastAsia="zh-CN"/>
                    </w:rPr>
                  </w:pPr>
                  <w:r>
                    <w:rPr>
                      <w:rFonts w:hint="default" w:ascii="Times New Roman" w:hAnsi="Times New Roman" w:cs="Times New Roman"/>
                      <w:color w:val="auto"/>
                      <w:sz w:val="21"/>
                      <w:szCs w:val="24"/>
                      <w:lang w:val="en-US" w:eastAsia="zh-CN"/>
                    </w:rPr>
                    <w:t>危废暂存间应严格按照《危险废物贮存污染控制标准》（GB18597-2023）要求设置。</w:t>
                  </w:r>
                </w:p>
              </w:tc>
              <w:tc>
                <w:tcPr>
                  <w:tcW w:w="1078" w:type="dxa"/>
                  <w:tcBorders>
                    <w:top w:val="single" w:color="auto" w:sz="4" w:space="0"/>
                    <w:left w:val="single" w:color="auto" w:sz="4" w:space="0"/>
                    <w:bottom w:val="single" w:color="auto" w:sz="4" w:space="0"/>
                    <w:right w:val="nil"/>
                    <w:tl2br w:val="nil"/>
                    <w:tr2bl w:val="nil"/>
                  </w:tcBorders>
                  <w:noWrap w:val="0"/>
                  <w:vAlign w:val="center"/>
                </w:tcPr>
                <w:p w14:paraId="0FA8B1BD">
                  <w:pPr>
                    <w:pStyle w:val="30"/>
                    <w:spacing w:beforeLines="0" w:afterLines="0"/>
                    <w:ind w:firstLine="0" w:firstLineChar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6</w:t>
                  </w:r>
                </w:p>
              </w:tc>
            </w:tr>
            <w:tr w14:paraId="5DCB0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65" w:type="dxa"/>
                  <w:gridSpan w:val="2"/>
                  <w:tcBorders>
                    <w:top w:val="single" w:color="auto" w:sz="4" w:space="0"/>
                    <w:left w:val="nil"/>
                    <w:bottom w:val="single" w:color="auto" w:sz="12" w:space="0"/>
                    <w:right w:val="single" w:color="auto" w:sz="4" w:space="0"/>
                    <w:tl2br w:val="nil"/>
                    <w:tr2bl w:val="nil"/>
                  </w:tcBorders>
                  <w:noWrap w:val="0"/>
                  <w:vAlign w:val="center"/>
                </w:tcPr>
                <w:p w14:paraId="5C293212">
                  <w:pPr>
                    <w:pStyle w:val="30"/>
                    <w:spacing w:beforeLines="0" w:afterLine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合计</w:t>
                  </w:r>
                </w:p>
              </w:tc>
              <w:tc>
                <w:tcPr>
                  <w:tcW w:w="1078" w:type="dxa"/>
                  <w:tcBorders>
                    <w:top w:val="single" w:color="auto" w:sz="4" w:space="0"/>
                    <w:left w:val="single" w:color="auto" w:sz="4" w:space="0"/>
                    <w:bottom w:val="single" w:color="auto" w:sz="12" w:space="0"/>
                    <w:right w:val="nil"/>
                    <w:tl2br w:val="nil"/>
                    <w:tr2bl w:val="nil"/>
                  </w:tcBorders>
                  <w:noWrap w:val="0"/>
                  <w:vAlign w:val="center"/>
                </w:tcPr>
                <w:p w14:paraId="1AD33649">
                  <w:pPr>
                    <w:pStyle w:val="30"/>
                    <w:spacing w:beforeLines="0" w:afterLines="0"/>
                    <w:rPr>
                      <w:rFonts w:hint="default" w:ascii="Times New Roman" w:hAnsi="Times New Roman" w:eastAsia="宋体" w:cs="Times New Roman"/>
                      <w:color w:val="auto"/>
                      <w:sz w:val="21"/>
                      <w:szCs w:val="24"/>
                      <w:lang w:val="en-US" w:eastAsia="zh-CN"/>
                    </w:rPr>
                  </w:pPr>
                  <w:r>
                    <w:rPr>
                      <w:rFonts w:hint="eastAsia" w:ascii="Times New Roman" w:hAnsi="Times New Roman" w:cs="Times New Roman"/>
                      <w:color w:val="auto"/>
                      <w:sz w:val="21"/>
                      <w:szCs w:val="24"/>
                      <w:lang w:val="en-US" w:eastAsia="zh-CN"/>
                    </w:rPr>
                    <w:t>67.5</w:t>
                  </w:r>
                </w:p>
              </w:tc>
            </w:tr>
          </w:tbl>
          <w:p w14:paraId="3EBB91FE">
            <w:pPr>
              <w:pStyle w:val="29"/>
              <w:bidi w:val="0"/>
              <w:rPr>
                <w:rFonts w:hint="default" w:ascii="Times New Roman" w:hAnsi="Times New Roman" w:cs="Times New Roman"/>
                <w:color w:val="FF0000"/>
              </w:rPr>
            </w:pPr>
          </w:p>
          <w:p w14:paraId="12EC8D69">
            <w:pPr>
              <w:pStyle w:val="29"/>
              <w:bidi w:val="0"/>
              <w:rPr>
                <w:rFonts w:hint="default" w:ascii="Times New Roman" w:hAnsi="Times New Roman" w:cs="Times New Roman"/>
                <w:color w:val="FF0000"/>
              </w:rPr>
            </w:pPr>
          </w:p>
        </w:tc>
      </w:tr>
    </w:tbl>
    <w:p w14:paraId="6DF729DB">
      <w:pPr>
        <w:adjustRightInd w:val="0"/>
        <w:snapToGrid w:val="0"/>
        <w:spacing w:line="360" w:lineRule="auto"/>
        <w:rPr>
          <w:rFonts w:hint="eastAsia" w:ascii="宋体" w:cs="宋体"/>
          <w:b/>
          <w:color w:val="FF0000"/>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941878C">
      <w:pPr>
        <w:pStyle w:val="14"/>
        <w:jc w:val="center"/>
        <w:outlineLvl w:val="0"/>
        <w:rPr>
          <w:rFonts w:ascii="黑体" w:hAnsi="黑体" w:eastAsia="黑体"/>
          <w:b/>
          <w:bCs/>
          <w:snapToGrid w:val="0"/>
          <w:color w:val="auto"/>
          <w:sz w:val="30"/>
          <w:szCs w:val="30"/>
        </w:rPr>
      </w:pPr>
      <w:bookmarkStart w:id="12" w:name="_Toc16124"/>
      <w:r>
        <w:rPr>
          <w:rFonts w:hint="eastAsia" w:ascii="黑体" w:hAnsi="黑体" w:eastAsia="黑体"/>
          <w:b/>
          <w:bCs/>
          <w:snapToGrid w:val="0"/>
          <w:color w:val="auto"/>
          <w:sz w:val="30"/>
          <w:szCs w:val="30"/>
        </w:rPr>
        <w:t>五、</w:t>
      </w:r>
      <w:bookmarkStart w:id="13" w:name="_Hlk54167917"/>
      <w:r>
        <w:rPr>
          <w:rFonts w:hint="eastAsia" w:ascii="黑体" w:hAnsi="黑体" w:eastAsia="黑体"/>
          <w:b/>
          <w:bCs/>
          <w:snapToGrid w:val="0"/>
          <w:color w:val="auto"/>
          <w:sz w:val="30"/>
          <w:szCs w:val="30"/>
        </w:rPr>
        <w:t>环境保护措施监督检查清单</w:t>
      </w:r>
      <w:bookmarkEnd w:id="12"/>
      <w:bookmarkEnd w:id="13"/>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4"/>
        <w:gridCol w:w="924"/>
        <w:gridCol w:w="1755"/>
        <w:gridCol w:w="1326"/>
        <w:gridCol w:w="1689"/>
        <w:gridCol w:w="2252"/>
      </w:tblGrid>
      <w:tr w14:paraId="7FC225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tcBorders>
              <w:tl2br w:val="single" w:color="auto" w:sz="4" w:space="0"/>
            </w:tcBorders>
            <w:noWrap w:val="0"/>
            <w:vAlign w:val="top"/>
          </w:tcPr>
          <w:p w14:paraId="5721031F">
            <w:pPr>
              <w:adjustRightInd w:val="0"/>
              <w:snapToGrid w:val="0"/>
              <w:ind w:firstLine="840"/>
              <w:rPr>
                <w:rFonts w:hint="eastAsia" w:ascii="宋体" w:hAnsi="宋体" w:cs="宋体"/>
                <w:color w:val="auto"/>
                <w:sz w:val="24"/>
                <w:szCs w:val="24"/>
              </w:rPr>
            </w:pPr>
            <w:r>
              <w:rPr>
                <w:rFonts w:hint="eastAsia" w:ascii="宋体" w:hAnsi="宋体" w:cs="宋体"/>
                <w:color w:val="auto"/>
                <w:sz w:val="24"/>
                <w:szCs w:val="24"/>
              </w:rPr>
              <w:t>内容</w:t>
            </w:r>
          </w:p>
          <w:p w14:paraId="0B524649">
            <w:pPr>
              <w:adjustRightInd w:val="0"/>
              <w:snapToGrid w:val="0"/>
              <w:rPr>
                <w:rFonts w:hint="eastAsia" w:ascii="宋体" w:hAnsi="宋体" w:cs="宋体"/>
                <w:color w:val="auto"/>
                <w:sz w:val="24"/>
                <w:szCs w:val="24"/>
              </w:rPr>
            </w:pPr>
            <w:r>
              <w:rPr>
                <w:rFonts w:hint="eastAsia" w:ascii="宋体" w:hAnsi="宋体" w:cs="宋体"/>
                <w:color w:val="auto"/>
                <w:sz w:val="24"/>
                <w:szCs w:val="24"/>
              </w:rPr>
              <w:t>要素</w:t>
            </w:r>
          </w:p>
        </w:tc>
        <w:tc>
          <w:tcPr>
            <w:tcW w:w="1755" w:type="dxa"/>
            <w:noWrap w:val="0"/>
            <w:vAlign w:val="center"/>
          </w:tcPr>
          <w:p w14:paraId="6D384D08">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排放口(编号、</w:t>
            </w:r>
          </w:p>
          <w:p w14:paraId="4AB1067F">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名称)/污染源</w:t>
            </w:r>
          </w:p>
        </w:tc>
        <w:tc>
          <w:tcPr>
            <w:tcW w:w="1326" w:type="dxa"/>
            <w:noWrap w:val="0"/>
            <w:vAlign w:val="center"/>
          </w:tcPr>
          <w:p w14:paraId="093DB6AC">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污染物项目</w:t>
            </w:r>
          </w:p>
        </w:tc>
        <w:tc>
          <w:tcPr>
            <w:tcW w:w="1689" w:type="dxa"/>
            <w:noWrap w:val="0"/>
            <w:vAlign w:val="center"/>
          </w:tcPr>
          <w:p w14:paraId="254F54B3">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环境保护措施</w:t>
            </w:r>
          </w:p>
        </w:tc>
        <w:tc>
          <w:tcPr>
            <w:tcW w:w="2252" w:type="dxa"/>
            <w:noWrap w:val="0"/>
            <w:vAlign w:val="center"/>
          </w:tcPr>
          <w:p w14:paraId="756C51A8">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执行标准</w:t>
            </w:r>
          </w:p>
        </w:tc>
      </w:tr>
      <w:tr w14:paraId="7A9D4B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vMerge w:val="restart"/>
            <w:noWrap w:val="0"/>
            <w:vAlign w:val="center"/>
          </w:tcPr>
          <w:p w14:paraId="561756B0">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大气环境</w:t>
            </w:r>
          </w:p>
        </w:tc>
        <w:tc>
          <w:tcPr>
            <w:tcW w:w="1755" w:type="dxa"/>
            <w:noWrap w:val="0"/>
            <w:vAlign w:val="center"/>
          </w:tcPr>
          <w:p w14:paraId="0F75B1DF">
            <w:pPr>
              <w:adjustRightInd w:val="0"/>
              <w:snapToGrid w:val="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涂装废气</w:t>
            </w:r>
            <w:r>
              <w:rPr>
                <w:rFonts w:hint="default" w:ascii="Times New Roman" w:hAnsi="Times New Roman" w:cs="Times New Roman"/>
                <w:color w:val="auto"/>
                <w:sz w:val="21"/>
                <w:szCs w:val="21"/>
              </w:rPr>
              <w:t>排气筒DA001</w:t>
            </w:r>
          </w:p>
        </w:tc>
        <w:tc>
          <w:tcPr>
            <w:tcW w:w="1326" w:type="dxa"/>
            <w:noWrap w:val="0"/>
            <w:vAlign w:val="center"/>
          </w:tcPr>
          <w:p w14:paraId="24456B8D">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颗粒物</w:t>
            </w:r>
            <w:r>
              <w:rPr>
                <w:rFonts w:hint="eastAsia" w:cs="Times New Roman"/>
                <w:color w:val="auto"/>
                <w:sz w:val="21"/>
                <w:szCs w:val="21"/>
                <w:lang w:eastAsia="zh-CN"/>
              </w:rPr>
              <w:t>、</w:t>
            </w:r>
            <w:r>
              <w:rPr>
                <w:rFonts w:hint="eastAsia" w:cs="Times New Roman"/>
                <w:color w:val="auto"/>
                <w:sz w:val="21"/>
                <w:szCs w:val="21"/>
                <w:lang w:val="en-US" w:eastAsia="zh-CN"/>
              </w:rPr>
              <w:t>非甲烷总烃、二甲苯、苯系物、TVOCs、甲苯、臭气浓度</w:t>
            </w:r>
          </w:p>
        </w:tc>
        <w:tc>
          <w:tcPr>
            <w:tcW w:w="1689" w:type="dxa"/>
            <w:noWrap w:val="0"/>
            <w:vAlign w:val="center"/>
          </w:tcPr>
          <w:p w14:paraId="16C3CB9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经集气设施+</w:t>
            </w:r>
            <w:r>
              <w:rPr>
                <w:rFonts w:hint="eastAsia" w:ascii="Times New Roman" w:hAnsi="Times New Roman" w:cs="Times New Roman"/>
                <w:color w:val="auto"/>
                <w:sz w:val="21"/>
                <w:szCs w:val="24"/>
                <w:lang w:val="en-US" w:eastAsia="zh-CN"/>
              </w:rPr>
              <w:t>水帘柜+干式过滤+活性炭吸附脱附+催化燃烧</w:t>
            </w:r>
            <w:r>
              <w:rPr>
                <w:rFonts w:hint="default" w:ascii="Times New Roman" w:hAnsi="Times New Roman" w:cs="Times New Roman"/>
                <w:color w:val="auto"/>
                <w:sz w:val="21"/>
                <w:szCs w:val="21"/>
                <w:lang w:val="en-US" w:eastAsia="zh-CN"/>
              </w:rPr>
              <w:t>，通过</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5m排气筒（DA001）外排</w:t>
            </w:r>
          </w:p>
        </w:tc>
        <w:tc>
          <w:tcPr>
            <w:tcW w:w="2252" w:type="dxa"/>
            <w:noWrap w:val="0"/>
            <w:vAlign w:val="center"/>
          </w:tcPr>
          <w:p w14:paraId="778749F1">
            <w:pPr>
              <w:adjustRightInd w:val="0"/>
              <w:snapToGrid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highlight w:val="none"/>
                <w:u w:val="none"/>
                <w:lang w:val="en-US" w:eastAsia="zh-CN"/>
              </w:rPr>
              <w:t>《表面涂装</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汽车制造及维修</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挥发性有机物、镍排放标准》</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DB43/1356-2017</w:t>
            </w:r>
            <w:r>
              <w:rPr>
                <w:rFonts w:hint="eastAsia" w:ascii="Times New Roman" w:hAnsi="Times New Roman" w:cs="Times New Roman"/>
                <w:color w:val="auto"/>
                <w:highlight w:val="none"/>
                <w:u w:val="none"/>
                <w:lang w:val="en-US" w:eastAsia="zh-CN"/>
              </w:rPr>
              <w:t>）</w:t>
            </w:r>
            <w:r>
              <w:rPr>
                <w:rFonts w:hint="eastAsia" w:cs="Times New Roman"/>
                <w:color w:val="auto"/>
                <w:highlight w:val="none"/>
                <w:u w:val="none"/>
                <w:lang w:val="en-US" w:eastAsia="zh-CN"/>
              </w:rPr>
              <w:t>及</w:t>
            </w:r>
            <w:r>
              <w:rPr>
                <w:rFonts w:hint="default" w:ascii="Times New Roman" w:hAnsi="Times New Roman" w:cs="Times New Roman"/>
                <w:color w:val="auto"/>
                <w:highlight w:val="none"/>
                <w:u w:val="none"/>
                <w:lang w:val="en-US" w:eastAsia="zh-CN"/>
              </w:rPr>
              <w:t>《大气污染物综合排放标准》(GB16297-1996)表2</w:t>
            </w:r>
            <w:r>
              <w:rPr>
                <w:rFonts w:hint="eastAsia" w:cs="Times New Roman"/>
                <w:color w:val="auto"/>
                <w:highlight w:val="none"/>
                <w:u w:val="none"/>
                <w:lang w:val="en-US" w:eastAsia="zh-CN"/>
              </w:rPr>
              <w:t>、</w:t>
            </w:r>
            <w:r>
              <w:rPr>
                <w:rFonts w:hint="eastAsia" w:ascii="Times New Roman" w:hAnsi="Times New Roman" w:cs="Times New Roman"/>
                <w:color w:val="auto"/>
                <w:highlight w:val="none"/>
                <w:u w:val="none"/>
                <w:lang w:val="en-US" w:eastAsia="zh-CN"/>
              </w:rPr>
              <w:t>臭气浓度执行《恶臭污染物排放标准》（GB14554-93）</w:t>
            </w:r>
          </w:p>
        </w:tc>
      </w:tr>
      <w:tr w14:paraId="024DA1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vMerge w:val="continue"/>
            <w:noWrap w:val="0"/>
            <w:vAlign w:val="center"/>
          </w:tcPr>
          <w:p w14:paraId="400FD6D0">
            <w:pPr>
              <w:adjustRightInd w:val="0"/>
              <w:snapToGrid w:val="0"/>
              <w:jc w:val="center"/>
              <w:rPr>
                <w:rFonts w:hint="eastAsia" w:ascii="宋体" w:hAnsi="宋体" w:cs="宋体"/>
                <w:color w:val="auto"/>
                <w:sz w:val="24"/>
                <w:szCs w:val="24"/>
              </w:rPr>
            </w:pPr>
          </w:p>
        </w:tc>
        <w:tc>
          <w:tcPr>
            <w:tcW w:w="1755" w:type="dxa"/>
            <w:noWrap w:val="0"/>
            <w:vAlign w:val="center"/>
          </w:tcPr>
          <w:p w14:paraId="4A1EEC1A">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无组织排放废气</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生产厂房</w:t>
            </w:r>
            <w:r>
              <w:rPr>
                <w:rFonts w:hint="default" w:ascii="Times New Roman" w:hAnsi="Times New Roman" w:cs="Times New Roman"/>
                <w:color w:val="auto"/>
                <w:sz w:val="21"/>
                <w:szCs w:val="21"/>
                <w:lang w:eastAsia="zh-CN"/>
              </w:rPr>
              <w:t>）</w:t>
            </w:r>
          </w:p>
        </w:tc>
        <w:tc>
          <w:tcPr>
            <w:tcW w:w="1326" w:type="dxa"/>
            <w:noWrap w:val="0"/>
            <w:vAlign w:val="center"/>
          </w:tcPr>
          <w:p w14:paraId="710A932E">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非甲烷总烃</w:t>
            </w:r>
          </w:p>
        </w:tc>
        <w:tc>
          <w:tcPr>
            <w:tcW w:w="1689" w:type="dxa"/>
            <w:noWrap w:val="0"/>
            <w:vAlign w:val="center"/>
          </w:tcPr>
          <w:p w14:paraId="02954B03">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封闭式厂房，加强车间通风</w:t>
            </w:r>
          </w:p>
        </w:tc>
        <w:tc>
          <w:tcPr>
            <w:tcW w:w="2252" w:type="dxa"/>
            <w:noWrap w:val="0"/>
            <w:vAlign w:val="center"/>
          </w:tcPr>
          <w:p w14:paraId="1C65A006">
            <w:pPr>
              <w:adjustRightInd w:val="0"/>
              <w:snapToGrid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《挥发性有机物无组织排放控制标准》（GB37822-2019）表A.1标准：10 mg/m</w:t>
            </w:r>
            <w:r>
              <w:rPr>
                <w:rFonts w:hint="default" w:ascii="Times New Roman" w:hAnsi="Times New Roman" w:cs="Times New Roman"/>
                <w:color w:val="auto"/>
                <w:sz w:val="21"/>
                <w:szCs w:val="21"/>
                <w:u w:val="none"/>
                <w:vertAlign w:val="superscript"/>
              </w:rPr>
              <w:t>3</w:t>
            </w:r>
            <w:r>
              <w:rPr>
                <w:rFonts w:hint="default" w:ascii="Times New Roman" w:hAnsi="Times New Roman" w:cs="Times New Roman"/>
                <w:color w:val="auto"/>
                <w:sz w:val="21"/>
                <w:szCs w:val="21"/>
                <w:u w:val="none"/>
              </w:rPr>
              <w:t>（1 h 平均浓度值）</w:t>
            </w:r>
          </w:p>
        </w:tc>
      </w:tr>
      <w:tr w14:paraId="0AB8DC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vMerge w:val="continue"/>
            <w:noWrap w:val="0"/>
            <w:vAlign w:val="center"/>
          </w:tcPr>
          <w:p w14:paraId="37E1F3E7">
            <w:pPr>
              <w:adjustRightInd w:val="0"/>
              <w:snapToGrid w:val="0"/>
              <w:jc w:val="center"/>
              <w:rPr>
                <w:rFonts w:hint="eastAsia" w:ascii="宋体" w:hAnsi="宋体" w:cs="宋体"/>
                <w:color w:val="auto"/>
                <w:sz w:val="24"/>
                <w:szCs w:val="24"/>
              </w:rPr>
            </w:pPr>
          </w:p>
        </w:tc>
        <w:tc>
          <w:tcPr>
            <w:tcW w:w="1755" w:type="dxa"/>
            <w:noWrap w:val="0"/>
            <w:vAlign w:val="center"/>
          </w:tcPr>
          <w:p w14:paraId="52EB3EF2">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无组织排放废气</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企业厂界</w:t>
            </w:r>
            <w:r>
              <w:rPr>
                <w:rFonts w:hint="default" w:ascii="Times New Roman" w:hAnsi="Times New Roman" w:cs="Times New Roman"/>
                <w:color w:val="auto"/>
                <w:sz w:val="21"/>
                <w:szCs w:val="21"/>
                <w:lang w:eastAsia="zh-CN"/>
              </w:rPr>
              <w:t>）</w:t>
            </w:r>
          </w:p>
        </w:tc>
        <w:tc>
          <w:tcPr>
            <w:tcW w:w="1326" w:type="dxa"/>
            <w:noWrap w:val="0"/>
            <w:vAlign w:val="center"/>
          </w:tcPr>
          <w:p w14:paraId="407AAB4B">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颗粒物、非甲烷总烃</w:t>
            </w:r>
            <w:r>
              <w:rPr>
                <w:rFonts w:hint="eastAsia" w:cs="Times New Roman"/>
                <w:color w:val="auto"/>
                <w:sz w:val="21"/>
                <w:szCs w:val="21"/>
                <w:lang w:eastAsia="zh-CN"/>
              </w:rPr>
              <w:t>、</w:t>
            </w:r>
            <w:r>
              <w:rPr>
                <w:rFonts w:hint="eastAsia" w:cs="Times New Roman"/>
                <w:color w:val="auto"/>
                <w:sz w:val="21"/>
                <w:szCs w:val="21"/>
                <w:lang w:val="en-US" w:eastAsia="zh-CN"/>
              </w:rPr>
              <w:t>二甲苯、苯系物、甲苯、臭气浓度</w:t>
            </w:r>
          </w:p>
        </w:tc>
        <w:tc>
          <w:tcPr>
            <w:tcW w:w="1689" w:type="dxa"/>
            <w:noWrap w:val="0"/>
            <w:vAlign w:val="center"/>
          </w:tcPr>
          <w:p w14:paraId="6327225A">
            <w:pPr>
              <w:adjustRightInd w:val="0"/>
              <w:snapToGrid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打磨采用水帘柜+布袋除尘后无组织排放，</w:t>
            </w:r>
            <w:r>
              <w:rPr>
                <w:rFonts w:hint="default" w:ascii="Times New Roman" w:hAnsi="Times New Roman" w:cs="Times New Roman"/>
                <w:color w:val="auto"/>
                <w:sz w:val="21"/>
                <w:szCs w:val="21"/>
                <w:lang w:val="en-US" w:eastAsia="zh-CN"/>
              </w:rPr>
              <w:t>封闭式厂房，加强车间通风</w:t>
            </w:r>
          </w:p>
        </w:tc>
        <w:tc>
          <w:tcPr>
            <w:tcW w:w="2252" w:type="dxa"/>
            <w:noWrap w:val="0"/>
            <w:vAlign w:val="center"/>
          </w:tcPr>
          <w:p w14:paraId="7498D65C">
            <w:pPr>
              <w:adjustRightInd w:val="0"/>
              <w:snapToGrid w:val="0"/>
              <w:jc w:val="center"/>
              <w:rPr>
                <w:rFonts w:hint="default" w:ascii="Times New Roman" w:hAnsi="Times New Roman" w:cs="Times New Roman"/>
                <w:color w:val="auto"/>
                <w:sz w:val="21"/>
                <w:szCs w:val="21"/>
                <w:u w:val="none"/>
                <w:lang w:val="en-US"/>
              </w:rPr>
            </w:pPr>
            <w:r>
              <w:rPr>
                <w:rFonts w:hint="default" w:ascii="Times New Roman" w:hAnsi="Times New Roman" w:cs="Times New Roman"/>
                <w:color w:val="auto"/>
                <w:highlight w:val="none"/>
                <w:u w:val="none"/>
                <w:lang w:val="en-US" w:eastAsia="zh-CN"/>
              </w:rPr>
              <w:t>《表面涂装</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汽车制造及维修</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挥发性有机物、镍排放标准》</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DB43/1356-2017</w:t>
            </w:r>
            <w:r>
              <w:rPr>
                <w:rFonts w:hint="eastAsia" w:ascii="Times New Roman" w:hAnsi="Times New Roman" w:cs="Times New Roman"/>
                <w:color w:val="auto"/>
                <w:highlight w:val="none"/>
                <w:u w:val="none"/>
                <w:lang w:val="en-US" w:eastAsia="zh-CN"/>
              </w:rPr>
              <w:t>）</w:t>
            </w:r>
            <w:r>
              <w:rPr>
                <w:rFonts w:hint="eastAsia" w:cs="Times New Roman"/>
                <w:color w:val="auto"/>
                <w:highlight w:val="none"/>
                <w:u w:val="none"/>
                <w:lang w:val="en-US" w:eastAsia="zh-CN"/>
              </w:rPr>
              <w:t>及</w:t>
            </w:r>
            <w:r>
              <w:rPr>
                <w:rFonts w:hint="default" w:ascii="Times New Roman" w:hAnsi="Times New Roman" w:cs="Times New Roman"/>
                <w:color w:val="auto"/>
                <w:highlight w:val="none"/>
                <w:u w:val="none"/>
                <w:lang w:val="en-US" w:eastAsia="zh-CN"/>
              </w:rPr>
              <w:t>《大气污染物综合排放标准》(GB16297-1996)表2</w:t>
            </w:r>
            <w:r>
              <w:rPr>
                <w:rFonts w:hint="eastAsia" w:cs="Times New Roman"/>
                <w:color w:val="auto"/>
                <w:highlight w:val="none"/>
                <w:u w:val="none"/>
                <w:lang w:val="en-US" w:eastAsia="zh-CN"/>
              </w:rPr>
              <w:t>，</w:t>
            </w:r>
            <w:r>
              <w:rPr>
                <w:rFonts w:hint="eastAsia" w:ascii="Times New Roman" w:hAnsi="Times New Roman" w:cs="Times New Roman"/>
                <w:color w:val="auto"/>
                <w:highlight w:val="none"/>
                <w:u w:val="none"/>
                <w:lang w:val="en-US" w:eastAsia="zh-CN"/>
              </w:rPr>
              <w:t>臭气浓度执行《恶臭污染物排放标准》（GB14554-93）</w:t>
            </w:r>
          </w:p>
        </w:tc>
      </w:tr>
      <w:tr w14:paraId="74590C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noWrap w:val="0"/>
            <w:vAlign w:val="center"/>
          </w:tcPr>
          <w:p w14:paraId="6D864F95">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地表水环境</w:t>
            </w:r>
          </w:p>
        </w:tc>
        <w:tc>
          <w:tcPr>
            <w:tcW w:w="1755" w:type="dxa"/>
            <w:shd w:val="clear" w:color="auto" w:fill="auto"/>
            <w:noWrap w:val="0"/>
            <w:vAlign w:val="center"/>
          </w:tcPr>
          <w:p w14:paraId="67F5205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生活污水</w:t>
            </w:r>
          </w:p>
        </w:tc>
        <w:tc>
          <w:tcPr>
            <w:tcW w:w="1326" w:type="dxa"/>
            <w:shd w:val="clear" w:color="auto" w:fill="auto"/>
            <w:noWrap w:val="0"/>
            <w:vAlign w:val="center"/>
          </w:tcPr>
          <w:p w14:paraId="533B176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pH、</w:t>
            </w:r>
            <w:r>
              <w:rPr>
                <w:rFonts w:hint="default" w:ascii="Times New Roman" w:hAnsi="Times New Roman" w:cs="Times New Roman"/>
                <w:color w:val="auto"/>
                <w:sz w:val="21"/>
                <w:szCs w:val="21"/>
              </w:rPr>
              <w:t>COD</w:t>
            </w:r>
            <w:r>
              <w:rPr>
                <w:rFonts w:hint="default" w:ascii="Times New Roman" w:hAnsi="Times New Roman" w:cs="Times New Roman"/>
                <w:color w:val="auto"/>
                <w:sz w:val="21"/>
                <w:szCs w:val="21"/>
                <w:vertAlign w:val="subscript"/>
              </w:rPr>
              <w:t>cr</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SS</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-H</w:t>
            </w:r>
            <w:r>
              <w:rPr>
                <w:rFonts w:hint="eastAsia" w:ascii="Times New Roman" w:hAnsi="Times New Roman" w:cs="Times New Roman"/>
                <w:color w:val="auto"/>
                <w:sz w:val="21"/>
                <w:szCs w:val="21"/>
                <w:lang w:eastAsia="zh-CN"/>
              </w:rPr>
              <w:t>、</w:t>
            </w:r>
            <w:r>
              <w:rPr>
                <w:rFonts w:hint="eastAsia" w:cs="Times New Roman"/>
                <w:color w:val="auto"/>
                <w:sz w:val="21"/>
                <w:szCs w:val="21"/>
                <w:lang w:val="en-US" w:eastAsia="zh-CN"/>
              </w:rPr>
              <w:t>总磷</w:t>
            </w:r>
          </w:p>
        </w:tc>
        <w:tc>
          <w:tcPr>
            <w:tcW w:w="1689" w:type="dxa"/>
            <w:shd w:val="clear" w:color="auto" w:fill="auto"/>
            <w:noWrap w:val="0"/>
            <w:vAlign w:val="center"/>
          </w:tcPr>
          <w:p w14:paraId="1105356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经化粪池处理</w:t>
            </w:r>
            <w:r>
              <w:rPr>
                <w:rFonts w:hint="eastAsia" w:ascii="Times New Roman" w:hAnsi="Times New Roman" w:cs="Times New Roman"/>
                <w:color w:val="auto"/>
                <w:sz w:val="21"/>
                <w:szCs w:val="21"/>
                <w:lang w:val="en-US" w:eastAsia="zh-CN"/>
              </w:rPr>
              <w:t>达标</w:t>
            </w:r>
            <w:r>
              <w:rPr>
                <w:rFonts w:hint="default" w:ascii="Times New Roman" w:hAnsi="Times New Roman" w:cs="Times New Roman"/>
                <w:color w:val="auto"/>
                <w:sz w:val="21"/>
                <w:szCs w:val="21"/>
              </w:rPr>
              <w:t>后经市政污水管网进入</w:t>
            </w:r>
            <w:r>
              <w:rPr>
                <w:rFonts w:hint="eastAsia" w:cs="Times New Roman"/>
                <w:color w:val="auto"/>
                <w:sz w:val="21"/>
                <w:szCs w:val="21"/>
                <w:lang w:eastAsia="zh-CN"/>
              </w:rPr>
              <w:t>铜桥港污水处理厂</w:t>
            </w:r>
          </w:p>
        </w:tc>
        <w:tc>
          <w:tcPr>
            <w:tcW w:w="2252" w:type="dxa"/>
            <w:shd w:val="clear" w:color="auto" w:fill="auto"/>
            <w:noWrap w:val="0"/>
            <w:vAlign w:val="center"/>
          </w:tcPr>
          <w:p w14:paraId="04D20DE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《污水综合排放标准》（GB8978-1996）表4 中三级标准（其中氨氮、总磷参照执行《污水排入城镇下水道水质标准》GB/T 31962-2015表1中B级排放限值要求）</w:t>
            </w:r>
          </w:p>
        </w:tc>
      </w:tr>
      <w:tr w14:paraId="00BE27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vMerge w:val="restart"/>
            <w:noWrap w:val="0"/>
            <w:vAlign w:val="center"/>
          </w:tcPr>
          <w:p w14:paraId="2F8B41B3">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声环境</w:t>
            </w:r>
          </w:p>
        </w:tc>
        <w:tc>
          <w:tcPr>
            <w:tcW w:w="1755" w:type="dxa"/>
            <w:noWrap w:val="0"/>
            <w:vAlign w:val="center"/>
          </w:tcPr>
          <w:p w14:paraId="02884095">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室内设备运行</w:t>
            </w:r>
          </w:p>
        </w:tc>
        <w:tc>
          <w:tcPr>
            <w:tcW w:w="1326" w:type="dxa"/>
            <w:noWrap w:val="0"/>
            <w:vAlign w:val="center"/>
          </w:tcPr>
          <w:p w14:paraId="6AE804B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等效 A 声级</w:t>
            </w:r>
          </w:p>
        </w:tc>
        <w:tc>
          <w:tcPr>
            <w:tcW w:w="1689" w:type="dxa"/>
            <w:noWrap w:val="0"/>
            <w:vAlign w:val="center"/>
          </w:tcPr>
          <w:p w14:paraId="1D68ADE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选用低噪声设备、基础减振、建筑隔声</w:t>
            </w:r>
          </w:p>
        </w:tc>
        <w:tc>
          <w:tcPr>
            <w:tcW w:w="2252" w:type="dxa"/>
            <w:vMerge w:val="restart"/>
            <w:noWrap w:val="0"/>
            <w:vAlign w:val="center"/>
          </w:tcPr>
          <w:p w14:paraId="09A68F3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《工业企业厂界环境噪声排放标准》(GB12348-2008)表1中3类声环境功能区标准</w:t>
            </w:r>
          </w:p>
        </w:tc>
      </w:tr>
      <w:tr w14:paraId="459BD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vMerge w:val="continue"/>
            <w:noWrap w:val="0"/>
            <w:vAlign w:val="center"/>
          </w:tcPr>
          <w:p w14:paraId="69AD73C8">
            <w:pPr>
              <w:adjustRightInd w:val="0"/>
              <w:snapToGrid w:val="0"/>
              <w:jc w:val="center"/>
              <w:rPr>
                <w:rFonts w:hint="eastAsia" w:ascii="宋体" w:hAnsi="宋体" w:cs="宋体"/>
                <w:color w:val="auto"/>
                <w:sz w:val="24"/>
                <w:szCs w:val="24"/>
              </w:rPr>
            </w:pPr>
          </w:p>
        </w:tc>
        <w:tc>
          <w:tcPr>
            <w:tcW w:w="1755" w:type="dxa"/>
            <w:noWrap w:val="0"/>
            <w:vAlign w:val="center"/>
          </w:tcPr>
          <w:p w14:paraId="5ACD54F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室外设备运行</w:t>
            </w:r>
          </w:p>
        </w:tc>
        <w:tc>
          <w:tcPr>
            <w:tcW w:w="1326" w:type="dxa"/>
            <w:noWrap w:val="0"/>
            <w:vAlign w:val="center"/>
          </w:tcPr>
          <w:p w14:paraId="57445BD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等效 A 声级</w:t>
            </w:r>
          </w:p>
        </w:tc>
        <w:tc>
          <w:tcPr>
            <w:tcW w:w="1689" w:type="dxa"/>
            <w:noWrap w:val="0"/>
            <w:vAlign w:val="center"/>
          </w:tcPr>
          <w:p w14:paraId="69872C0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选用低噪声设备、基础减振、消声器、隔声罩</w:t>
            </w:r>
          </w:p>
        </w:tc>
        <w:tc>
          <w:tcPr>
            <w:tcW w:w="2252" w:type="dxa"/>
            <w:vMerge w:val="continue"/>
            <w:noWrap w:val="0"/>
            <w:vAlign w:val="center"/>
          </w:tcPr>
          <w:p w14:paraId="3B5D2736">
            <w:pPr>
              <w:adjustRightInd w:val="0"/>
              <w:snapToGrid w:val="0"/>
              <w:jc w:val="center"/>
              <w:rPr>
                <w:rFonts w:hint="default" w:ascii="Times New Roman" w:hAnsi="Times New Roman" w:cs="Times New Roman"/>
                <w:color w:val="auto"/>
                <w:sz w:val="21"/>
                <w:szCs w:val="21"/>
              </w:rPr>
            </w:pPr>
          </w:p>
        </w:tc>
      </w:tr>
      <w:tr w14:paraId="7D886C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gridSpan w:val="2"/>
            <w:noWrap w:val="0"/>
            <w:vAlign w:val="center"/>
          </w:tcPr>
          <w:p w14:paraId="75811097">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电磁辐射</w:t>
            </w:r>
          </w:p>
        </w:tc>
        <w:tc>
          <w:tcPr>
            <w:tcW w:w="1755" w:type="dxa"/>
            <w:noWrap w:val="0"/>
            <w:vAlign w:val="center"/>
          </w:tcPr>
          <w:p w14:paraId="44B9045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26" w:type="dxa"/>
            <w:noWrap w:val="0"/>
            <w:vAlign w:val="center"/>
          </w:tcPr>
          <w:p w14:paraId="16DF4699">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689" w:type="dxa"/>
            <w:noWrap w:val="0"/>
            <w:vAlign w:val="center"/>
          </w:tcPr>
          <w:p w14:paraId="732FBC2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252" w:type="dxa"/>
            <w:noWrap w:val="0"/>
            <w:vAlign w:val="center"/>
          </w:tcPr>
          <w:p w14:paraId="278AB76A">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2A693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gridSpan w:val="2"/>
            <w:noWrap w:val="0"/>
            <w:vAlign w:val="center"/>
          </w:tcPr>
          <w:p w14:paraId="17B41472">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固体废物</w:t>
            </w:r>
          </w:p>
        </w:tc>
        <w:tc>
          <w:tcPr>
            <w:tcW w:w="7022" w:type="dxa"/>
            <w:gridSpan w:val="4"/>
            <w:noWrap w:val="0"/>
            <w:vAlign w:val="top"/>
          </w:tcPr>
          <w:p w14:paraId="30FA2A80">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生活垃圾：由员工收集至垃圾桶，交由环卫部门清运处理</w:t>
            </w:r>
            <w:r>
              <w:rPr>
                <w:rFonts w:hint="eastAsia" w:ascii="Times New Roman" w:hAnsi="Times New Roman" w:cs="Times New Roman"/>
                <w:color w:val="auto"/>
                <w:sz w:val="21"/>
                <w:szCs w:val="21"/>
                <w:lang w:eastAsia="zh-CN"/>
              </w:rPr>
              <w:t>。</w:t>
            </w:r>
          </w:p>
          <w:p w14:paraId="20F2BBF4">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w:t>
            </w:r>
            <w:r>
              <w:rPr>
                <w:rFonts w:hint="eastAsia" w:ascii="Times New Roman" w:hAnsi="Times New Roman" w:cs="Times New Roman"/>
                <w:color w:val="auto"/>
                <w:sz w:val="21"/>
                <w:szCs w:val="21"/>
                <w:lang w:val="en-US" w:eastAsia="zh-CN"/>
              </w:rPr>
              <w:t>废涂料桶和漆渣</w:t>
            </w:r>
            <w:r>
              <w:rPr>
                <w:rFonts w:hint="default" w:ascii="Times New Roman" w:hAnsi="Times New Roman" w:cs="Times New Roman"/>
                <w:color w:val="auto"/>
                <w:sz w:val="21"/>
                <w:szCs w:val="21"/>
              </w:rPr>
              <w:t>、废活性炭、废机油、废机油桶、</w:t>
            </w:r>
            <w:r>
              <w:rPr>
                <w:rFonts w:hint="eastAsia" w:ascii="Times New Roman" w:hAnsi="Times New Roman" w:cs="Times New Roman"/>
                <w:color w:val="auto"/>
                <w:sz w:val="21"/>
                <w:szCs w:val="21"/>
                <w:lang w:val="en-US" w:eastAsia="zh-CN"/>
              </w:rPr>
              <w:t>水帘废液等</w:t>
            </w:r>
            <w:r>
              <w:rPr>
                <w:rFonts w:hint="default" w:ascii="Times New Roman" w:hAnsi="Times New Roman" w:cs="Times New Roman"/>
                <w:color w:val="auto"/>
                <w:sz w:val="21"/>
                <w:szCs w:val="21"/>
              </w:rPr>
              <w:t>由员工收集暂存于危废暂存间（20 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），定期交有资质单位处置。危废暂存间应严格按照《危险废物贮存污染控制标准》（GB18597-2023）要求设置。</w:t>
            </w:r>
          </w:p>
          <w:p w14:paraId="27DE7B33">
            <w:pPr>
              <w:pStyle w:val="29"/>
              <w:bidi w:val="0"/>
              <w:rPr>
                <w:rFonts w:hint="default" w:ascii="Times New Roman" w:hAnsi="Times New Roman" w:cs="Times New Roman"/>
                <w:color w:val="auto"/>
                <w:sz w:val="21"/>
                <w:szCs w:val="21"/>
              </w:rPr>
            </w:pPr>
          </w:p>
        </w:tc>
      </w:tr>
      <w:tr w14:paraId="5E5F3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gridSpan w:val="2"/>
            <w:noWrap w:val="0"/>
            <w:vAlign w:val="center"/>
          </w:tcPr>
          <w:p w14:paraId="5386CCA8">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土壤及地下水</w:t>
            </w:r>
          </w:p>
          <w:p w14:paraId="1D87BBB8">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污染防治措施</w:t>
            </w:r>
          </w:p>
        </w:tc>
        <w:tc>
          <w:tcPr>
            <w:tcW w:w="7022" w:type="dxa"/>
            <w:gridSpan w:val="4"/>
            <w:noWrap w:val="0"/>
            <w:vAlign w:val="top"/>
          </w:tcPr>
          <w:p w14:paraId="33B66334">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将危废暂存间</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喷漆房、烤漆房、调漆房、打磨房和油漆仓库</w:t>
            </w:r>
            <w:r>
              <w:rPr>
                <w:rFonts w:hint="default" w:ascii="Times New Roman" w:hAnsi="Times New Roman" w:cs="Times New Roman"/>
                <w:color w:val="auto"/>
                <w:sz w:val="21"/>
                <w:szCs w:val="21"/>
              </w:rPr>
              <w:t>设为重点防渗区，剩余区域设为简单防渗区。</w:t>
            </w:r>
          </w:p>
          <w:p w14:paraId="617E3BFE">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重点防渗区防渗技术要求：等效黏土防渗层Mb≥6.0m，K≤1×10</w:t>
            </w:r>
            <w:r>
              <w:rPr>
                <w:rFonts w:hint="default" w:ascii="Times New Roman" w:hAnsi="Times New Roman" w:cs="Times New Roman"/>
                <w:color w:val="auto"/>
                <w:sz w:val="21"/>
                <w:szCs w:val="21"/>
                <w:vertAlign w:val="superscript"/>
              </w:rPr>
              <w:t>-7</w:t>
            </w:r>
            <w:r>
              <w:rPr>
                <w:rFonts w:hint="default" w:ascii="Times New Roman" w:hAnsi="Times New Roman" w:cs="Times New Roman"/>
                <w:color w:val="auto"/>
                <w:sz w:val="21"/>
                <w:szCs w:val="21"/>
              </w:rPr>
              <w:t>cm/s；或参照GB18598执行；同时需符合《危险废物贮存污染控制标准》(GB18597-2023)相关要求</w:t>
            </w:r>
            <w:r>
              <w:rPr>
                <w:rFonts w:hint="eastAsia" w:ascii="Times New Roman" w:hAnsi="Times New Roman" w:cs="Times New Roman"/>
                <w:color w:val="auto"/>
                <w:sz w:val="21"/>
                <w:szCs w:val="21"/>
                <w:lang w:eastAsia="zh-CN"/>
              </w:rPr>
              <w:t>。</w:t>
            </w:r>
          </w:p>
          <w:p w14:paraId="75F30D5C">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简单防渗区防渗技术要求：一般地面硬化</w:t>
            </w:r>
            <w:r>
              <w:rPr>
                <w:rFonts w:hint="eastAsia" w:ascii="Times New Roman" w:hAnsi="Times New Roman" w:cs="Times New Roman"/>
                <w:color w:val="auto"/>
                <w:sz w:val="21"/>
                <w:szCs w:val="21"/>
                <w:lang w:eastAsia="zh-CN"/>
              </w:rPr>
              <w:t>。</w:t>
            </w:r>
          </w:p>
        </w:tc>
      </w:tr>
      <w:tr w14:paraId="001CB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gridSpan w:val="2"/>
            <w:noWrap w:val="0"/>
            <w:vAlign w:val="center"/>
          </w:tcPr>
          <w:p w14:paraId="5105F22B">
            <w:pPr>
              <w:adjustRightInd w:val="0"/>
              <w:snapToGrid w:val="0"/>
              <w:jc w:val="center"/>
              <w:rPr>
                <w:rFonts w:hint="eastAsia" w:ascii="宋体" w:hAnsi="宋体" w:cs="宋体"/>
                <w:color w:val="auto"/>
                <w:sz w:val="24"/>
                <w:szCs w:val="24"/>
              </w:rPr>
            </w:pPr>
            <w:r>
              <w:rPr>
                <w:rFonts w:hint="eastAsia" w:ascii="宋体" w:hAnsi="宋体" w:cs="宋体"/>
                <w:color w:val="auto"/>
                <w:sz w:val="24"/>
                <w:szCs w:val="24"/>
              </w:rPr>
              <w:t>生态保护措施</w:t>
            </w:r>
          </w:p>
        </w:tc>
        <w:tc>
          <w:tcPr>
            <w:tcW w:w="7022" w:type="dxa"/>
            <w:gridSpan w:val="4"/>
            <w:noWrap w:val="0"/>
            <w:vAlign w:val="center"/>
          </w:tcPr>
          <w:p w14:paraId="37EEB6BB">
            <w:pPr>
              <w:adjustRightInd w:val="0"/>
              <w:snapToGrid w:val="0"/>
              <w:jc w:val="center"/>
              <w:rPr>
                <w:rFonts w:hint="eastAsia" w:ascii="宋体" w:hAnsi="宋体" w:cs="宋体"/>
                <w:color w:val="auto"/>
                <w:sz w:val="24"/>
                <w:szCs w:val="24"/>
              </w:rPr>
            </w:pPr>
            <w:r>
              <w:rPr>
                <w:rFonts w:hint="eastAsia" w:ascii="宋体" w:hAnsi="宋体" w:cs="宋体"/>
                <w:color w:val="auto"/>
                <w:sz w:val="21"/>
                <w:szCs w:val="21"/>
              </w:rPr>
              <w:t>本环评要求建设单位做好厂区内部及厂界处绿化工作。</w:t>
            </w:r>
          </w:p>
        </w:tc>
      </w:tr>
      <w:tr w14:paraId="631C9F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gridSpan w:val="2"/>
            <w:noWrap w:val="0"/>
            <w:vAlign w:val="center"/>
          </w:tcPr>
          <w:p w14:paraId="54ACB0CD">
            <w:pPr>
              <w:adjustRightInd w:val="0"/>
              <w:snapToGrid w:val="0"/>
              <w:jc w:val="center"/>
              <w:rPr>
                <w:rFonts w:ascii="宋体" w:hAnsi="宋体" w:cs="宋体"/>
                <w:color w:val="auto"/>
                <w:spacing w:val="-8"/>
                <w:sz w:val="24"/>
                <w:szCs w:val="24"/>
              </w:rPr>
            </w:pPr>
            <w:r>
              <w:rPr>
                <w:rFonts w:hint="eastAsia" w:ascii="宋体" w:hAnsi="宋体" w:cs="宋体"/>
                <w:color w:val="auto"/>
                <w:spacing w:val="-8"/>
                <w:sz w:val="24"/>
                <w:szCs w:val="24"/>
              </w:rPr>
              <w:t>环境风险</w:t>
            </w:r>
          </w:p>
          <w:p w14:paraId="5901304D">
            <w:pPr>
              <w:adjustRightInd w:val="0"/>
              <w:snapToGrid w:val="0"/>
              <w:jc w:val="center"/>
              <w:rPr>
                <w:rFonts w:hint="eastAsia" w:ascii="宋体" w:hAnsi="宋体" w:cs="宋体"/>
                <w:color w:val="auto"/>
                <w:spacing w:val="-8"/>
                <w:sz w:val="24"/>
                <w:szCs w:val="24"/>
              </w:rPr>
            </w:pPr>
            <w:r>
              <w:rPr>
                <w:rFonts w:hint="eastAsia" w:ascii="宋体" w:hAnsi="宋体" w:cs="宋体"/>
                <w:color w:val="auto"/>
                <w:spacing w:val="-8"/>
                <w:sz w:val="24"/>
                <w:szCs w:val="24"/>
              </w:rPr>
              <w:t>防范措施</w:t>
            </w:r>
          </w:p>
        </w:tc>
        <w:tc>
          <w:tcPr>
            <w:tcW w:w="7022" w:type="dxa"/>
            <w:gridSpan w:val="4"/>
            <w:noWrap w:val="0"/>
            <w:vAlign w:val="top"/>
          </w:tcPr>
          <w:p w14:paraId="011828B8">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b/>
                <w:bCs/>
                <w:color w:val="auto"/>
                <w:sz w:val="21"/>
                <w:szCs w:val="21"/>
              </w:rPr>
              <w:t>（1）生产设备</w:t>
            </w:r>
            <w:r>
              <w:rPr>
                <w:rFonts w:hint="eastAsia" w:ascii="Times New Roman" w:hAnsi="Times New Roman" w:cs="Times New Roman"/>
                <w:b/>
                <w:bCs/>
                <w:color w:val="auto"/>
                <w:sz w:val="21"/>
                <w:szCs w:val="21"/>
                <w:lang w:val="en-US" w:eastAsia="zh-CN"/>
              </w:rPr>
              <w:t>油漆</w:t>
            </w:r>
            <w:r>
              <w:rPr>
                <w:rFonts w:hint="default" w:ascii="Times New Roman" w:hAnsi="Times New Roman" w:cs="Times New Roman"/>
                <w:b/>
                <w:bCs/>
                <w:color w:val="auto"/>
                <w:sz w:val="21"/>
                <w:szCs w:val="21"/>
              </w:rPr>
              <w:t>、</w:t>
            </w:r>
            <w:r>
              <w:rPr>
                <w:rFonts w:hint="eastAsia" w:ascii="Times New Roman" w:hAnsi="Times New Roman" w:cs="Times New Roman"/>
                <w:b/>
                <w:bCs/>
                <w:color w:val="auto"/>
                <w:sz w:val="21"/>
                <w:szCs w:val="21"/>
                <w:lang w:eastAsia="zh-CN"/>
              </w:rPr>
              <w:t>机油</w:t>
            </w:r>
            <w:r>
              <w:rPr>
                <w:rFonts w:hint="default" w:ascii="Times New Roman" w:hAnsi="Times New Roman" w:cs="Times New Roman"/>
                <w:b/>
                <w:bCs/>
                <w:color w:val="auto"/>
                <w:sz w:val="21"/>
                <w:szCs w:val="21"/>
              </w:rPr>
              <w:t>泄漏环境风险防范措施</w:t>
            </w:r>
            <w:r>
              <w:rPr>
                <w:rFonts w:hint="eastAsia" w:ascii="Times New Roman" w:hAnsi="Times New Roman" w:cs="Times New Roman"/>
                <w:b/>
                <w:bCs/>
                <w:color w:val="auto"/>
                <w:sz w:val="21"/>
                <w:szCs w:val="21"/>
                <w:lang w:eastAsia="zh-CN"/>
              </w:rPr>
              <w:t>：</w:t>
            </w:r>
            <w:r>
              <w:rPr>
                <w:rFonts w:hint="eastAsia" w:ascii="Times New Roman" w:hAnsi="Times New Roman" w:cs="Times New Roman"/>
                <w:color w:val="auto"/>
                <w:sz w:val="21"/>
                <w:szCs w:val="21"/>
                <w:lang w:eastAsia="zh-CN"/>
              </w:rPr>
              <w:t>①加强管理，安排员工对生产设备定期巡检；②常备吸收材料，若出现泄漏现象，安排员工用吸收材料吸收泄漏物，并及时封堵泄漏点（吸收泄漏物后的材料按危废处理）。</w:t>
            </w:r>
          </w:p>
          <w:p w14:paraId="38408336">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b/>
                <w:bCs/>
                <w:color w:val="auto"/>
                <w:sz w:val="21"/>
                <w:szCs w:val="21"/>
              </w:rPr>
              <w:t>（2）危废暂存间危险废物泄漏环境风险防范措施</w:t>
            </w:r>
            <w:r>
              <w:rPr>
                <w:rFonts w:hint="eastAsia" w:ascii="Times New Roman" w:hAnsi="Times New Roman" w:cs="Times New Roman"/>
                <w:b/>
                <w:bCs/>
                <w:color w:val="auto"/>
                <w:sz w:val="21"/>
                <w:szCs w:val="21"/>
                <w:lang w:eastAsia="zh-CN"/>
              </w:rPr>
              <w:t>：</w:t>
            </w:r>
            <w:r>
              <w:rPr>
                <w:rFonts w:hint="eastAsia" w:ascii="Times New Roman" w:hAnsi="Times New Roman" w:cs="Times New Roman"/>
                <w:b w:val="0"/>
                <w:bCs w:val="0"/>
                <w:color w:val="auto"/>
                <w:sz w:val="21"/>
                <w:szCs w:val="21"/>
                <w:lang w:eastAsia="zh-CN"/>
              </w:rPr>
              <w:t>危废暂存间按《危险废物贮存污染控制标准》(GB18597-2023)要求进行建设。设置门槛阻止危废溢出，并常备危废泄漏吸收材料（吸收泄漏物后的材料按危废处理）。</w:t>
            </w:r>
          </w:p>
          <w:p w14:paraId="42F9FD60">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b/>
                <w:bCs/>
                <w:color w:val="auto"/>
                <w:sz w:val="21"/>
                <w:szCs w:val="21"/>
              </w:rPr>
              <w:t>（3）废气环保设施故障环境风险防范措施</w:t>
            </w:r>
            <w:r>
              <w:rPr>
                <w:rFonts w:hint="eastAsia" w:ascii="Times New Roman" w:hAnsi="Times New Roman" w:cs="Times New Roman"/>
                <w:b/>
                <w:bCs/>
                <w:color w:val="auto"/>
                <w:sz w:val="21"/>
                <w:szCs w:val="21"/>
                <w:lang w:eastAsia="zh-CN"/>
              </w:rPr>
              <w:t>：</w:t>
            </w:r>
            <w:r>
              <w:rPr>
                <w:rFonts w:hint="eastAsia" w:ascii="Times New Roman" w:hAnsi="Times New Roman" w:cs="Times New Roman"/>
                <w:color w:val="auto"/>
                <w:sz w:val="21"/>
                <w:szCs w:val="21"/>
                <w:lang w:eastAsia="zh-CN"/>
              </w:rPr>
              <w:t>定期对环保设施进行检修，建立台账管理制度，当设备出现故障时，应及时停止生产，并对废气环保设施进行检修。</w:t>
            </w:r>
          </w:p>
          <w:p w14:paraId="43E7C027">
            <w:pPr>
              <w:pStyle w:val="29"/>
              <w:bidi w:val="0"/>
              <w:rPr>
                <w:rFonts w:hint="eastAsia" w:ascii="Times New Roman" w:hAnsi="Times New Roman" w:eastAsia="宋体" w:cs="Times New Roman"/>
                <w:color w:val="auto"/>
                <w:sz w:val="21"/>
                <w:szCs w:val="21"/>
                <w:lang w:eastAsia="zh-CN"/>
              </w:rPr>
            </w:pPr>
            <w:r>
              <w:rPr>
                <w:rFonts w:hint="default" w:ascii="Times New Roman" w:hAnsi="Times New Roman" w:cs="Times New Roman"/>
                <w:b/>
                <w:bCs/>
                <w:color w:val="auto"/>
                <w:sz w:val="21"/>
                <w:szCs w:val="21"/>
              </w:rPr>
              <w:t>（4）火灾、爆炸环境风险防范措施</w:t>
            </w:r>
            <w:r>
              <w:rPr>
                <w:rFonts w:hint="eastAsia" w:ascii="Times New Roman" w:hAnsi="Times New Roman" w:cs="Times New Roman"/>
                <w:b/>
                <w:bCs/>
                <w:color w:val="auto"/>
                <w:sz w:val="21"/>
                <w:szCs w:val="21"/>
                <w:lang w:eastAsia="zh-CN"/>
              </w:rPr>
              <w:t>：</w:t>
            </w:r>
            <w:r>
              <w:rPr>
                <w:rFonts w:hint="eastAsia" w:ascii="Times New Roman" w:hAnsi="Times New Roman" w:cs="Times New Roman"/>
                <w:color w:val="auto"/>
                <w:sz w:val="21"/>
                <w:szCs w:val="21"/>
                <w:lang w:eastAsia="zh-CN"/>
              </w:rPr>
              <w:t>①在厂区设置“严禁烟火”的警示牌，尤其是易燃易爆品所在的区域；②灭火器应布置在明显便于取用的地方，并定期维护检查，确保能正常使用；③制定和落实防火安全责任制及消防安全规章制度，加强对员工的消防知识培训；④对电路定期检修；⑤制定灭火和应急疏散预案，同时设置安全疏散通道。</w:t>
            </w:r>
          </w:p>
          <w:p w14:paraId="2A98FB45">
            <w:pPr>
              <w:pStyle w:val="29"/>
              <w:bidi w:val="0"/>
              <w:rPr>
                <w:rFonts w:hint="default" w:ascii="Times New Roman" w:hAnsi="Times New Roman" w:cs="Times New Roman"/>
                <w:color w:val="auto"/>
                <w:sz w:val="21"/>
                <w:szCs w:val="21"/>
              </w:rPr>
            </w:pPr>
          </w:p>
        </w:tc>
      </w:tr>
      <w:tr w14:paraId="30F75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54" w:type="dxa"/>
            <w:noWrap w:val="0"/>
            <w:vAlign w:val="center"/>
          </w:tcPr>
          <w:p w14:paraId="1E123396">
            <w:pPr>
              <w:adjustRightInd w:val="0"/>
              <w:snapToGrid w:val="0"/>
              <w:jc w:val="center"/>
              <w:rPr>
                <w:rFonts w:hint="eastAsia" w:ascii="宋体" w:hAnsi="宋体" w:cs="宋体"/>
                <w:color w:val="auto"/>
                <w:spacing w:val="-8"/>
                <w:sz w:val="24"/>
                <w:szCs w:val="24"/>
              </w:rPr>
            </w:pPr>
            <w:r>
              <w:rPr>
                <w:rFonts w:hint="eastAsia" w:ascii="宋体" w:hAnsi="宋体" w:cs="宋体"/>
                <w:color w:val="auto"/>
                <w:spacing w:val="-8"/>
                <w:sz w:val="24"/>
                <w:szCs w:val="24"/>
              </w:rPr>
              <w:t>其他环境管理要求</w:t>
            </w:r>
          </w:p>
        </w:tc>
        <w:tc>
          <w:tcPr>
            <w:tcW w:w="7946" w:type="dxa"/>
            <w:gridSpan w:val="5"/>
            <w:noWrap w:val="0"/>
            <w:vAlign w:val="top"/>
          </w:tcPr>
          <w:p w14:paraId="79AF68A6">
            <w:pPr>
              <w:pStyle w:val="29"/>
              <w:bidi w:val="0"/>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1、竣工环境保护验收</w:t>
            </w:r>
          </w:p>
          <w:p w14:paraId="07528F2B">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需要配套建设的环境保护设施，必须与主体工程同时设计、同时施工、同步投产使用。建设单位应按照环境保护行政主管部门规定的标准和程序，对配套建设的环境保护设施进行验收，编制验收报告。除按照国家规定需要保密的情形外，建设单位应当依法向社会公开验收报告。建设项目配套建设的环境保护设施经验收合格，方可投入生产或者使用；未经验收或者验收不合格的，不得投入生产或者使用。</w:t>
            </w:r>
          </w:p>
          <w:p w14:paraId="60F7ED01">
            <w:pPr>
              <w:pStyle w:val="29"/>
              <w:bidi w:val="0"/>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2、排污口规范</w:t>
            </w:r>
          </w:p>
          <w:p w14:paraId="4E808E49">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规范排污口，在厂区“三废”及噪声排放点设置明显标志，标志的设置应执行《环境保护图形标志排放口(源)》（GBl5562.1-1995 含 2023 年修改单）及《环境保护图形-固体废物贮存(处置)场》（GB15562.2-含 2023 年修改单）中有关规定。排放口图形标志见表5-1。</w:t>
            </w:r>
          </w:p>
          <w:p w14:paraId="5F8FF7B7">
            <w:pPr>
              <w:pStyle w:val="31"/>
              <w:bidi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 w:val="18"/>
                <w:szCs w:val="18"/>
                <w:lang w:val="en-US" w:eastAsia="zh-CN"/>
              </w:rPr>
              <w:t>表5-1  排放口图形标志</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1580"/>
              <w:gridCol w:w="1289"/>
              <w:gridCol w:w="1289"/>
              <w:gridCol w:w="1289"/>
              <w:gridCol w:w="1289"/>
            </w:tblGrid>
            <w:tr w14:paraId="33B9F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tcBorders>
                    <w:top w:val="single" w:color="auto" w:sz="12" w:space="0"/>
                    <w:left w:val="nil"/>
                    <w:bottom w:val="single" w:color="auto" w:sz="4" w:space="0"/>
                    <w:right w:val="single" w:color="auto" w:sz="4" w:space="0"/>
                    <w:tl2br w:val="nil"/>
                    <w:tr2bl w:val="nil"/>
                  </w:tcBorders>
                  <w:noWrap w:val="0"/>
                  <w:vAlign w:val="center"/>
                </w:tcPr>
                <w:p w14:paraId="63E5C3CF">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排放口类型</w:t>
                  </w:r>
                </w:p>
              </w:tc>
              <w:tc>
                <w:tcPr>
                  <w:tcW w:w="1602"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20E826EA">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废水排放口</w:t>
                  </w:r>
                </w:p>
              </w:tc>
              <w:tc>
                <w:tcPr>
                  <w:tcW w:w="130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9D247C1">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废气排放口</w:t>
                  </w:r>
                </w:p>
              </w:tc>
              <w:tc>
                <w:tcPr>
                  <w:tcW w:w="130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214516A">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噪声源</w:t>
                  </w:r>
                </w:p>
              </w:tc>
              <w:tc>
                <w:tcPr>
                  <w:tcW w:w="130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7DD8507">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危废贮存、处置场</w:t>
                  </w:r>
                </w:p>
              </w:tc>
              <w:tc>
                <w:tcPr>
                  <w:tcW w:w="1307" w:type="dxa"/>
                  <w:tcBorders>
                    <w:top w:val="single" w:color="auto" w:sz="12" w:space="0"/>
                    <w:left w:val="single" w:color="auto" w:sz="4" w:space="0"/>
                    <w:bottom w:val="single" w:color="auto" w:sz="4" w:space="0"/>
                    <w:right w:val="nil"/>
                    <w:tl2br w:val="nil"/>
                    <w:tr2bl w:val="nil"/>
                  </w:tcBorders>
                  <w:noWrap w:val="0"/>
                  <w:vAlign w:val="center"/>
                </w:tcPr>
                <w:p w14:paraId="20482AFA">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一般固体废物贮存、处置场</w:t>
                  </w:r>
                </w:p>
              </w:tc>
            </w:tr>
            <w:tr w14:paraId="7BD01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tcBorders>
                    <w:top w:val="single" w:color="auto" w:sz="4" w:space="0"/>
                    <w:left w:val="nil"/>
                    <w:bottom w:val="single" w:color="auto" w:sz="4" w:space="0"/>
                    <w:right w:val="single" w:color="auto" w:sz="4" w:space="0"/>
                    <w:tl2br w:val="nil"/>
                    <w:tr2bl w:val="nil"/>
                  </w:tcBorders>
                  <w:noWrap w:val="0"/>
                  <w:vAlign w:val="center"/>
                </w:tcPr>
                <w:p w14:paraId="04E30C40">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图形符号</w:t>
                  </w:r>
                </w:p>
              </w:tc>
              <w:tc>
                <w:tcPr>
                  <w:tcW w:w="160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2E547C">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114300" distR="114300">
                        <wp:extent cx="857885" cy="935990"/>
                        <wp:effectExtent l="0" t="0" r="18415" b="1651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32"/>
                                <a:stretch>
                                  <a:fillRect/>
                                </a:stretch>
                              </pic:blipFill>
                              <pic:spPr>
                                <a:xfrm>
                                  <a:off x="0" y="0"/>
                                  <a:ext cx="857885" cy="935990"/>
                                </a:xfrm>
                                <a:prstGeom prst="rect">
                                  <a:avLst/>
                                </a:prstGeom>
                                <a:noFill/>
                                <a:ln>
                                  <a:noFill/>
                                </a:ln>
                              </pic:spPr>
                            </pic:pic>
                          </a:graphicData>
                        </a:graphic>
                      </wp:inline>
                    </w:drawing>
                  </w:r>
                </w:p>
              </w:tc>
              <w:tc>
                <w:tcPr>
                  <w:tcW w:w="13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D7A68C">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114300" distR="114300">
                        <wp:extent cx="859155" cy="956945"/>
                        <wp:effectExtent l="0" t="0" r="17145" b="146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33"/>
                                <a:stretch>
                                  <a:fillRect/>
                                </a:stretch>
                              </pic:blipFill>
                              <pic:spPr>
                                <a:xfrm>
                                  <a:off x="0" y="0"/>
                                  <a:ext cx="859155" cy="956945"/>
                                </a:xfrm>
                                <a:prstGeom prst="rect">
                                  <a:avLst/>
                                </a:prstGeom>
                                <a:noFill/>
                                <a:ln>
                                  <a:noFill/>
                                </a:ln>
                              </pic:spPr>
                            </pic:pic>
                          </a:graphicData>
                        </a:graphic>
                      </wp:inline>
                    </w:drawing>
                  </w:r>
                </w:p>
              </w:tc>
              <w:tc>
                <w:tcPr>
                  <w:tcW w:w="13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30FBE3">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114300" distR="114300">
                        <wp:extent cx="859155" cy="965835"/>
                        <wp:effectExtent l="0" t="0" r="17145" b="5715"/>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34"/>
                                <a:stretch>
                                  <a:fillRect/>
                                </a:stretch>
                              </pic:blipFill>
                              <pic:spPr>
                                <a:xfrm>
                                  <a:off x="0" y="0"/>
                                  <a:ext cx="859155" cy="965835"/>
                                </a:xfrm>
                                <a:prstGeom prst="rect">
                                  <a:avLst/>
                                </a:prstGeom>
                                <a:noFill/>
                                <a:ln>
                                  <a:noFill/>
                                </a:ln>
                              </pic:spPr>
                            </pic:pic>
                          </a:graphicData>
                        </a:graphic>
                      </wp:inline>
                    </w:drawing>
                  </w:r>
                </w:p>
              </w:tc>
              <w:tc>
                <w:tcPr>
                  <w:tcW w:w="130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A43061">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114300" distR="114300">
                        <wp:extent cx="720725" cy="615315"/>
                        <wp:effectExtent l="0" t="0" r="3175" b="13335"/>
                        <wp:docPr id="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pic:cNvPicPr>
                                  <a:picLocks noChangeAspect="1"/>
                                </pic:cNvPicPr>
                              </pic:nvPicPr>
                              <pic:blipFill>
                                <a:blip r:embed="rId35"/>
                                <a:stretch>
                                  <a:fillRect/>
                                </a:stretch>
                              </pic:blipFill>
                              <pic:spPr>
                                <a:xfrm>
                                  <a:off x="0" y="0"/>
                                  <a:ext cx="720725" cy="615315"/>
                                </a:xfrm>
                                <a:prstGeom prst="rect">
                                  <a:avLst/>
                                </a:prstGeom>
                                <a:noFill/>
                                <a:ln>
                                  <a:noFill/>
                                </a:ln>
                              </pic:spPr>
                            </pic:pic>
                          </a:graphicData>
                        </a:graphic>
                      </wp:inline>
                    </w:drawing>
                  </w:r>
                </w:p>
              </w:tc>
              <w:tc>
                <w:tcPr>
                  <w:tcW w:w="1307" w:type="dxa"/>
                  <w:tcBorders>
                    <w:top w:val="single" w:color="auto" w:sz="4" w:space="0"/>
                    <w:left w:val="single" w:color="auto" w:sz="4" w:space="0"/>
                    <w:bottom w:val="single" w:color="auto" w:sz="4" w:space="0"/>
                    <w:right w:val="nil"/>
                    <w:tl2br w:val="nil"/>
                    <w:tr2bl w:val="nil"/>
                  </w:tcBorders>
                  <w:noWrap w:val="0"/>
                  <w:vAlign w:val="center"/>
                </w:tcPr>
                <w:p w14:paraId="22F9D47D">
                  <w:pPr>
                    <w:pStyle w:val="30"/>
                    <w:spacing w:beforeLines="0" w:afterLine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114300" distR="114300">
                        <wp:extent cx="687705" cy="687705"/>
                        <wp:effectExtent l="0" t="0" r="17145" b="17145"/>
                        <wp:docPr id="1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7"/>
                                <pic:cNvPicPr>
                                  <a:picLocks noChangeAspect="1"/>
                                </pic:cNvPicPr>
                              </pic:nvPicPr>
                              <pic:blipFill>
                                <a:blip r:embed="rId36"/>
                                <a:stretch>
                                  <a:fillRect/>
                                </a:stretch>
                              </pic:blipFill>
                              <pic:spPr>
                                <a:xfrm>
                                  <a:off x="0" y="0"/>
                                  <a:ext cx="687705" cy="687705"/>
                                </a:xfrm>
                                <a:prstGeom prst="rect">
                                  <a:avLst/>
                                </a:prstGeom>
                                <a:noFill/>
                                <a:ln>
                                  <a:noFill/>
                                </a:ln>
                              </pic:spPr>
                            </pic:pic>
                          </a:graphicData>
                        </a:graphic>
                      </wp:inline>
                    </w:drawing>
                  </w:r>
                </w:p>
              </w:tc>
            </w:tr>
            <w:tr w14:paraId="62E31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38" w:type="dxa"/>
                  <w:gridSpan w:val="6"/>
                  <w:tcBorders>
                    <w:top w:val="single" w:color="auto" w:sz="4" w:space="0"/>
                    <w:left w:val="nil"/>
                    <w:bottom w:val="single" w:color="auto" w:sz="12" w:space="0"/>
                    <w:right w:val="nil"/>
                    <w:tl2br w:val="nil"/>
                    <w:tr2bl w:val="nil"/>
                  </w:tcBorders>
                  <w:noWrap w:val="0"/>
                  <w:vAlign w:val="top"/>
                </w:tcPr>
                <w:p w14:paraId="355B249B">
                  <w:pPr>
                    <w:pStyle w:val="30"/>
                    <w:spacing w:beforeLines="0" w:afterLines="0"/>
                    <w:jc w:val="both"/>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一般固体废物贮存、处置场图形形状为三角形边框，背景颜色为黄色，图形颜色为黑色</w:t>
                  </w:r>
                </w:p>
              </w:tc>
            </w:tr>
          </w:tbl>
          <w:p w14:paraId="469F0EFE">
            <w:pPr>
              <w:pStyle w:val="29"/>
              <w:bidi w:val="0"/>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3、排污许可管理制度</w:t>
            </w:r>
          </w:p>
          <w:p w14:paraId="3378529E">
            <w:pPr>
              <w:pStyle w:val="29"/>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本项目建设完成后，应及时在全国排污许可证管理信息平台</w:t>
            </w:r>
            <w:r>
              <w:rPr>
                <w:rFonts w:hint="eastAsia" w:ascii="Times New Roman" w:hAnsi="Times New Roman" w:cs="Times New Roman"/>
                <w:color w:val="auto"/>
                <w:sz w:val="21"/>
                <w:szCs w:val="21"/>
                <w:lang w:val="en-US" w:eastAsia="zh-CN"/>
              </w:rPr>
              <w:t>填报相应内容</w:t>
            </w:r>
            <w:r>
              <w:rPr>
                <w:rFonts w:hint="default" w:ascii="Times New Roman" w:hAnsi="Times New Roman" w:cs="Times New Roman"/>
                <w:color w:val="auto"/>
                <w:sz w:val="21"/>
                <w:szCs w:val="21"/>
              </w:rPr>
              <w:t>。</w:t>
            </w:r>
          </w:p>
          <w:p w14:paraId="4776EF81">
            <w:pPr>
              <w:pStyle w:val="29"/>
              <w:bidi w:val="0"/>
              <w:rPr>
                <w:rFonts w:hint="default" w:ascii="Times New Roman" w:hAnsi="Times New Roman" w:cs="Times New Roman"/>
                <w:color w:val="auto"/>
                <w:sz w:val="21"/>
                <w:szCs w:val="21"/>
              </w:rPr>
            </w:pPr>
          </w:p>
          <w:p w14:paraId="5DBCBAA4">
            <w:pPr>
              <w:pStyle w:val="29"/>
              <w:bidi w:val="0"/>
              <w:rPr>
                <w:rFonts w:hint="default" w:ascii="Times New Roman" w:hAnsi="Times New Roman" w:cs="Times New Roman"/>
                <w:color w:val="auto"/>
                <w:sz w:val="21"/>
                <w:szCs w:val="21"/>
              </w:rPr>
            </w:pPr>
          </w:p>
        </w:tc>
      </w:tr>
    </w:tbl>
    <w:p w14:paraId="405151DD">
      <w:pPr>
        <w:pStyle w:val="14"/>
        <w:jc w:val="center"/>
        <w:outlineLvl w:val="0"/>
        <w:rPr>
          <w:rFonts w:ascii="黑体" w:hAnsi="黑体" w:eastAsia="黑体"/>
          <w:snapToGrid w:val="0"/>
          <w:color w:val="auto"/>
          <w:sz w:val="30"/>
          <w:szCs w:val="30"/>
        </w:rPr>
      </w:pPr>
      <w:r>
        <w:rPr>
          <w:snapToGrid w:val="0"/>
          <w:color w:val="FF0000"/>
        </w:rPr>
        <w:br w:type="page"/>
      </w:r>
      <w:bookmarkStart w:id="14" w:name="_Toc25173"/>
      <w:r>
        <w:rPr>
          <w:rFonts w:hint="eastAsia" w:ascii="黑体" w:hAnsi="黑体" w:eastAsia="黑体"/>
          <w:snapToGrid w:val="0"/>
          <w:color w:val="auto"/>
          <w:sz w:val="30"/>
          <w:szCs w:val="30"/>
        </w:rPr>
        <w:t>六、结论</w:t>
      </w:r>
      <w:bookmarkEnd w:id="14"/>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3FDF9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14320385">
            <w:pPr>
              <w:pStyle w:val="29"/>
              <w:bidi w:val="0"/>
              <w:rPr>
                <w:rFonts w:hint="default" w:ascii="Times New Roman" w:hAnsi="Times New Roman" w:cs="Times New Roman"/>
                <w:color w:val="auto"/>
              </w:rPr>
            </w:pPr>
            <w:r>
              <w:rPr>
                <w:rFonts w:hint="default" w:ascii="Times New Roman" w:hAnsi="Times New Roman" w:cs="Times New Roman"/>
                <w:color w:val="auto"/>
              </w:rPr>
              <w:t>本项目符合国家产业政策，与规划不冲突，符合达标排放、总量控制的原则；项目运营过程中对所在区域的环境质量影响较小，不改变所在区域的环境功能，对环境保护目标不会产生显著影响。</w:t>
            </w:r>
            <w:r>
              <w:rPr>
                <w:rFonts w:hint="eastAsia" w:ascii="Times New Roman" w:hAnsi="Times New Roman" w:cs="Times New Roman"/>
                <w:color w:val="auto"/>
                <w:lang w:val="en-US" w:eastAsia="zh-CN"/>
              </w:rPr>
              <w:t>建设单位</w:t>
            </w:r>
            <w:r>
              <w:rPr>
                <w:rFonts w:hint="default" w:ascii="Times New Roman" w:hAnsi="Times New Roman" w:cs="Times New Roman"/>
                <w:color w:val="auto"/>
              </w:rPr>
              <w:t>需在今后的运营过程中严格按本环境影响报告表中提出的对策措施进行管理经营，严格执行“三同时”制度，加强企业的环境管理，确保污染物达标排放。</w:t>
            </w:r>
          </w:p>
          <w:p w14:paraId="5B1D8767">
            <w:pPr>
              <w:pStyle w:val="29"/>
              <w:bidi w:val="0"/>
              <w:rPr>
                <w:rFonts w:hint="default" w:ascii="Times New Roman" w:hAnsi="Times New Roman" w:cs="Times New Roman"/>
                <w:color w:val="auto"/>
              </w:rPr>
            </w:pPr>
            <w:r>
              <w:rPr>
                <w:rFonts w:hint="default" w:ascii="Times New Roman" w:hAnsi="Times New Roman" w:cs="Times New Roman"/>
                <w:color w:val="auto"/>
              </w:rPr>
              <w:t>综上所述，从环境保护角度分析，建设项目可行。</w:t>
            </w:r>
          </w:p>
          <w:p w14:paraId="7FEAAB7C">
            <w:pPr>
              <w:pStyle w:val="29"/>
              <w:bidi w:val="0"/>
              <w:rPr>
                <w:rFonts w:hint="default" w:ascii="Times New Roman" w:hAnsi="Times New Roman" w:cs="Times New Roman"/>
                <w:color w:val="auto"/>
              </w:rPr>
            </w:pPr>
          </w:p>
          <w:p w14:paraId="6C14AE68">
            <w:pPr>
              <w:pStyle w:val="29"/>
              <w:bidi w:val="0"/>
              <w:rPr>
                <w:rFonts w:hint="default" w:ascii="Times New Roman" w:hAnsi="Times New Roman" w:cs="Times New Roman"/>
                <w:color w:val="FF0000"/>
              </w:rPr>
            </w:pPr>
          </w:p>
          <w:p w14:paraId="7D1EC642">
            <w:pPr>
              <w:pStyle w:val="29"/>
              <w:bidi w:val="0"/>
              <w:rPr>
                <w:rFonts w:hint="default" w:ascii="Times New Roman" w:hAnsi="Times New Roman" w:cs="Times New Roman"/>
                <w:color w:val="FF0000"/>
              </w:rPr>
            </w:pPr>
          </w:p>
          <w:p w14:paraId="643BF694">
            <w:pPr>
              <w:pStyle w:val="29"/>
              <w:bidi w:val="0"/>
              <w:rPr>
                <w:rFonts w:hint="default" w:ascii="Times New Roman" w:hAnsi="Times New Roman" w:cs="Times New Roman"/>
                <w:color w:val="FF0000"/>
              </w:rPr>
            </w:pPr>
          </w:p>
          <w:p w14:paraId="74D1725D">
            <w:pPr>
              <w:pStyle w:val="29"/>
              <w:bidi w:val="0"/>
              <w:rPr>
                <w:rFonts w:hint="default" w:ascii="Times New Roman" w:hAnsi="Times New Roman" w:cs="Times New Roman"/>
                <w:color w:val="FF0000"/>
              </w:rPr>
            </w:pPr>
          </w:p>
        </w:tc>
      </w:tr>
    </w:tbl>
    <w:p w14:paraId="7E80DBFB">
      <w:pPr>
        <w:rPr>
          <w:rFonts w:ascii="宋体"/>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304504C">
      <w:pPr>
        <w:pStyle w:val="14"/>
        <w:keepNext w:val="0"/>
        <w:keepLines w:val="0"/>
        <w:pageBreakBefore w:val="0"/>
        <w:widowControl/>
        <w:kinsoku/>
        <w:wordWrap/>
        <w:overflowPunct/>
        <w:topLinePunct w:val="0"/>
        <w:autoSpaceDE/>
        <w:autoSpaceDN/>
        <w:bidi w:val="0"/>
        <w:adjustRightInd w:val="0"/>
        <w:snapToGrid w:val="0"/>
        <w:spacing w:before="0" w:beforeAutospacing="0" w:after="0" w:afterAutospacing="0" w:line="648" w:lineRule="auto"/>
        <w:textAlignment w:val="auto"/>
        <w:outlineLvl w:val="0"/>
        <w:rPr>
          <w:rFonts w:ascii="黑体" w:hAnsi="黑体" w:eastAsia="黑体"/>
          <w:snapToGrid w:val="0"/>
          <w:color w:val="auto"/>
          <w:sz w:val="32"/>
          <w:szCs w:val="32"/>
        </w:rPr>
      </w:pPr>
      <w:bookmarkStart w:id="15" w:name="_Toc20186"/>
      <w:r>
        <w:rPr>
          <w:rFonts w:hint="eastAsia" w:ascii="黑体" w:hAnsi="黑体" w:eastAsia="黑体"/>
          <w:snapToGrid w:val="0"/>
          <w:color w:val="auto"/>
          <w:sz w:val="32"/>
          <w:szCs w:val="32"/>
        </w:rPr>
        <w:t>附表</w:t>
      </w:r>
      <w:bookmarkEnd w:id="15"/>
    </w:p>
    <w:p w14:paraId="48868D94">
      <w:pPr>
        <w:pStyle w:val="14"/>
        <w:adjustRightInd w:val="0"/>
        <w:snapToGrid w:val="0"/>
        <w:spacing w:before="0" w:beforeAutospacing="0" w:after="0" w:afterAutospacing="0" w:line="552" w:lineRule="auto"/>
        <w:jc w:val="center"/>
        <w:outlineLvl w:val="9"/>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1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64"/>
        <w:gridCol w:w="1747"/>
        <w:gridCol w:w="1335"/>
      </w:tblGrid>
      <w:tr w14:paraId="18073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75318FCC">
            <w:pPr>
              <w:pStyle w:val="45"/>
              <w:spacing w:beforeLines="0" w:afterLines="0" w:line="240" w:lineRule="auto"/>
              <w:jc w:val="right"/>
              <w:rPr>
                <w:rFonts w:hint="eastAsia" w:ascii="黑体" w:hAnsi="黑体" w:eastAsia="黑体" w:cs="宋体"/>
                <w:snapToGrid w:val="0"/>
                <w:color w:val="auto"/>
                <w:spacing w:val="-6"/>
                <w:kern w:val="21"/>
                <w:sz w:val="24"/>
                <w:szCs w:val="24"/>
              </w:rPr>
            </w:pPr>
            <w:r>
              <w:rPr>
                <w:rFonts w:hint="eastAsia" w:ascii="黑体" w:hAnsi="黑体" w:eastAsia="黑体" w:cs="宋体"/>
                <w:snapToGrid w:val="0"/>
                <w:color w:val="auto"/>
                <w:spacing w:val="-6"/>
                <w:kern w:val="21"/>
                <w:sz w:val="24"/>
                <w:szCs w:val="24"/>
              </w:rPr>
              <w:t>项目</w:t>
            </w:r>
          </w:p>
          <w:p w14:paraId="1692D078">
            <w:pPr>
              <w:pStyle w:val="45"/>
              <w:spacing w:beforeLines="0" w:afterLines="0" w:line="240" w:lineRule="auto"/>
              <w:jc w:val="left"/>
              <w:rPr>
                <w:rFonts w:hint="eastAsia" w:ascii="黑体" w:hAnsi="黑体" w:eastAsia="黑体" w:cs="宋体"/>
                <w:snapToGrid w:val="0"/>
                <w:color w:val="auto"/>
                <w:spacing w:val="-6"/>
                <w:kern w:val="21"/>
                <w:sz w:val="24"/>
                <w:szCs w:val="24"/>
              </w:rPr>
            </w:pPr>
            <w:r>
              <w:rPr>
                <w:rFonts w:hint="eastAsia" w:ascii="黑体" w:hAnsi="黑体" w:eastAsia="黑体" w:cs="宋体"/>
                <w:snapToGrid w:val="0"/>
                <w:color w:val="auto"/>
                <w:spacing w:val="-6"/>
                <w:kern w:val="21"/>
                <w:sz w:val="24"/>
                <w:szCs w:val="24"/>
              </w:rPr>
              <w:t>分类</w:t>
            </w:r>
          </w:p>
        </w:tc>
        <w:tc>
          <w:tcPr>
            <w:tcW w:w="1417" w:type="dxa"/>
            <w:noWrap w:val="0"/>
            <w:tcMar>
              <w:left w:w="28" w:type="dxa"/>
              <w:right w:w="28" w:type="dxa"/>
            </w:tcMar>
            <w:vAlign w:val="center"/>
          </w:tcPr>
          <w:p w14:paraId="366EFDF7">
            <w:pPr>
              <w:pStyle w:val="45"/>
              <w:spacing w:beforeLines="0" w:afterLines="0" w:line="240" w:lineRule="auto"/>
              <w:rPr>
                <w:rFonts w:hint="eastAsia" w:ascii="黑体" w:hAnsi="黑体" w:eastAsia="黑体" w:cs="宋体"/>
                <w:snapToGrid w:val="0"/>
                <w:color w:val="auto"/>
                <w:spacing w:val="-6"/>
                <w:kern w:val="21"/>
                <w:sz w:val="24"/>
                <w:szCs w:val="24"/>
              </w:rPr>
            </w:pPr>
            <w:r>
              <w:rPr>
                <w:rFonts w:hint="eastAsia" w:ascii="黑体" w:hAnsi="黑体" w:eastAsia="黑体" w:cs="宋体"/>
                <w:snapToGrid w:val="0"/>
                <w:color w:val="auto"/>
                <w:spacing w:val="-6"/>
                <w:kern w:val="21"/>
                <w:sz w:val="24"/>
                <w:szCs w:val="24"/>
              </w:rPr>
              <w:t>污染物名称</w:t>
            </w:r>
          </w:p>
        </w:tc>
        <w:tc>
          <w:tcPr>
            <w:tcW w:w="1701" w:type="dxa"/>
            <w:noWrap w:val="0"/>
            <w:tcMar>
              <w:left w:w="28" w:type="dxa"/>
              <w:right w:w="28" w:type="dxa"/>
            </w:tcMar>
            <w:vAlign w:val="center"/>
          </w:tcPr>
          <w:p w14:paraId="683081F4">
            <w:pPr>
              <w:pStyle w:val="45"/>
              <w:spacing w:beforeLines="0" w:afterLines="0" w:line="240" w:lineRule="auto"/>
              <w:rPr>
                <w:rFonts w:hint="eastAsia"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现有工程</w:t>
            </w:r>
          </w:p>
          <w:p w14:paraId="4594010E">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排放量（固</w:t>
            </w:r>
            <w:r>
              <w:rPr>
                <w:rFonts w:hint="eastAsia" w:ascii="黑体" w:hAnsi="黑体" w:eastAsia="黑体"/>
                <w:snapToGrid w:val="0"/>
                <w:color w:val="auto"/>
                <w:spacing w:val="-6"/>
                <w:kern w:val="21"/>
                <w:sz w:val="24"/>
                <w:szCs w:val="24"/>
              </w:rPr>
              <w:t>体</w:t>
            </w:r>
            <w:r>
              <w:rPr>
                <w:rFonts w:ascii="黑体" w:hAnsi="黑体" w:eastAsia="黑体"/>
                <w:snapToGrid w:val="0"/>
                <w:color w:val="auto"/>
                <w:spacing w:val="-6"/>
                <w:kern w:val="21"/>
                <w:sz w:val="24"/>
                <w:szCs w:val="24"/>
              </w:rPr>
              <w:t>废</w:t>
            </w:r>
            <w:r>
              <w:rPr>
                <w:rFonts w:hint="eastAsia" w:ascii="黑体" w:hAnsi="黑体" w:eastAsia="黑体"/>
                <w:snapToGrid w:val="0"/>
                <w:color w:val="auto"/>
                <w:spacing w:val="-6"/>
                <w:kern w:val="21"/>
                <w:sz w:val="24"/>
                <w:szCs w:val="24"/>
              </w:rPr>
              <w:t>物</w:t>
            </w:r>
            <w:r>
              <w:rPr>
                <w:rFonts w:ascii="黑体" w:hAnsi="黑体" w:eastAsia="黑体"/>
                <w:snapToGrid w:val="0"/>
                <w:color w:val="auto"/>
                <w:spacing w:val="-6"/>
                <w:kern w:val="21"/>
                <w:sz w:val="24"/>
                <w:szCs w:val="24"/>
              </w:rPr>
              <w:t>产生量）</w:t>
            </w:r>
            <w:r>
              <w:rPr>
                <w:rFonts w:ascii="黑体" w:hAnsi="黑体" w:eastAsia="黑体"/>
                <w:snapToGrid w:val="0"/>
                <w:color w:val="auto"/>
                <w:spacing w:val="-6"/>
                <w:kern w:val="21"/>
                <w:sz w:val="24"/>
                <w:szCs w:val="24"/>
              </w:rPr>
              <w:fldChar w:fldCharType="begin"/>
            </w:r>
            <w:r>
              <w:rPr>
                <w:rFonts w:ascii="黑体" w:hAnsi="黑体" w:eastAsia="黑体"/>
                <w:snapToGrid w:val="0"/>
                <w:color w:val="auto"/>
                <w:spacing w:val="-6"/>
                <w:kern w:val="21"/>
                <w:sz w:val="24"/>
                <w:szCs w:val="24"/>
              </w:rPr>
              <w:instrText xml:space="preserve"> = 1 \* GB3 \* MERGEFORMAT </w:instrText>
            </w:r>
            <w:r>
              <w:rPr>
                <w:rFonts w:ascii="黑体" w:hAnsi="黑体" w:eastAsia="黑体"/>
                <w:snapToGrid w:val="0"/>
                <w:color w:val="auto"/>
                <w:spacing w:val="-6"/>
                <w:kern w:val="21"/>
                <w:sz w:val="24"/>
                <w:szCs w:val="24"/>
              </w:rPr>
              <w:fldChar w:fldCharType="separate"/>
            </w:r>
            <w:r>
              <w:rPr>
                <w:rFonts w:hint="eastAsia" w:ascii="黑体" w:hAnsi="黑体" w:eastAsia="黑体" w:cs="宋体"/>
                <w:color w:val="auto"/>
                <w:kern w:val="2"/>
                <w:sz w:val="24"/>
                <w:szCs w:val="24"/>
              </w:rPr>
              <w:t>①</w:t>
            </w:r>
            <w:r>
              <w:rPr>
                <w:rFonts w:ascii="黑体" w:hAnsi="黑体" w:eastAsia="黑体"/>
                <w:snapToGrid w:val="0"/>
                <w:color w:val="auto"/>
                <w:spacing w:val="-6"/>
                <w:kern w:val="21"/>
                <w:sz w:val="24"/>
                <w:szCs w:val="24"/>
              </w:rPr>
              <w:fldChar w:fldCharType="end"/>
            </w:r>
          </w:p>
        </w:tc>
        <w:tc>
          <w:tcPr>
            <w:tcW w:w="1276" w:type="dxa"/>
            <w:noWrap w:val="0"/>
            <w:tcMar>
              <w:left w:w="28" w:type="dxa"/>
              <w:right w:w="28" w:type="dxa"/>
            </w:tcMar>
            <w:vAlign w:val="center"/>
          </w:tcPr>
          <w:p w14:paraId="10A7AFBA">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现有工程</w:t>
            </w:r>
          </w:p>
          <w:p w14:paraId="7F99AD5B">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许可排放量</w:t>
            </w:r>
          </w:p>
          <w:p w14:paraId="6E9839B6">
            <w:pPr>
              <w:pStyle w:val="45"/>
              <w:spacing w:beforeLines="0" w:afterLines="0"/>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fldChar w:fldCharType="begin"/>
            </w:r>
            <w:r>
              <w:rPr>
                <w:rFonts w:ascii="黑体" w:hAnsi="黑体" w:eastAsia="黑体"/>
                <w:snapToGrid w:val="0"/>
                <w:color w:val="auto"/>
                <w:spacing w:val="-6"/>
                <w:kern w:val="21"/>
                <w:sz w:val="24"/>
                <w:szCs w:val="24"/>
              </w:rPr>
              <w:instrText xml:space="preserve"> = 2 \* GB3 \* MERGEFORMAT </w:instrText>
            </w:r>
            <w:r>
              <w:rPr>
                <w:rFonts w:ascii="黑体" w:hAnsi="黑体" w:eastAsia="黑体"/>
                <w:snapToGrid w:val="0"/>
                <w:color w:val="auto"/>
                <w:spacing w:val="-6"/>
                <w:kern w:val="21"/>
                <w:sz w:val="24"/>
                <w:szCs w:val="24"/>
              </w:rPr>
              <w:fldChar w:fldCharType="separate"/>
            </w:r>
            <w:r>
              <w:rPr>
                <w:rFonts w:hint="eastAsia" w:ascii="黑体" w:hAnsi="黑体" w:eastAsia="黑体" w:cs="宋体"/>
                <w:snapToGrid w:val="0"/>
                <w:color w:val="auto"/>
                <w:spacing w:val="-6"/>
                <w:kern w:val="21"/>
                <w:sz w:val="24"/>
                <w:szCs w:val="24"/>
              </w:rPr>
              <w:t>②</w:t>
            </w:r>
            <w:r>
              <w:rPr>
                <w:rFonts w:ascii="黑体" w:hAnsi="黑体" w:eastAsia="黑体"/>
                <w:snapToGrid w:val="0"/>
                <w:color w:val="auto"/>
                <w:spacing w:val="-6"/>
                <w:kern w:val="21"/>
                <w:sz w:val="24"/>
                <w:szCs w:val="24"/>
              </w:rPr>
              <w:fldChar w:fldCharType="end"/>
            </w:r>
          </w:p>
        </w:tc>
        <w:tc>
          <w:tcPr>
            <w:tcW w:w="1701" w:type="dxa"/>
            <w:noWrap w:val="0"/>
            <w:tcMar>
              <w:left w:w="28" w:type="dxa"/>
              <w:right w:w="28" w:type="dxa"/>
            </w:tcMar>
            <w:vAlign w:val="center"/>
          </w:tcPr>
          <w:p w14:paraId="183BC742">
            <w:pPr>
              <w:pStyle w:val="45"/>
              <w:spacing w:beforeLines="0" w:afterLines="0" w:line="240" w:lineRule="auto"/>
              <w:rPr>
                <w:rFonts w:hint="eastAsia"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在建工程</w:t>
            </w:r>
          </w:p>
          <w:p w14:paraId="7DA0B179">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排放量（固</w:t>
            </w:r>
            <w:r>
              <w:rPr>
                <w:rFonts w:hint="eastAsia" w:ascii="黑体" w:hAnsi="黑体" w:eastAsia="黑体"/>
                <w:snapToGrid w:val="0"/>
                <w:color w:val="auto"/>
                <w:spacing w:val="-6"/>
                <w:kern w:val="21"/>
                <w:sz w:val="24"/>
                <w:szCs w:val="24"/>
              </w:rPr>
              <w:t>体</w:t>
            </w:r>
            <w:r>
              <w:rPr>
                <w:rFonts w:ascii="黑体" w:hAnsi="黑体" w:eastAsia="黑体"/>
                <w:snapToGrid w:val="0"/>
                <w:color w:val="auto"/>
                <w:spacing w:val="-6"/>
                <w:kern w:val="21"/>
                <w:sz w:val="24"/>
                <w:szCs w:val="24"/>
              </w:rPr>
              <w:t>废</w:t>
            </w:r>
            <w:r>
              <w:rPr>
                <w:rFonts w:hint="eastAsia" w:ascii="黑体" w:hAnsi="黑体" w:eastAsia="黑体"/>
                <w:snapToGrid w:val="0"/>
                <w:color w:val="auto"/>
                <w:spacing w:val="-6"/>
                <w:kern w:val="21"/>
                <w:sz w:val="24"/>
                <w:szCs w:val="24"/>
              </w:rPr>
              <w:t>物</w:t>
            </w:r>
            <w:r>
              <w:rPr>
                <w:rFonts w:ascii="黑体" w:hAnsi="黑体" w:eastAsia="黑体"/>
                <w:snapToGrid w:val="0"/>
                <w:color w:val="auto"/>
                <w:spacing w:val="-6"/>
                <w:kern w:val="21"/>
                <w:sz w:val="24"/>
                <w:szCs w:val="24"/>
              </w:rPr>
              <w:t>产生量）</w:t>
            </w:r>
            <w:r>
              <w:rPr>
                <w:rFonts w:ascii="黑体" w:hAnsi="黑体" w:eastAsia="黑体"/>
                <w:snapToGrid w:val="0"/>
                <w:color w:val="auto"/>
                <w:spacing w:val="-6"/>
                <w:kern w:val="21"/>
                <w:sz w:val="24"/>
                <w:szCs w:val="24"/>
              </w:rPr>
              <w:fldChar w:fldCharType="begin"/>
            </w:r>
            <w:r>
              <w:rPr>
                <w:rFonts w:ascii="黑体" w:hAnsi="黑体" w:eastAsia="黑体"/>
                <w:snapToGrid w:val="0"/>
                <w:color w:val="auto"/>
                <w:spacing w:val="-6"/>
                <w:kern w:val="21"/>
                <w:sz w:val="24"/>
                <w:szCs w:val="24"/>
              </w:rPr>
              <w:instrText xml:space="preserve"> = 3 \* GB3 \* MERGEFORMAT </w:instrText>
            </w:r>
            <w:r>
              <w:rPr>
                <w:rFonts w:ascii="黑体" w:hAnsi="黑体" w:eastAsia="黑体"/>
                <w:snapToGrid w:val="0"/>
                <w:color w:val="auto"/>
                <w:spacing w:val="-6"/>
                <w:kern w:val="21"/>
                <w:sz w:val="24"/>
                <w:szCs w:val="24"/>
              </w:rPr>
              <w:fldChar w:fldCharType="separate"/>
            </w:r>
            <w:r>
              <w:rPr>
                <w:rFonts w:hint="eastAsia" w:ascii="黑体" w:hAnsi="黑体" w:eastAsia="黑体" w:cs="宋体"/>
                <w:color w:val="auto"/>
                <w:kern w:val="2"/>
                <w:sz w:val="24"/>
                <w:szCs w:val="24"/>
              </w:rPr>
              <w:t>③</w:t>
            </w:r>
            <w:r>
              <w:rPr>
                <w:rFonts w:ascii="黑体" w:hAnsi="黑体" w:eastAsia="黑体"/>
                <w:snapToGrid w:val="0"/>
                <w:color w:val="auto"/>
                <w:spacing w:val="-6"/>
                <w:kern w:val="21"/>
                <w:sz w:val="24"/>
                <w:szCs w:val="24"/>
              </w:rPr>
              <w:fldChar w:fldCharType="end"/>
            </w:r>
          </w:p>
        </w:tc>
        <w:tc>
          <w:tcPr>
            <w:tcW w:w="1559" w:type="dxa"/>
            <w:noWrap w:val="0"/>
            <w:tcMar>
              <w:left w:w="28" w:type="dxa"/>
              <w:right w:w="28" w:type="dxa"/>
            </w:tcMar>
            <w:vAlign w:val="center"/>
          </w:tcPr>
          <w:p w14:paraId="064AB49A">
            <w:pPr>
              <w:pStyle w:val="45"/>
              <w:spacing w:beforeLines="0" w:afterLines="0" w:line="240" w:lineRule="auto"/>
              <w:rPr>
                <w:rFonts w:hint="eastAsia"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本项目</w:t>
            </w:r>
          </w:p>
          <w:p w14:paraId="32153F3C">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排放量（固</w:t>
            </w:r>
            <w:r>
              <w:rPr>
                <w:rFonts w:hint="eastAsia" w:ascii="黑体" w:hAnsi="黑体" w:eastAsia="黑体"/>
                <w:snapToGrid w:val="0"/>
                <w:color w:val="auto"/>
                <w:spacing w:val="-6"/>
                <w:kern w:val="21"/>
                <w:sz w:val="24"/>
                <w:szCs w:val="24"/>
              </w:rPr>
              <w:t>体</w:t>
            </w:r>
            <w:r>
              <w:rPr>
                <w:rFonts w:ascii="黑体" w:hAnsi="黑体" w:eastAsia="黑体"/>
                <w:snapToGrid w:val="0"/>
                <w:color w:val="auto"/>
                <w:spacing w:val="-6"/>
                <w:kern w:val="21"/>
                <w:sz w:val="24"/>
                <w:szCs w:val="24"/>
              </w:rPr>
              <w:t>废</w:t>
            </w:r>
            <w:r>
              <w:rPr>
                <w:rFonts w:hint="eastAsia" w:ascii="黑体" w:hAnsi="黑体" w:eastAsia="黑体"/>
                <w:snapToGrid w:val="0"/>
                <w:color w:val="auto"/>
                <w:spacing w:val="-6"/>
                <w:kern w:val="21"/>
                <w:sz w:val="24"/>
                <w:szCs w:val="24"/>
              </w:rPr>
              <w:t>物</w:t>
            </w:r>
            <w:r>
              <w:rPr>
                <w:rFonts w:ascii="黑体" w:hAnsi="黑体" w:eastAsia="黑体"/>
                <w:snapToGrid w:val="0"/>
                <w:color w:val="auto"/>
                <w:spacing w:val="-6"/>
                <w:kern w:val="21"/>
                <w:sz w:val="24"/>
                <w:szCs w:val="24"/>
              </w:rPr>
              <w:t>产生量）</w:t>
            </w:r>
            <w:r>
              <w:rPr>
                <w:rFonts w:ascii="黑体" w:hAnsi="黑体" w:eastAsia="黑体"/>
                <w:snapToGrid w:val="0"/>
                <w:color w:val="auto"/>
                <w:spacing w:val="-6"/>
                <w:kern w:val="21"/>
                <w:sz w:val="24"/>
                <w:szCs w:val="24"/>
              </w:rPr>
              <w:fldChar w:fldCharType="begin"/>
            </w:r>
            <w:r>
              <w:rPr>
                <w:rFonts w:ascii="黑体" w:hAnsi="黑体" w:eastAsia="黑体"/>
                <w:snapToGrid w:val="0"/>
                <w:color w:val="auto"/>
                <w:spacing w:val="-6"/>
                <w:kern w:val="21"/>
                <w:sz w:val="24"/>
                <w:szCs w:val="24"/>
              </w:rPr>
              <w:instrText xml:space="preserve"> = 4 \* GB3 \* MERGEFORMAT </w:instrText>
            </w:r>
            <w:r>
              <w:rPr>
                <w:rFonts w:ascii="黑体" w:hAnsi="黑体" w:eastAsia="黑体"/>
                <w:snapToGrid w:val="0"/>
                <w:color w:val="auto"/>
                <w:spacing w:val="-6"/>
                <w:kern w:val="21"/>
                <w:sz w:val="24"/>
                <w:szCs w:val="24"/>
              </w:rPr>
              <w:fldChar w:fldCharType="separate"/>
            </w:r>
            <w:r>
              <w:rPr>
                <w:rFonts w:hint="eastAsia" w:ascii="黑体" w:hAnsi="黑体" w:eastAsia="黑体" w:cs="宋体"/>
                <w:color w:val="auto"/>
                <w:kern w:val="2"/>
                <w:sz w:val="24"/>
                <w:szCs w:val="24"/>
              </w:rPr>
              <w:t>④</w:t>
            </w:r>
            <w:r>
              <w:rPr>
                <w:rFonts w:ascii="黑体" w:hAnsi="黑体" w:eastAsia="黑体"/>
                <w:snapToGrid w:val="0"/>
                <w:color w:val="auto"/>
                <w:spacing w:val="-6"/>
                <w:kern w:val="21"/>
                <w:sz w:val="24"/>
                <w:szCs w:val="24"/>
              </w:rPr>
              <w:fldChar w:fldCharType="end"/>
            </w:r>
          </w:p>
        </w:tc>
        <w:tc>
          <w:tcPr>
            <w:tcW w:w="1464" w:type="dxa"/>
            <w:noWrap w:val="0"/>
            <w:tcMar>
              <w:left w:w="28" w:type="dxa"/>
              <w:right w:w="28" w:type="dxa"/>
            </w:tcMar>
            <w:vAlign w:val="center"/>
          </w:tcPr>
          <w:p w14:paraId="10B7F06A">
            <w:pPr>
              <w:pStyle w:val="45"/>
              <w:spacing w:beforeLines="0" w:afterLines="0" w:line="240" w:lineRule="auto"/>
              <w:rPr>
                <w:rFonts w:ascii="黑体" w:hAnsi="黑体" w:eastAsia="黑体"/>
                <w:snapToGrid w:val="0"/>
                <w:color w:val="auto"/>
                <w:spacing w:val="-16"/>
                <w:kern w:val="21"/>
                <w:sz w:val="24"/>
                <w:szCs w:val="24"/>
              </w:rPr>
            </w:pPr>
            <w:r>
              <w:rPr>
                <w:rFonts w:ascii="黑体" w:hAnsi="黑体" w:eastAsia="黑体"/>
                <w:snapToGrid w:val="0"/>
                <w:color w:val="auto"/>
                <w:spacing w:val="-16"/>
                <w:kern w:val="21"/>
                <w:sz w:val="24"/>
                <w:szCs w:val="24"/>
              </w:rPr>
              <w:t>以新带老削减量（新建项目不填）</w:t>
            </w:r>
            <w:r>
              <w:rPr>
                <w:rFonts w:ascii="黑体" w:hAnsi="黑体" w:eastAsia="黑体"/>
                <w:snapToGrid w:val="0"/>
                <w:color w:val="auto"/>
                <w:spacing w:val="-16"/>
                <w:kern w:val="21"/>
                <w:sz w:val="24"/>
                <w:szCs w:val="24"/>
              </w:rPr>
              <w:fldChar w:fldCharType="begin"/>
            </w:r>
            <w:r>
              <w:rPr>
                <w:rFonts w:ascii="黑体" w:hAnsi="黑体" w:eastAsia="黑体"/>
                <w:snapToGrid w:val="0"/>
                <w:color w:val="auto"/>
                <w:spacing w:val="-16"/>
                <w:kern w:val="21"/>
                <w:sz w:val="24"/>
                <w:szCs w:val="24"/>
              </w:rPr>
              <w:instrText xml:space="preserve"> = 5 \* GB3 \* MERGEFORMAT </w:instrText>
            </w:r>
            <w:r>
              <w:rPr>
                <w:rFonts w:ascii="黑体" w:hAnsi="黑体" w:eastAsia="黑体"/>
                <w:snapToGrid w:val="0"/>
                <w:color w:val="auto"/>
                <w:spacing w:val="-16"/>
                <w:kern w:val="21"/>
                <w:sz w:val="24"/>
                <w:szCs w:val="24"/>
              </w:rPr>
              <w:fldChar w:fldCharType="separate"/>
            </w:r>
            <w:r>
              <w:rPr>
                <w:rFonts w:hint="eastAsia" w:ascii="黑体" w:hAnsi="黑体" w:eastAsia="黑体" w:cs="宋体"/>
                <w:color w:val="auto"/>
                <w:kern w:val="2"/>
                <w:sz w:val="24"/>
                <w:szCs w:val="24"/>
              </w:rPr>
              <w:t>⑤</w:t>
            </w:r>
            <w:r>
              <w:rPr>
                <w:rFonts w:ascii="黑体" w:hAnsi="黑体" w:eastAsia="黑体"/>
                <w:snapToGrid w:val="0"/>
                <w:color w:val="auto"/>
                <w:spacing w:val="-16"/>
                <w:kern w:val="21"/>
                <w:sz w:val="24"/>
                <w:szCs w:val="24"/>
              </w:rPr>
              <w:fldChar w:fldCharType="end"/>
            </w:r>
          </w:p>
        </w:tc>
        <w:tc>
          <w:tcPr>
            <w:tcW w:w="1747" w:type="dxa"/>
            <w:noWrap w:val="0"/>
            <w:tcMar>
              <w:left w:w="28" w:type="dxa"/>
              <w:right w:w="28" w:type="dxa"/>
            </w:tcMar>
            <w:vAlign w:val="center"/>
          </w:tcPr>
          <w:p w14:paraId="15F7A4D3">
            <w:pPr>
              <w:pStyle w:val="45"/>
              <w:spacing w:beforeLines="0" w:afterLines="0" w:line="240" w:lineRule="auto"/>
              <w:rPr>
                <w:rFonts w:hint="eastAsia" w:ascii="黑体" w:hAnsi="黑体" w:eastAsia="黑体"/>
                <w:snapToGrid w:val="0"/>
                <w:color w:val="auto"/>
                <w:spacing w:val="-16"/>
                <w:kern w:val="21"/>
                <w:sz w:val="24"/>
                <w:szCs w:val="24"/>
              </w:rPr>
            </w:pPr>
            <w:r>
              <w:rPr>
                <w:rFonts w:ascii="黑体" w:hAnsi="黑体" w:eastAsia="黑体"/>
                <w:snapToGrid w:val="0"/>
                <w:color w:val="auto"/>
                <w:spacing w:val="-16"/>
                <w:kern w:val="21"/>
                <w:sz w:val="24"/>
                <w:szCs w:val="24"/>
              </w:rPr>
              <w:t>本项目建成后</w:t>
            </w:r>
          </w:p>
          <w:p w14:paraId="76CE5B44">
            <w:pPr>
              <w:pStyle w:val="45"/>
              <w:spacing w:beforeLines="0" w:afterLines="0" w:line="240" w:lineRule="auto"/>
              <w:rPr>
                <w:rFonts w:ascii="黑体" w:hAnsi="黑体" w:eastAsia="黑体"/>
                <w:snapToGrid w:val="0"/>
                <w:color w:val="auto"/>
                <w:spacing w:val="-16"/>
                <w:kern w:val="21"/>
                <w:sz w:val="24"/>
                <w:szCs w:val="24"/>
              </w:rPr>
            </w:pPr>
            <w:r>
              <w:rPr>
                <w:rFonts w:hint="eastAsia" w:ascii="黑体" w:hAnsi="黑体" w:eastAsia="黑体"/>
                <w:snapToGrid w:val="0"/>
                <w:color w:val="auto"/>
                <w:spacing w:val="-16"/>
                <w:kern w:val="21"/>
                <w:sz w:val="24"/>
                <w:szCs w:val="24"/>
              </w:rPr>
              <w:t>全厂</w:t>
            </w:r>
            <w:r>
              <w:rPr>
                <w:rFonts w:ascii="黑体" w:hAnsi="黑体" w:eastAsia="黑体"/>
                <w:snapToGrid w:val="0"/>
                <w:color w:val="auto"/>
                <w:spacing w:val="-16"/>
                <w:kern w:val="21"/>
                <w:sz w:val="24"/>
                <w:szCs w:val="24"/>
              </w:rPr>
              <w:t>排放量（固</w:t>
            </w:r>
            <w:r>
              <w:rPr>
                <w:rFonts w:hint="eastAsia" w:ascii="黑体" w:hAnsi="黑体" w:eastAsia="黑体"/>
                <w:snapToGrid w:val="0"/>
                <w:color w:val="auto"/>
                <w:spacing w:val="-16"/>
                <w:kern w:val="21"/>
                <w:sz w:val="24"/>
                <w:szCs w:val="24"/>
              </w:rPr>
              <w:t>体</w:t>
            </w:r>
            <w:r>
              <w:rPr>
                <w:rFonts w:ascii="黑体" w:hAnsi="黑体" w:eastAsia="黑体"/>
                <w:snapToGrid w:val="0"/>
                <w:color w:val="auto"/>
                <w:spacing w:val="-16"/>
                <w:kern w:val="21"/>
                <w:sz w:val="24"/>
                <w:szCs w:val="24"/>
              </w:rPr>
              <w:t>废</w:t>
            </w:r>
            <w:r>
              <w:rPr>
                <w:rFonts w:hint="eastAsia" w:ascii="黑体" w:hAnsi="黑体" w:eastAsia="黑体"/>
                <w:snapToGrid w:val="0"/>
                <w:color w:val="auto"/>
                <w:spacing w:val="-16"/>
                <w:kern w:val="21"/>
                <w:sz w:val="24"/>
                <w:szCs w:val="24"/>
              </w:rPr>
              <w:t>物</w:t>
            </w:r>
            <w:r>
              <w:rPr>
                <w:rFonts w:ascii="黑体" w:hAnsi="黑体" w:eastAsia="黑体"/>
                <w:snapToGrid w:val="0"/>
                <w:color w:val="auto"/>
                <w:spacing w:val="-16"/>
                <w:kern w:val="21"/>
                <w:sz w:val="24"/>
                <w:szCs w:val="24"/>
              </w:rPr>
              <w:t>产生量）</w:t>
            </w:r>
            <w:r>
              <w:rPr>
                <w:rFonts w:ascii="黑体" w:hAnsi="黑体" w:eastAsia="黑体"/>
                <w:snapToGrid w:val="0"/>
                <w:color w:val="auto"/>
                <w:spacing w:val="-16"/>
                <w:kern w:val="21"/>
                <w:sz w:val="24"/>
                <w:szCs w:val="24"/>
              </w:rPr>
              <w:fldChar w:fldCharType="begin"/>
            </w:r>
            <w:r>
              <w:rPr>
                <w:rFonts w:ascii="黑体" w:hAnsi="黑体" w:eastAsia="黑体"/>
                <w:snapToGrid w:val="0"/>
                <w:color w:val="auto"/>
                <w:spacing w:val="-16"/>
                <w:kern w:val="21"/>
                <w:sz w:val="24"/>
                <w:szCs w:val="24"/>
              </w:rPr>
              <w:instrText xml:space="preserve"> = 6 \* GB3 \* MERGEFORMAT </w:instrText>
            </w:r>
            <w:r>
              <w:rPr>
                <w:rFonts w:ascii="黑体" w:hAnsi="黑体" w:eastAsia="黑体"/>
                <w:snapToGrid w:val="0"/>
                <w:color w:val="auto"/>
                <w:spacing w:val="-16"/>
                <w:kern w:val="21"/>
                <w:sz w:val="24"/>
                <w:szCs w:val="24"/>
              </w:rPr>
              <w:fldChar w:fldCharType="separate"/>
            </w:r>
            <w:r>
              <w:rPr>
                <w:rFonts w:hint="eastAsia" w:ascii="黑体" w:hAnsi="黑体" w:eastAsia="黑体" w:cs="宋体"/>
                <w:color w:val="auto"/>
                <w:kern w:val="2"/>
                <w:sz w:val="24"/>
                <w:szCs w:val="24"/>
              </w:rPr>
              <w:t>⑥</w:t>
            </w:r>
            <w:r>
              <w:rPr>
                <w:rFonts w:ascii="黑体" w:hAnsi="黑体" w:eastAsia="黑体"/>
                <w:snapToGrid w:val="0"/>
                <w:color w:val="auto"/>
                <w:spacing w:val="-16"/>
                <w:kern w:val="21"/>
                <w:sz w:val="24"/>
                <w:szCs w:val="24"/>
              </w:rPr>
              <w:fldChar w:fldCharType="end"/>
            </w:r>
          </w:p>
        </w:tc>
        <w:tc>
          <w:tcPr>
            <w:tcW w:w="1335" w:type="dxa"/>
            <w:noWrap w:val="0"/>
            <w:tcMar>
              <w:left w:w="28" w:type="dxa"/>
              <w:right w:w="28" w:type="dxa"/>
            </w:tcMar>
            <w:vAlign w:val="center"/>
          </w:tcPr>
          <w:p w14:paraId="72FE676F">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t>变化量</w:t>
            </w:r>
          </w:p>
          <w:p w14:paraId="4C7359A4">
            <w:pPr>
              <w:pStyle w:val="45"/>
              <w:spacing w:beforeLines="0" w:afterLines="0" w:line="240" w:lineRule="auto"/>
              <w:rPr>
                <w:rFonts w:ascii="黑体" w:hAnsi="黑体" w:eastAsia="黑体"/>
                <w:snapToGrid w:val="0"/>
                <w:color w:val="auto"/>
                <w:spacing w:val="-6"/>
                <w:kern w:val="21"/>
                <w:sz w:val="24"/>
                <w:szCs w:val="24"/>
              </w:rPr>
            </w:pPr>
            <w:r>
              <w:rPr>
                <w:rFonts w:ascii="黑体" w:hAnsi="黑体" w:eastAsia="黑体"/>
                <w:snapToGrid w:val="0"/>
                <w:color w:val="auto"/>
                <w:spacing w:val="-6"/>
                <w:kern w:val="21"/>
                <w:sz w:val="24"/>
                <w:szCs w:val="24"/>
              </w:rPr>
              <w:fldChar w:fldCharType="begin"/>
            </w:r>
            <w:r>
              <w:rPr>
                <w:rFonts w:ascii="黑体" w:hAnsi="黑体" w:eastAsia="黑体"/>
                <w:snapToGrid w:val="0"/>
                <w:color w:val="auto"/>
                <w:spacing w:val="-6"/>
                <w:kern w:val="21"/>
                <w:sz w:val="24"/>
                <w:szCs w:val="24"/>
              </w:rPr>
              <w:instrText xml:space="preserve"> = 7 \* GB3 \* MERGEFORMAT </w:instrText>
            </w:r>
            <w:r>
              <w:rPr>
                <w:rFonts w:ascii="黑体" w:hAnsi="黑体" w:eastAsia="黑体"/>
                <w:snapToGrid w:val="0"/>
                <w:color w:val="auto"/>
                <w:spacing w:val="-6"/>
                <w:kern w:val="21"/>
                <w:sz w:val="24"/>
                <w:szCs w:val="24"/>
              </w:rPr>
              <w:fldChar w:fldCharType="separate"/>
            </w:r>
            <w:r>
              <w:rPr>
                <w:rFonts w:hint="eastAsia" w:ascii="黑体" w:hAnsi="黑体" w:eastAsia="黑体" w:cs="宋体"/>
                <w:color w:val="auto"/>
                <w:kern w:val="2"/>
                <w:sz w:val="24"/>
                <w:szCs w:val="24"/>
              </w:rPr>
              <w:t>⑦</w:t>
            </w:r>
            <w:r>
              <w:rPr>
                <w:rFonts w:ascii="黑体" w:hAnsi="黑体" w:eastAsia="黑体"/>
                <w:snapToGrid w:val="0"/>
                <w:color w:val="auto"/>
                <w:spacing w:val="-6"/>
                <w:kern w:val="21"/>
                <w:sz w:val="24"/>
                <w:szCs w:val="24"/>
              </w:rPr>
              <w:fldChar w:fldCharType="end"/>
            </w:r>
          </w:p>
        </w:tc>
      </w:tr>
      <w:tr w14:paraId="49EAC1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78FAB3D5">
            <w:pPr>
              <w:pStyle w:val="45"/>
              <w:spacing w:beforeLines="0" w:afterLines="0" w:line="240" w:lineRule="auto"/>
              <w:rPr>
                <w:rFonts w:hint="eastAsia" w:hAnsi="宋体" w:cs="宋体"/>
                <w:snapToGrid w:val="0"/>
                <w:color w:val="auto"/>
                <w:kern w:val="21"/>
                <w:sz w:val="24"/>
                <w:szCs w:val="24"/>
              </w:rPr>
            </w:pPr>
            <w:r>
              <w:rPr>
                <w:rFonts w:hint="eastAsia" w:hAnsi="宋体" w:cs="宋体"/>
                <w:snapToGrid w:val="0"/>
                <w:color w:val="auto"/>
                <w:kern w:val="21"/>
                <w:sz w:val="24"/>
                <w:szCs w:val="24"/>
              </w:rPr>
              <w:t>废气</w:t>
            </w:r>
          </w:p>
        </w:tc>
        <w:tc>
          <w:tcPr>
            <w:tcW w:w="1417" w:type="dxa"/>
            <w:noWrap w:val="0"/>
            <w:vAlign w:val="center"/>
          </w:tcPr>
          <w:p w14:paraId="2100E5F7">
            <w:pPr>
              <w:pStyle w:val="30"/>
              <w:spacing w:beforeLines="0" w:afterLines="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颗粒物</w:t>
            </w:r>
          </w:p>
        </w:tc>
        <w:tc>
          <w:tcPr>
            <w:tcW w:w="1701" w:type="dxa"/>
            <w:noWrap w:val="0"/>
            <w:vAlign w:val="center"/>
          </w:tcPr>
          <w:p w14:paraId="66425330">
            <w:pPr>
              <w:pStyle w:val="45"/>
              <w:spacing w:beforeLines="0" w:afterLines="0" w:line="240" w:lineRule="auto"/>
              <w:rPr>
                <w:rFonts w:hint="default" w:ascii="Times New Roman" w:hAnsi="Times New Roman" w:cs="Times New Roman"/>
                <w:snapToGrid w:val="0"/>
                <w:color w:val="auto"/>
                <w:kern w:val="21"/>
                <w:sz w:val="21"/>
                <w:szCs w:val="21"/>
              </w:rPr>
            </w:pPr>
          </w:p>
        </w:tc>
        <w:tc>
          <w:tcPr>
            <w:tcW w:w="1276" w:type="dxa"/>
            <w:noWrap w:val="0"/>
            <w:vAlign w:val="center"/>
          </w:tcPr>
          <w:p w14:paraId="3D12B08A">
            <w:pPr>
              <w:pStyle w:val="45"/>
              <w:spacing w:beforeLines="0" w:afterLines="0" w:line="240" w:lineRule="auto"/>
              <w:rPr>
                <w:rFonts w:hint="default" w:ascii="Times New Roman" w:hAnsi="Times New Roman" w:cs="Times New Roman"/>
                <w:snapToGrid w:val="0"/>
                <w:color w:val="auto"/>
                <w:kern w:val="21"/>
                <w:sz w:val="21"/>
                <w:szCs w:val="21"/>
              </w:rPr>
            </w:pPr>
          </w:p>
        </w:tc>
        <w:tc>
          <w:tcPr>
            <w:tcW w:w="1701" w:type="dxa"/>
            <w:noWrap w:val="0"/>
            <w:vAlign w:val="center"/>
          </w:tcPr>
          <w:p w14:paraId="649E1F9F">
            <w:pPr>
              <w:pStyle w:val="45"/>
              <w:spacing w:beforeLines="0" w:afterLines="0" w:line="240" w:lineRule="auto"/>
              <w:rPr>
                <w:rFonts w:hint="default" w:ascii="Times New Roman" w:hAnsi="Times New Roman" w:cs="Times New Roman"/>
                <w:snapToGrid w:val="0"/>
                <w:color w:val="auto"/>
                <w:kern w:val="21"/>
                <w:sz w:val="21"/>
                <w:szCs w:val="21"/>
              </w:rPr>
            </w:pPr>
          </w:p>
        </w:tc>
        <w:tc>
          <w:tcPr>
            <w:tcW w:w="1559" w:type="dxa"/>
            <w:noWrap w:val="0"/>
            <w:vAlign w:val="center"/>
          </w:tcPr>
          <w:p w14:paraId="26EE18C2">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0.2073</w:t>
            </w:r>
            <w:r>
              <w:rPr>
                <w:rFonts w:hint="default" w:ascii="Times New Roman" w:hAnsi="Times New Roman" w:cs="Times New Roman"/>
                <w:snapToGrid w:val="0"/>
                <w:color w:val="auto"/>
                <w:kern w:val="21"/>
                <w:sz w:val="21"/>
                <w:szCs w:val="21"/>
                <w:lang w:val="en-US" w:eastAsia="zh-CN"/>
              </w:rPr>
              <w:t>t/a</w:t>
            </w:r>
          </w:p>
        </w:tc>
        <w:tc>
          <w:tcPr>
            <w:tcW w:w="1464" w:type="dxa"/>
            <w:noWrap w:val="0"/>
            <w:vAlign w:val="center"/>
          </w:tcPr>
          <w:p w14:paraId="44C85B94">
            <w:pPr>
              <w:pStyle w:val="45"/>
              <w:spacing w:beforeLines="0" w:afterLines="0" w:line="240" w:lineRule="auto"/>
              <w:rPr>
                <w:rFonts w:hint="default" w:ascii="Times New Roman" w:hAnsi="Times New Roman" w:cs="Times New Roman"/>
                <w:snapToGrid w:val="0"/>
                <w:color w:val="auto"/>
                <w:kern w:val="21"/>
                <w:sz w:val="21"/>
                <w:szCs w:val="21"/>
              </w:rPr>
            </w:pPr>
          </w:p>
        </w:tc>
        <w:tc>
          <w:tcPr>
            <w:tcW w:w="1747" w:type="dxa"/>
            <w:noWrap w:val="0"/>
            <w:vAlign w:val="center"/>
          </w:tcPr>
          <w:p w14:paraId="0D2EDD1E">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0.2073</w:t>
            </w:r>
            <w:r>
              <w:rPr>
                <w:rFonts w:hint="default" w:ascii="Times New Roman" w:hAnsi="Times New Roman" w:cs="Times New Roman"/>
                <w:snapToGrid w:val="0"/>
                <w:color w:val="auto"/>
                <w:kern w:val="21"/>
                <w:sz w:val="21"/>
                <w:szCs w:val="21"/>
                <w:lang w:val="en-US" w:eastAsia="zh-CN"/>
              </w:rPr>
              <w:t>t/a</w:t>
            </w:r>
          </w:p>
        </w:tc>
        <w:tc>
          <w:tcPr>
            <w:tcW w:w="1335" w:type="dxa"/>
            <w:noWrap w:val="0"/>
            <w:vAlign w:val="center"/>
          </w:tcPr>
          <w:p w14:paraId="6E3DA530">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0.2073</w:t>
            </w:r>
            <w:r>
              <w:rPr>
                <w:rFonts w:hint="default" w:ascii="Times New Roman" w:hAnsi="Times New Roman" w:cs="Times New Roman"/>
                <w:snapToGrid w:val="0"/>
                <w:color w:val="auto"/>
                <w:kern w:val="21"/>
                <w:sz w:val="21"/>
                <w:szCs w:val="21"/>
                <w:lang w:val="en-US" w:eastAsia="zh-CN"/>
              </w:rPr>
              <w:t>t/a</w:t>
            </w:r>
          </w:p>
        </w:tc>
      </w:tr>
      <w:tr w14:paraId="4E36FE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B241D06">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20A3C499">
            <w:pPr>
              <w:pStyle w:val="30"/>
              <w:spacing w:beforeLines="0" w:afterLines="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非甲烷总烃</w:t>
            </w:r>
          </w:p>
        </w:tc>
        <w:tc>
          <w:tcPr>
            <w:tcW w:w="1701" w:type="dxa"/>
            <w:noWrap w:val="0"/>
            <w:vAlign w:val="center"/>
          </w:tcPr>
          <w:p w14:paraId="2C66A8D4">
            <w:pPr>
              <w:pStyle w:val="45"/>
              <w:spacing w:beforeLines="0" w:afterLines="0" w:line="240" w:lineRule="auto"/>
              <w:rPr>
                <w:rFonts w:hint="default" w:ascii="Times New Roman" w:hAnsi="Times New Roman" w:cs="Times New Roman"/>
                <w:snapToGrid w:val="0"/>
                <w:color w:val="auto"/>
                <w:kern w:val="21"/>
                <w:sz w:val="21"/>
                <w:szCs w:val="21"/>
              </w:rPr>
            </w:pPr>
          </w:p>
        </w:tc>
        <w:tc>
          <w:tcPr>
            <w:tcW w:w="1276" w:type="dxa"/>
            <w:noWrap w:val="0"/>
            <w:vAlign w:val="center"/>
          </w:tcPr>
          <w:p w14:paraId="1DE046CC">
            <w:pPr>
              <w:pStyle w:val="45"/>
              <w:spacing w:beforeLines="0" w:afterLines="0" w:line="240" w:lineRule="auto"/>
              <w:rPr>
                <w:rFonts w:hint="default" w:ascii="Times New Roman" w:hAnsi="Times New Roman" w:cs="Times New Roman"/>
                <w:snapToGrid w:val="0"/>
                <w:color w:val="auto"/>
                <w:kern w:val="21"/>
                <w:sz w:val="21"/>
                <w:szCs w:val="21"/>
              </w:rPr>
            </w:pPr>
          </w:p>
        </w:tc>
        <w:tc>
          <w:tcPr>
            <w:tcW w:w="1701" w:type="dxa"/>
            <w:noWrap w:val="0"/>
            <w:vAlign w:val="center"/>
          </w:tcPr>
          <w:p w14:paraId="70625805">
            <w:pPr>
              <w:pStyle w:val="45"/>
              <w:spacing w:beforeLines="0" w:afterLines="0" w:line="240" w:lineRule="auto"/>
              <w:rPr>
                <w:rFonts w:hint="default" w:ascii="Times New Roman" w:hAnsi="Times New Roman" w:cs="Times New Roman"/>
                <w:snapToGrid w:val="0"/>
                <w:color w:val="auto"/>
                <w:kern w:val="21"/>
                <w:sz w:val="21"/>
                <w:szCs w:val="21"/>
              </w:rPr>
            </w:pPr>
          </w:p>
        </w:tc>
        <w:tc>
          <w:tcPr>
            <w:tcW w:w="1559" w:type="dxa"/>
            <w:noWrap w:val="0"/>
            <w:vAlign w:val="center"/>
          </w:tcPr>
          <w:p w14:paraId="71820BBC">
            <w:pPr>
              <w:pStyle w:val="45"/>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i w:val="0"/>
                <w:iCs w:val="0"/>
                <w:color w:val="auto"/>
                <w:kern w:val="0"/>
                <w:sz w:val="21"/>
                <w:szCs w:val="21"/>
                <w:u w:val="none"/>
                <w:lang w:val="en-US" w:eastAsia="zh-CN" w:bidi="ar"/>
              </w:rPr>
              <w:t>1.01</w:t>
            </w:r>
            <w:r>
              <w:rPr>
                <w:rFonts w:hint="default" w:ascii="Times New Roman" w:hAnsi="Times New Roman" w:cs="Times New Roman"/>
                <w:snapToGrid w:val="0"/>
                <w:color w:val="auto"/>
                <w:kern w:val="21"/>
                <w:sz w:val="21"/>
                <w:szCs w:val="21"/>
              </w:rPr>
              <w:t xml:space="preserve"> t/a</w:t>
            </w:r>
          </w:p>
        </w:tc>
        <w:tc>
          <w:tcPr>
            <w:tcW w:w="1464" w:type="dxa"/>
            <w:noWrap w:val="0"/>
            <w:vAlign w:val="center"/>
          </w:tcPr>
          <w:p w14:paraId="1DFD1D43">
            <w:pPr>
              <w:pStyle w:val="45"/>
              <w:spacing w:beforeLines="0" w:afterLines="0" w:line="240" w:lineRule="auto"/>
              <w:rPr>
                <w:rFonts w:hint="default" w:ascii="Times New Roman" w:hAnsi="Times New Roman" w:cs="Times New Roman"/>
                <w:snapToGrid w:val="0"/>
                <w:color w:val="auto"/>
                <w:kern w:val="21"/>
                <w:sz w:val="21"/>
                <w:szCs w:val="21"/>
              </w:rPr>
            </w:pPr>
          </w:p>
        </w:tc>
        <w:tc>
          <w:tcPr>
            <w:tcW w:w="1747" w:type="dxa"/>
            <w:noWrap w:val="0"/>
            <w:vAlign w:val="center"/>
          </w:tcPr>
          <w:p w14:paraId="5BF99F17">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eastAsia" w:ascii="Times New Roman" w:cs="Times New Roman"/>
                <w:i w:val="0"/>
                <w:iCs w:val="0"/>
                <w:color w:val="auto"/>
                <w:kern w:val="0"/>
                <w:sz w:val="21"/>
                <w:szCs w:val="21"/>
                <w:u w:val="none"/>
                <w:lang w:val="en-US" w:eastAsia="zh-CN" w:bidi="ar"/>
              </w:rPr>
              <w:t>1.01</w:t>
            </w:r>
            <w:r>
              <w:rPr>
                <w:rFonts w:hint="default" w:ascii="Times New Roman" w:hAnsi="Times New Roman" w:cs="Times New Roman"/>
                <w:snapToGrid w:val="0"/>
                <w:color w:val="auto"/>
                <w:kern w:val="21"/>
                <w:sz w:val="21"/>
                <w:szCs w:val="21"/>
              </w:rPr>
              <w:t xml:space="preserve"> t/a</w:t>
            </w:r>
          </w:p>
        </w:tc>
        <w:tc>
          <w:tcPr>
            <w:tcW w:w="1335" w:type="dxa"/>
            <w:noWrap w:val="0"/>
            <w:vAlign w:val="center"/>
          </w:tcPr>
          <w:p w14:paraId="4CEEF35F">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cs="Times New Roman"/>
                <w:i w:val="0"/>
                <w:iCs w:val="0"/>
                <w:color w:val="auto"/>
                <w:kern w:val="0"/>
                <w:sz w:val="21"/>
                <w:szCs w:val="21"/>
                <w:u w:val="none"/>
                <w:lang w:val="en-US" w:eastAsia="zh-CN" w:bidi="ar"/>
              </w:rPr>
              <w:t>1.01</w:t>
            </w:r>
            <w:r>
              <w:rPr>
                <w:rFonts w:hint="default" w:ascii="Times New Roman" w:hAnsi="Times New Roman" w:cs="Times New Roman"/>
                <w:snapToGrid w:val="0"/>
                <w:color w:val="auto"/>
                <w:kern w:val="21"/>
                <w:sz w:val="21"/>
                <w:szCs w:val="21"/>
              </w:rPr>
              <w:t xml:space="preserve"> t/a</w:t>
            </w:r>
          </w:p>
        </w:tc>
      </w:tr>
      <w:tr w14:paraId="211C2C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7AE8792">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451F8B35">
            <w:pPr>
              <w:pStyle w:val="30"/>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二甲苯</w:t>
            </w:r>
          </w:p>
        </w:tc>
        <w:tc>
          <w:tcPr>
            <w:tcW w:w="1701" w:type="dxa"/>
            <w:noWrap w:val="0"/>
            <w:vAlign w:val="center"/>
          </w:tcPr>
          <w:p w14:paraId="4FEEC693">
            <w:pPr>
              <w:pStyle w:val="45"/>
              <w:spacing w:beforeLines="0" w:afterLines="0" w:line="240" w:lineRule="auto"/>
              <w:rPr>
                <w:rFonts w:hint="default" w:ascii="Times New Roman" w:hAnsi="Times New Roman" w:cs="Times New Roman"/>
                <w:snapToGrid w:val="0"/>
                <w:color w:val="auto"/>
                <w:kern w:val="21"/>
                <w:sz w:val="21"/>
                <w:szCs w:val="21"/>
              </w:rPr>
            </w:pPr>
          </w:p>
        </w:tc>
        <w:tc>
          <w:tcPr>
            <w:tcW w:w="1276" w:type="dxa"/>
            <w:noWrap w:val="0"/>
            <w:vAlign w:val="center"/>
          </w:tcPr>
          <w:p w14:paraId="4F24ACD2">
            <w:pPr>
              <w:pStyle w:val="45"/>
              <w:spacing w:beforeLines="0" w:afterLines="0" w:line="240" w:lineRule="auto"/>
              <w:rPr>
                <w:rFonts w:hint="default" w:ascii="Times New Roman" w:hAnsi="Times New Roman" w:cs="Times New Roman"/>
                <w:snapToGrid w:val="0"/>
                <w:color w:val="auto"/>
                <w:kern w:val="21"/>
                <w:sz w:val="21"/>
                <w:szCs w:val="21"/>
              </w:rPr>
            </w:pPr>
          </w:p>
        </w:tc>
        <w:tc>
          <w:tcPr>
            <w:tcW w:w="1701" w:type="dxa"/>
            <w:noWrap w:val="0"/>
            <w:vAlign w:val="center"/>
          </w:tcPr>
          <w:p w14:paraId="6E8BF7A7">
            <w:pPr>
              <w:pStyle w:val="45"/>
              <w:spacing w:beforeLines="0" w:afterLines="0" w:line="240" w:lineRule="auto"/>
              <w:rPr>
                <w:rFonts w:hint="default" w:ascii="Times New Roman" w:hAnsi="Times New Roman" w:cs="Times New Roman"/>
                <w:snapToGrid w:val="0"/>
                <w:color w:val="auto"/>
                <w:kern w:val="21"/>
                <w:sz w:val="21"/>
                <w:szCs w:val="21"/>
              </w:rPr>
            </w:pPr>
          </w:p>
        </w:tc>
        <w:tc>
          <w:tcPr>
            <w:tcW w:w="1559" w:type="dxa"/>
            <w:noWrap w:val="0"/>
            <w:vAlign w:val="center"/>
          </w:tcPr>
          <w:p w14:paraId="15D5C10C">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0.538</w:t>
            </w:r>
            <w:r>
              <w:rPr>
                <w:rFonts w:hint="default" w:ascii="Times New Roman" w:hAnsi="Times New Roman" w:cs="Times New Roman"/>
                <w:snapToGrid w:val="0"/>
                <w:color w:val="auto"/>
                <w:kern w:val="21"/>
                <w:sz w:val="21"/>
                <w:szCs w:val="21"/>
              </w:rPr>
              <w:t>t/a</w:t>
            </w:r>
          </w:p>
        </w:tc>
        <w:tc>
          <w:tcPr>
            <w:tcW w:w="1464" w:type="dxa"/>
            <w:noWrap w:val="0"/>
            <w:vAlign w:val="center"/>
          </w:tcPr>
          <w:p w14:paraId="4130A910">
            <w:pPr>
              <w:pStyle w:val="45"/>
              <w:spacing w:beforeLines="0" w:afterLines="0" w:line="240" w:lineRule="auto"/>
              <w:rPr>
                <w:rFonts w:hint="default" w:ascii="Times New Roman" w:hAnsi="Times New Roman" w:cs="Times New Roman"/>
                <w:snapToGrid w:val="0"/>
                <w:color w:val="auto"/>
                <w:kern w:val="21"/>
                <w:sz w:val="21"/>
                <w:szCs w:val="21"/>
              </w:rPr>
            </w:pPr>
          </w:p>
        </w:tc>
        <w:tc>
          <w:tcPr>
            <w:tcW w:w="1747" w:type="dxa"/>
            <w:noWrap w:val="0"/>
            <w:vAlign w:val="center"/>
          </w:tcPr>
          <w:p w14:paraId="71F7600C">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0.538</w:t>
            </w:r>
            <w:r>
              <w:rPr>
                <w:rFonts w:hint="default" w:ascii="Times New Roman" w:hAnsi="Times New Roman" w:cs="Times New Roman"/>
                <w:snapToGrid w:val="0"/>
                <w:color w:val="auto"/>
                <w:kern w:val="21"/>
                <w:sz w:val="21"/>
                <w:szCs w:val="21"/>
              </w:rPr>
              <w:t>t/a</w:t>
            </w:r>
          </w:p>
        </w:tc>
        <w:tc>
          <w:tcPr>
            <w:tcW w:w="1335" w:type="dxa"/>
            <w:noWrap w:val="0"/>
            <w:vAlign w:val="center"/>
          </w:tcPr>
          <w:p w14:paraId="08C1D11F">
            <w:pPr>
              <w:pStyle w:val="45"/>
              <w:spacing w:beforeLines="0" w:afterLines="0" w:line="240" w:lineRule="auto"/>
              <w:rPr>
                <w:rFonts w:hint="default" w:ascii="Times New Roman" w:hAnsi="Times New Roman"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0.538</w:t>
            </w:r>
            <w:r>
              <w:rPr>
                <w:rFonts w:hint="default" w:ascii="Times New Roman" w:hAnsi="Times New Roman" w:cs="Times New Roman"/>
                <w:snapToGrid w:val="0"/>
                <w:color w:val="auto"/>
                <w:kern w:val="21"/>
                <w:sz w:val="21"/>
                <w:szCs w:val="21"/>
              </w:rPr>
              <w:t>t/a</w:t>
            </w:r>
          </w:p>
        </w:tc>
      </w:tr>
      <w:tr w14:paraId="23A9B4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509BFBF7">
            <w:pPr>
              <w:pStyle w:val="45"/>
              <w:spacing w:beforeLines="0" w:afterLines="0" w:line="240" w:lineRule="auto"/>
              <w:rPr>
                <w:rFonts w:hint="eastAsia" w:hAnsi="宋体" w:cs="宋体"/>
                <w:snapToGrid w:val="0"/>
                <w:color w:val="auto"/>
                <w:kern w:val="21"/>
                <w:sz w:val="24"/>
                <w:szCs w:val="24"/>
              </w:rPr>
            </w:pPr>
            <w:r>
              <w:rPr>
                <w:rFonts w:hint="eastAsia" w:hAnsi="宋体" w:cs="宋体"/>
                <w:snapToGrid w:val="0"/>
                <w:color w:val="auto"/>
                <w:kern w:val="21"/>
                <w:sz w:val="24"/>
                <w:szCs w:val="24"/>
              </w:rPr>
              <w:t>废水</w:t>
            </w:r>
          </w:p>
        </w:tc>
        <w:tc>
          <w:tcPr>
            <w:tcW w:w="1417" w:type="dxa"/>
            <w:noWrap w:val="0"/>
            <w:vAlign w:val="center"/>
          </w:tcPr>
          <w:p w14:paraId="1F09BBD7">
            <w:pPr>
              <w:pStyle w:val="3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COD</w:t>
            </w:r>
            <w:r>
              <w:rPr>
                <w:rFonts w:hint="default" w:ascii="Times New Roman" w:hAnsi="Times New Roman" w:eastAsia="Times New Roman" w:cs="Times New Roman"/>
                <w:color w:val="auto"/>
                <w:sz w:val="21"/>
                <w:szCs w:val="21"/>
                <w:vertAlign w:val="subscript"/>
              </w:rPr>
              <w:t>cr</w:t>
            </w:r>
          </w:p>
        </w:tc>
        <w:tc>
          <w:tcPr>
            <w:tcW w:w="1701" w:type="dxa"/>
            <w:noWrap w:val="0"/>
            <w:vAlign w:val="center"/>
          </w:tcPr>
          <w:p w14:paraId="2DC93955">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4E92325B">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1FAC50D3">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0BEBFC30">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0.072</w:t>
            </w:r>
            <w:r>
              <w:rPr>
                <w:rFonts w:hint="default" w:ascii="Times New Roman" w:hAnsi="Times New Roman" w:cs="Times New Roman"/>
                <w:snapToGrid w:val="0"/>
                <w:color w:val="auto"/>
                <w:kern w:val="21"/>
                <w:sz w:val="21"/>
                <w:szCs w:val="21"/>
              </w:rPr>
              <w:t>t/a</w:t>
            </w:r>
          </w:p>
        </w:tc>
        <w:tc>
          <w:tcPr>
            <w:tcW w:w="1464" w:type="dxa"/>
            <w:noWrap w:val="0"/>
            <w:vAlign w:val="center"/>
          </w:tcPr>
          <w:p w14:paraId="6B8EFB4D">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2E08DD14">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0.072</w:t>
            </w:r>
            <w:r>
              <w:rPr>
                <w:rFonts w:hint="default" w:ascii="Times New Roman" w:hAnsi="Times New Roman" w:cs="Times New Roman"/>
                <w:snapToGrid w:val="0"/>
                <w:color w:val="auto"/>
                <w:kern w:val="21"/>
                <w:sz w:val="21"/>
                <w:szCs w:val="21"/>
              </w:rPr>
              <w:t>t/a</w:t>
            </w:r>
          </w:p>
        </w:tc>
        <w:tc>
          <w:tcPr>
            <w:tcW w:w="1335" w:type="dxa"/>
            <w:noWrap w:val="0"/>
            <w:vAlign w:val="center"/>
          </w:tcPr>
          <w:p w14:paraId="3329C590">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0.072</w:t>
            </w:r>
            <w:r>
              <w:rPr>
                <w:rFonts w:hint="default" w:ascii="Times New Roman" w:hAnsi="Times New Roman" w:cs="Times New Roman"/>
                <w:snapToGrid w:val="0"/>
                <w:color w:val="auto"/>
                <w:kern w:val="21"/>
                <w:sz w:val="21"/>
                <w:szCs w:val="21"/>
              </w:rPr>
              <w:t>t/a</w:t>
            </w:r>
          </w:p>
        </w:tc>
      </w:tr>
      <w:tr w14:paraId="4CDE12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3911D41">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4E80FC96">
            <w:pPr>
              <w:pStyle w:val="3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BOD</w:t>
            </w:r>
            <w:r>
              <w:rPr>
                <w:rFonts w:hint="default" w:ascii="Times New Roman" w:hAnsi="Times New Roman" w:eastAsia="Times New Roman" w:cs="Times New Roman"/>
                <w:color w:val="auto"/>
                <w:sz w:val="21"/>
                <w:szCs w:val="21"/>
                <w:vertAlign w:val="subscript"/>
              </w:rPr>
              <w:t>5</w:t>
            </w:r>
          </w:p>
        </w:tc>
        <w:tc>
          <w:tcPr>
            <w:tcW w:w="1701" w:type="dxa"/>
            <w:noWrap w:val="0"/>
            <w:vAlign w:val="center"/>
          </w:tcPr>
          <w:p w14:paraId="1C95D6BB">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5F20AD1C">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2890DDBF">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72A63742">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0.0432</w:t>
            </w:r>
            <w:r>
              <w:rPr>
                <w:rFonts w:hint="default" w:ascii="Times New Roman" w:hAnsi="Times New Roman" w:cs="Times New Roman"/>
                <w:snapToGrid w:val="0"/>
                <w:color w:val="auto"/>
                <w:kern w:val="21"/>
                <w:sz w:val="21"/>
                <w:szCs w:val="21"/>
              </w:rPr>
              <w:t>t/a</w:t>
            </w:r>
          </w:p>
        </w:tc>
        <w:tc>
          <w:tcPr>
            <w:tcW w:w="1464" w:type="dxa"/>
            <w:noWrap w:val="0"/>
            <w:vAlign w:val="center"/>
          </w:tcPr>
          <w:p w14:paraId="71041DDE">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50246B77">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0.0432</w:t>
            </w:r>
            <w:r>
              <w:rPr>
                <w:rFonts w:hint="default" w:ascii="Times New Roman" w:hAnsi="Times New Roman" w:cs="Times New Roman"/>
                <w:snapToGrid w:val="0"/>
                <w:color w:val="auto"/>
                <w:kern w:val="21"/>
                <w:sz w:val="21"/>
                <w:szCs w:val="21"/>
              </w:rPr>
              <w:t>t/a</w:t>
            </w:r>
          </w:p>
        </w:tc>
        <w:tc>
          <w:tcPr>
            <w:tcW w:w="1335" w:type="dxa"/>
            <w:noWrap w:val="0"/>
            <w:vAlign w:val="center"/>
          </w:tcPr>
          <w:p w14:paraId="4BB08F4D">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0.0432</w:t>
            </w:r>
            <w:r>
              <w:rPr>
                <w:rFonts w:hint="default" w:ascii="Times New Roman" w:hAnsi="Times New Roman" w:cs="Times New Roman"/>
                <w:snapToGrid w:val="0"/>
                <w:color w:val="auto"/>
                <w:kern w:val="21"/>
                <w:sz w:val="21"/>
                <w:szCs w:val="21"/>
              </w:rPr>
              <w:t>t/a</w:t>
            </w:r>
          </w:p>
        </w:tc>
      </w:tr>
      <w:tr w14:paraId="2BD375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757745E">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4A9389A8">
            <w:pPr>
              <w:pStyle w:val="3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SS</w:t>
            </w:r>
          </w:p>
        </w:tc>
        <w:tc>
          <w:tcPr>
            <w:tcW w:w="1701" w:type="dxa"/>
            <w:noWrap w:val="0"/>
            <w:vAlign w:val="center"/>
          </w:tcPr>
          <w:p w14:paraId="0BB4EF2D">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794AA9D9">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45072E3D">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65B67994">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0.0576</w:t>
            </w:r>
            <w:r>
              <w:rPr>
                <w:rFonts w:hint="default" w:ascii="Times New Roman" w:hAnsi="Times New Roman" w:cs="Times New Roman"/>
                <w:snapToGrid w:val="0"/>
                <w:color w:val="auto"/>
                <w:kern w:val="21"/>
                <w:sz w:val="21"/>
                <w:szCs w:val="21"/>
              </w:rPr>
              <w:t>t/a</w:t>
            </w:r>
          </w:p>
        </w:tc>
        <w:tc>
          <w:tcPr>
            <w:tcW w:w="1464" w:type="dxa"/>
            <w:noWrap w:val="0"/>
            <w:vAlign w:val="center"/>
          </w:tcPr>
          <w:p w14:paraId="0C0EF44F">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70A4AF13">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0.0576</w:t>
            </w:r>
            <w:r>
              <w:rPr>
                <w:rFonts w:hint="default" w:ascii="Times New Roman" w:hAnsi="Times New Roman" w:cs="Times New Roman"/>
                <w:snapToGrid w:val="0"/>
                <w:color w:val="auto"/>
                <w:kern w:val="21"/>
                <w:sz w:val="21"/>
                <w:szCs w:val="21"/>
              </w:rPr>
              <w:t>t/a</w:t>
            </w:r>
          </w:p>
        </w:tc>
        <w:tc>
          <w:tcPr>
            <w:tcW w:w="1335" w:type="dxa"/>
            <w:noWrap w:val="0"/>
            <w:vAlign w:val="center"/>
          </w:tcPr>
          <w:p w14:paraId="7CCF4D78">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0.0576</w:t>
            </w:r>
            <w:r>
              <w:rPr>
                <w:rFonts w:hint="default" w:ascii="Times New Roman" w:hAnsi="Times New Roman" w:cs="Times New Roman"/>
                <w:snapToGrid w:val="0"/>
                <w:color w:val="auto"/>
                <w:kern w:val="21"/>
                <w:sz w:val="21"/>
                <w:szCs w:val="21"/>
              </w:rPr>
              <w:t>t/a</w:t>
            </w:r>
          </w:p>
        </w:tc>
      </w:tr>
      <w:tr w14:paraId="6CB486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0B1260D">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0B209B36">
            <w:pPr>
              <w:pStyle w:val="30"/>
              <w:ind w:firstLine="0" w:firstLine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NH</w:t>
            </w:r>
            <w:r>
              <w:rPr>
                <w:rFonts w:hint="default" w:ascii="Times New Roman" w:hAnsi="Times New Roman" w:eastAsia="Times New Roman" w:cs="Times New Roman"/>
                <w:color w:val="auto"/>
                <w:sz w:val="21"/>
                <w:szCs w:val="21"/>
                <w:vertAlign w:val="subscript"/>
              </w:rPr>
              <w:t>3</w:t>
            </w:r>
            <w:r>
              <w:rPr>
                <w:rFonts w:hint="default" w:ascii="Times New Roman" w:hAnsi="Times New Roman" w:eastAsia="Times New Roman" w:cs="Times New Roman"/>
                <w:color w:val="auto"/>
                <w:sz w:val="21"/>
                <w:szCs w:val="21"/>
              </w:rPr>
              <w:t>-H</w:t>
            </w:r>
          </w:p>
        </w:tc>
        <w:tc>
          <w:tcPr>
            <w:tcW w:w="1701" w:type="dxa"/>
            <w:noWrap w:val="0"/>
            <w:vAlign w:val="center"/>
          </w:tcPr>
          <w:p w14:paraId="0F429464">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170CB887">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4DE9290E">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74E44D2A">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0.00648</w:t>
            </w:r>
            <w:r>
              <w:rPr>
                <w:rFonts w:hint="default" w:ascii="Times New Roman" w:hAnsi="Times New Roman" w:cs="Times New Roman"/>
                <w:snapToGrid w:val="0"/>
                <w:color w:val="auto"/>
                <w:kern w:val="21"/>
                <w:sz w:val="21"/>
                <w:szCs w:val="21"/>
              </w:rPr>
              <w:t>t/a</w:t>
            </w:r>
          </w:p>
        </w:tc>
        <w:tc>
          <w:tcPr>
            <w:tcW w:w="1464" w:type="dxa"/>
            <w:noWrap w:val="0"/>
            <w:vAlign w:val="center"/>
          </w:tcPr>
          <w:p w14:paraId="21C9EA84">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596BA34F">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0.00648</w:t>
            </w:r>
            <w:r>
              <w:rPr>
                <w:rFonts w:hint="default" w:ascii="Times New Roman" w:hAnsi="Times New Roman" w:cs="Times New Roman"/>
                <w:snapToGrid w:val="0"/>
                <w:color w:val="auto"/>
                <w:kern w:val="21"/>
                <w:sz w:val="21"/>
                <w:szCs w:val="21"/>
              </w:rPr>
              <w:t>t/a</w:t>
            </w:r>
          </w:p>
        </w:tc>
        <w:tc>
          <w:tcPr>
            <w:tcW w:w="1335" w:type="dxa"/>
            <w:noWrap w:val="0"/>
            <w:vAlign w:val="center"/>
          </w:tcPr>
          <w:p w14:paraId="43E5E31A">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0.00648</w:t>
            </w:r>
            <w:r>
              <w:rPr>
                <w:rFonts w:hint="default" w:ascii="Times New Roman" w:hAnsi="Times New Roman" w:cs="Times New Roman"/>
                <w:snapToGrid w:val="0"/>
                <w:color w:val="auto"/>
                <w:kern w:val="21"/>
                <w:sz w:val="21"/>
                <w:szCs w:val="21"/>
              </w:rPr>
              <w:t>t/a</w:t>
            </w:r>
          </w:p>
        </w:tc>
      </w:tr>
      <w:tr w14:paraId="090FA9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18E14B8">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471F8CF2">
            <w:pPr>
              <w:pStyle w:val="30"/>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总磷</w:t>
            </w:r>
          </w:p>
        </w:tc>
        <w:tc>
          <w:tcPr>
            <w:tcW w:w="1701" w:type="dxa"/>
            <w:noWrap w:val="0"/>
            <w:vAlign w:val="center"/>
          </w:tcPr>
          <w:p w14:paraId="2AB7449D">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39C98AB1">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4791A09A">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669BC29C">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0.001152</w:t>
            </w:r>
            <w:r>
              <w:rPr>
                <w:rFonts w:hint="default" w:ascii="Times New Roman" w:hAnsi="Times New Roman" w:cs="Times New Roman"/>
                <w:snapToGrid w:val="0"/>
                <w:color w:val="auto"/>
                <w:kern w:val="21"/>
                <w:sz w:val="21"/>
                <w:szCs w:val="21"/>
              </w:rPr>
              <w:t>t/a</w:t>
            </w:r>
          </w:p>
        </w:tc>
        <w:tc>
          <w:tcPr>
            <w:tcW w:w="1464" w:type="dxa"/>
            <w:noWrap w:val="0"/>
            <w:vAlign w:val="center"/>
          </w:tcPr>
          <w:p w14:paraId="7D524F55">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40BB4BC7">
            <w:pPr>
              <w:keepNext w:val="0"/>
              <w:keepLines w:val="0"/>
              <w:widowControl/>
              <w:suppressLineNumbers w:val="0"/>
              <w:jc w:val="center"/>
              <w:textAlignment w:val="center"/>
              <w:rPr>
                <w:rFonts w:hint="default" w:ascii="Times New Roman" w:hAnsi="Times New Roman" w:eastAsia="Times New Roman" w:cs="Times New Roman"/>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0.001152</w:t>
            </w:r>
            <w:r>
              <w:rPr>
                <w:rFonts w:hint="default" w:ascii="Times New Roman" w:hAnsi="Times New Roman" w:cs="Times New Roman"/>
                <w:snapToGrid w:val="0"/>
                <w:color w:val="auto"/>
                <w:kern w:val="21"/>
                <w:sz w:val="21"/>
                <w:szCs w:val="21"/>
              </w:rPr>
              <w:t>t/a</w:t>
            </w:r>
          </w:p>
        </w:tc>
        <w:tc>
          <w:tcPr>
            <w:tcW w:w="1335" w:type="dxa"/>
            <w:noWrap w:val="0"/>
            <w:vAlign w:val="center"/>
          </w:tcPr>
          <w:p w14:paraId="5F17D4FF">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0.001152</w:t>
            </w:r>
            <w:r>
              <w:rPr>
                <w:rFonts w:hint="default" w:ascii="Times New Roman" w:hAnsi="Times New Roman" w:cs="Times New Roman"/>
                <w:snapToGrid w:val="0"/>
                <w:color w:val="auto"/>
                <w:kern w:val="21"/>
                <w:sz w:val="21"/>
                <w:szCs w:val="21"/>
              </w:rPr>
              <w:t>t/a</w:t>
            </w:r>
          </w:p>
        </w:tc>
      </w:tr>
      <w:tr w14:paraId="67781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17500AB">
            <w:pPr>
              <w:pStyle w:val="45"/>
              <w:spacing w:beforeLines="0" w:afterLines="0" w:line="240" w:lineRule="auto"/>
              <w:rPr>
                <w:rFonts w:hint="eastAsia" w:hAnsi="宋体" w:cs="宋体"/>
                <w:snapToGrid w:val="0"/>
                <w:color w:val="auto"/>
                <w:kern w:val="21"/>
                <w:sz w:val="24"/>
                <w:szCs w:val="24"/>
              </w:rPr>
            </w:pPr>
            <w:r>
              <w:rPr>
                <w:rFonts w:hint="eastAsia" w:hAnsi="宋体" w:cs="宋体"/>
                <w:snapToGrid w:val="0"/>
                <w:color w:val="auto"/>
                <w:kern w:val="21"/>
                <w:sz w:val="24"/>
                <w:szCs w:val="24"/>
              </w:rPr>
              <w:t>危险废物</w:t>
            </w:r>
          </w:p>
        </w:tc>
        <w:tc>
          <w:tcPr>
            <w:tcW w:w="1417" w:type="dxa"/>
            <w:noWrap w:val="0"/>
            <w:vAlign w:val="center"/>
          </w:tcPr>
          <w:p w14:paraId="79DD00BD">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Times New Roman" w:cs="Times New Roman"/>
                <w:color w:val="auto"/>
                <w:sz w:val="21"/>
                <w:szCs w:val="24"/>
              </w:rPr>
              <w:t>废</w:t>
            </w:r>
            <w:r>
              <w:rPr>
                <w:rFonts w:hint="eastAsia" w:ascii="Times New Roman" w:hAnsi="Times New Roman" w:eastAsia="宋体" w:cs="Times New Roman"/>
                <w:color w:val="auto"/>
                <w:sz w:val="21"/>
                <w:szCs w:val="24"/>
                <w:lang w:val="en-US" w:eastAsia="zh-CN"/>
              </w:rPr>
              <w:t>涂料桶</w:t>
            </w:r>
          </w:p>
        </w:tc>
        <w:tc>
          <w:tcPr>
            <w:tcW w:w="1701" w:type="dxa"/>
            <w:noWrap w:val="0"/>
            <w:vAlign w:val="center"/>
          </w:tcPr>
          <w:p w14:paraId="235C9A08">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7B340FB3">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1784CC92">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458FE35B">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0.6</w:t>
            </w:r>
            <w:r>
              <w:rPr>
                <w:rFonts w:hint="default" w:ascii="Times New Roman" w:hAnsi="Times New Roman" w:cs="Times New Roman"/>
                <w:snapToGrid w:val="0"/>
                <w:color w:val="auto"/>
                <w:kern w:val="21"/>
                <w:sz w:val="21"/>
                <w:szCs w:val="21"/>
              </w:rPr>
              <w:t>t/a</w:t>
            </w:r>
          </w:p>
        </w:tc>
        <w:tc>
          <w:tcPr>
            <w:tcW w:w="1464" w:type="dxa"/>
            <w:noWrap w:val="0"/>
            <w:vAlign w:val="center"/>
          </w:tcPr>
          <w:p w14:paraId="3409A8D8">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020CF72D">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0.6</w:t>
            </w:r>
            <w:r>
              <w:rPr>
                <w:rFonts w:hint="default" w:ascii="Times New Roman" w:hAnsi="Times New Roman" w:cs="Times New Roman"/>
                <w:snapToGrid w:val="0"/>
                <w:color w:val="auto"/>
                <w:kern w:val="21"/>
                <w:sz w:val="21"/>
                <w:szCs w:val="21"/>
              </w:rPr>
              <w:t>t/a</w:t>
            </w:r>
          </w:p>
        </w:tc>
        <w:tc>
          <w:tcPr>
            <w:tcW w:w="1335" w:type="dxa"/>
            <w:noWrap w:val="0"/>
            <w:vAlign w:val="center"/>
          </w:tcPr>
          <w:p w14:paraId="19DDAD2C">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0.6</w:t>
            </w:r>
            <w:r>
              <w:rPr>
                <w:rFonts w:hint="default" w:ascii="Times New Roman" w:hAnsi="Times New Roman" w:cs="Times New Roman"/>
                <w:snapToGrid w:val="0"/>
                <w:color w:val="auto"/>
                <w:kern w:val="21"/>
                <w:sz w:val="21"/>
                <w:szCs w:val="21"/>
              </w:rPr>
              <w:t>t/a</w:t>
            </w:r>
          </w:p>
        </w:tc>
      </w:tr>
      <w:tr w14:paraId="3D2658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6FE972B">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68D0ED24">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auto"/>
                <w:sz w:val="21"/>
                <w:szCs w:val="24"/>
                <w:lang w:val="en-US" w:eastAsia="zh-CN"/>
              </w:rPr>
              <w:t>漆渣</w:t>
            </w:r>
            <w:r>
              <w:rPr>
                <w:rFonts w:hint="eastAsia" w:ascii="Times New Roman" w:hAnsi="Times New Roman" w:cs="Times New Roman"/>
                <w:color w:val="auto"/>
                <w:sz w:val="21"/>
                <w:szCs w:val="24"/>
                <w:lang w:val="en-US" w:eastAsia="zh-CN"/>
              </w:rPr>
              <w:t>（喷漆）</w:t>
            </w:r>
          </w:p>
        </w:tc>
        <w:tc>
          <w:tcPr>
            <w:tcW w:w="1701" w:type="dxa"/>
            <w:noWrap w:val="0"/>
            <w:vAlign w:val="center"/>
          </w:tcPr>
          <w:p w14:paraId="43CB2F35">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1A4CA38C">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18969CBD">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058F2FBD">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0.3255</w:t>
            </w:r>
            <w:r>
              <w:rPr>
                <w:rFonts w:hint="default" w:ascii="Times New Roman" w:hAnsi="Times New Roman" w:cs="Times New Roman"/>
                <w:snapToGrid w:val="0"/>
                <w:color w:val="auto"/>
                <w:kern w:val="21"/>
                <w:sz w:val="21"/>
                <w:szCs w:val="21"/>
              </w:rPr>
              <w:t>t/a</w:t>
            </w:r>
          </w:p>
        </w:tc>
        <w:tc>
          <w:tcPr>
            <w:tcW w:w="1464" w:type="dxa"/>
            <w:noWrap w:val="0"/>
            <w:vAlign w:val="center"/>
          </w:tcPr>
          <w:p w14:paraId="13C23977">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262781AA">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0.3255</w:t>
            </w:r>
            <w:r>
              <w:rPr>
                <w:rFonts w:hint="default" w:ascii="Times New Roman" w:hAnsi="Times New Roman" w:cs="Times New Roman"/>
                <w:snapToGrid w:val="0"/>
                <w:color w:val="auto"/>
                <w:kern w:val="21"/>
                <w:sz w:val="21"/>
                <w:szCs w:val="21"/>
              </w:rPr>
              <w:t>t/a</w:t>
            </w:r>
          </w:p>
        </w:tc>
        <w:tc>
          <w:tcPr>
            <w:tcW w:w="1335" w:type="dxa"/>
            <w:noWrap w:val="0"/>
            <w:vAlign w:val="center"/>
          </w:tcPr>
          <w:p w14:paraId="44E84B94">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0.3255</w:t>
            </w:r>
            <w:r>
              <w:rPr>
                <w:rFonts w:hint="default" w:ascii="Times New Roman" w:hAnsi="Times New Roman" w:cs="Times New Roman"/>
                <w:snapToGrid w:val="0"/>
                <w:color w:val="auto"/>
                <w:kern w:val="21"/>
                <w:sz w:val="21"/>
                <w:szCs w:val="21"/>
              </w:rPr>
              <w:t>t/a</w:t>
            </w:r>
          </w:p>
        </w:tc>
      </w:tr>
      <w:tr w14:paraId="5B0092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0EF493A">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093AACF0">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漆渣（打磨）</w:t>
            </w:r>
          </w:p>
        </w:tc>
        <w:tc>
          <w:tcPr>
            <w:tcW w:w="1701" w:type="dxa"/>
            <w:noWrap w:val="0"/>
            <w:vAlign w:val="center"/>
          </w:tcPr>
          <w:p w14:paraId="177E4C1A">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663375A3">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69D4043D">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397607EE">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0.02</w:t>
            </w:r>
            <w:r>
              <w:rPr>
                <w:rFonts w:hint="default" w:ascii="Times New Roman" w:hAnsi="Times New Roman" w:cs="Times New Roman"/>
                <w:snapToGrid w:val="0"/>
                <w:color w:val="auto"/>
                <w:kern w:val="21"/>
                <w:sz w:val="21"/>
                <w:szCs w:val="21"/>
              </w:rPr>
              <w:t>t/a</w:t>
            </w:r>
          </w:p>
        </w:tc>
        <w:tc>
          <w:tcPr>
            <w:tcW w:w="1464" w:type="dxa"/>
            <w:noWrap w:val="0"/>
            <w:vAlign w:val="center"/>
          </w:tcPr>
          <w:p w14:paraId="1950AF98">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3289926A">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0.02</w:t>
            </w:r>
            <w:r>
              <w:rPr>
                <w:rFonts w:hint="default" w:ascii="Times New Roman" w:hAnsi="Times New Roman" w:cs="Times New Roman"/>
                <w:snapToGrid w:val="0"/>
                <w:color w:val="auto"/>
                <w:kern w:val="21"/>
                <w:sz w:val="21"/>
                <w:szCs w:val="21"/>
              </w:rPr>
              <w:t>t/a</w:t>
            </w:r>
          </w:p>
        </w:tc>
        <w:tc>
          <w:tcPr>
            <w:tcW w:w="1335" w:type="dxa"/>
            <w:noWrap w:val="0"/>
            <w:vAlign w:val="center"/>
          </w:tcPr>
          <w:p w14:paraId="4EBED1E6">
            <w:pPr>
              <w:pStyle w:val="30"/>
              <w:spacing w:beforeLines="0" w:afterLines="0"/>
              <w:ind w:firstLine="0" w:firstLineChars="0"/>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0.02</w:t>
            </w:r>
            <w:r>
              <w:rPr>
                <w:rFonts w:hint="default" w:ascii="Times New Roman" w:hAnsi="Times New Roman" w:cs="Times New Roman"/>
                <w:snapToGrid w:val="0"/>
                <w:color w:val="auto"/>
                <w:kern w:val="21"/>
                <w:sz w:val="21"/>
                <w:szCs w:val="21"/>
              </w:rPr>
              <w:t>t/a</w:t>
            </w:r>
          </w:p>
        </w:tc>
      </w:tr>
      <w:tr w14:paraId="2FEE2F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1632934">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14BF0CA8">
            <w:pPr>
              <w:pStyle w:val="30"/>
              <w:spacing w:beforeLines="0" w:afterLines="0"/>
              <w:ind w:firstLine="0" w:firstLineChars="0"/>
              <w:rPr>
                <w:rFonts w:hint="eastAsia" w:ascii="Times New Roman" w:hAnsi="Times New Roman" w:cs="Times New Roman"/>
                <w:color w:val="FF0000"/>
                <w:lang w:val="en-US" w:eastAsia="zh-CN"/>
              </w:rPr>
            </w:pPr>
            <w:r>
              <w:rPr>
                <w:rFonts w:hint="default" w:ascii="Times New Roman" w:hAnsi="Times New Roman" w:eastAsia="Times New Roman" w:cs="Times New Roman"/>
                <w:color w:val="auto"/>
                <w:sz w:val="21"/>
                <w:szCs w:val="24"/>
              </w:rPr>
              <w:t>废活性炭</w:t>
            </w:r>
          </w:p>
        </w:tc>
        <w:tc>
          <w:tcPr>
            <w:tcW w:w="1701" w:type="dxa"/>
            <w:noWrap w:val="0"/>
            <w:vAlign w:val="center"/>
          </w:tcPr>
          <w:p w14:paraId="2530D69F">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2CBA1C8D">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188F2C5B">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7C702A7D">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2.48</w:t>
            </w:r>
            <w:r>
              <w:rPr>
                <w:rFonts w:hint="default" w:ascii="Times New Roman" w:hAnsi="Times New Roman" w:cs="Times New Roman"/>
                <w:snapToGrid w:val="0"/>
                <w:color w:val="auto"/>
                <w:kern w:val="21"/>
                <w:sz w:val="21"/>
                <w:szCs w:val="21"/>
              </w:rPr>
              <w:t>t/a</w:t>
            </w:r>
          </w:p>
        </w:tc>
        <w:tc>
          <w:tcPr>
            <w:tcW w:w="1464" w:type="dxa"/>
            <w:noWrap w:val="0"/>
            <w:vAlign w:val="center"/>
          </w:tcPr>
          <w:p w14:paraId="4CF0F1EF">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422448CC">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2.48</w:t>
            </w:r>
            <w:r>
              <w:rPr>
                <w:rFonts w:hint="default" w:ascii="Times New Roman" w:hAnsi="Times New Roman" w:cs="Times New Roman"/>
                <w:snapToGrid w:val="0"/>
                <w:color w:val="auto"/>
                <w:kern w:val="21"/>
                <w:sz w:val="21"/>
                <w:szCs w:val="21"/>
              </w:rPr>
              <w:t>t/a</w:t>
            </w:r>
          </w:p>
        </w:tc>
        <w:tc>
          <w:tcPr>
            <w:tcW w:w="1335" w:type="dxa"/>
            <w:noWrap w:val="0"/>
            <w:vAlign w:val="center"/>
          </w:tcPr>
          <w:p w14:paraId="26D4D2B4">
            <w:pPr>
              <w:pStyle w:val="30"/>
              <w:spacing w:beforeLines="0" w:afterLines="0"/>
              <w:ind w:firstLine="0" w:firstLineChars="0"/>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2.48</w:t>
            </w:r>
            <w:r>
              <w:rPr>
                <w:rFonts w:hint="default" w:ascii="Times New Roman" w:hAnsi="Times New Roman" w:cs="Times New Roman"/>
                <w:snapToGrid w:val="0"/>
                <w:color w:val="auto"/>
                <w:kern w:val="21"/>
                <w:sz w:val="21"/>
                <w:szCs w:val="21"/>
              </w:rPr>
              <w:t>t/a</w:t>
            </w:r>
          </w:p>
        </w:tc>
      </w:tr>
      <w:tr w14:paraId="07D57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10C1AFC">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42E4D300">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000000" w:themeColor="text1"/>
                <w:lang w:val="en-US" w:eastAsia="zh-CN"/>
                <w14:textFill>
                  <w14:solidFill>
                    <w14:schemeClr w14:val="tx1"/>
                  </w14:solidFill>
                </w14:textFill>
              </w:rPr>
              <w:t>打磨沉渣</w:t>
            </w:r>
          </w:p>
        </w:tc>
        <w:tc>
          <w:tcPr>
            <w:tcW w:w="1701" w:type="dxa"/>
            <w:noWrap w:val="0"/>
            <w:vAlign w:val="center"/>
          </w:tcPr>
          <w:p w14:paraId="499CC813">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2D4A5A38">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20960B63">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2AD6A395">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1.781</w:t>
            </w:r>
            <w:r>
              <w:rPr>
                <w:rFonts w:hint="default" w:ascii="Times New Roman" w:hAnsi="Times New Roman" w:cs="Times New Roman"/>
                <w:snapToGrid w:val="0"/>
                <w:color w:val="auto"/>
                <w:kern w:val="21"/>
                <w:sz w:val="21"/>
                <w:szCs w:val="21"/>
              </w:rPr>
              <w:t>t/a</w:t>
            </w:r>
          </w:p>
        </w:tc>
        <w:tc>
          <w:tcPr>
            <w:tcW w:w="1464" w:type="dxa"/>
            <w:noWrap w:val="0"/>
            <w:vAlign w:val="center"/>
          </w:tcPr>
          <w:p w14:paraId="4B1EF4BE">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778E627A">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1.781</w:t>
            </w:r>
            <w:r>
              <w:rPr>
                <w:rFonts w:hint="default" w:ascii="Times New Roman" w:hAnsi="Times New Roman" w:cs="Times New Roman"/>
                <w:snapToGrid w:val="0"/>
                <w:color w:val="auto"/>
                <w:kern w:val="21"/>
                <w:sz w:val="21"/>
                <w:szCs w:val="21"/>
              </w:rPr>
              <w:t>t/a</w:t>
            </w:r>
          </w:p>
        </w:tc>
        <w:tc>
          <w:tcPr>
            <w:tcW w:w="1335" w:type="dxa"/>
            <w:noWrap w:val="0"/>
            <w:vAlign w:val="center"/>
          </w:tcPr>
          <w:p w14:paraId="6B738F53">
            <w:pPr>
              <w:pStyle w:val="30"/>
              <w:spacing w:beforeLines="0" w:afterLines="0"/>
              <w:ind w:firstLine="0" w:firstLineChars="0"/>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1.781</w:t>
            </w:r>
            <w:r>
              <w:rPr>
                <w:rFonts w:hint="default" w:ascii="Times New Roman" w:hAnsi="Times New Roman" w:cs="Times New Roman"/>
                <w:snapToGrid w:val="0"/>
                <w:color w:val="auto"/>
                <w:kern w:val="21"/>
                <w:sz w:val="21"/>
                <w:szCs w:val="21"/>
              </w:rPr>
              <w:t>t/a</w:t>
            </w:r>
          </w:p>
        </w:tc>
      </w:tr>
      <w:tr w14:paraId="352374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8D74CF0">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16850D9C">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000000" w:themeColor="text1"/>
                <w:lang w:val="en-US" w:eastAsia="zh-CN"/>
                <w14:textFill>
                  <w14:solidFill>
                    <w14:schemeClr w14:val="tx1"/>
                  </w14:solidFill>
                </w14:textFill>
              </w:rPr>
              <w:t>水帘沉渣</w:t>
            </w:r>
          </w:p>
        </w:tc>
        <w:tc>
          <w:tcPr>
            <w:tcW w:w="1701" w:type="dxa"/>
            <w:noWrap w:val="0"/>
            <w:vAlign w:val="center"/>
          </w:tcPr>
          <w:p w14:paraId="153507BA">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12546797">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306EF65E">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62F0C667">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3.646</w:t>
            </w:r>
            <w:r>
              <w:rPr>
                <w:rFonts w:hint="default" w:ascii="Times New Roman" w:hAnsi="Times New Roman" w:cs="Times New Roman"/>
                <w:snapToGrid w:val="0"/>
                <w:color w:val="auto"/>
                <w:kern w:val="21"/>
                <w:sz w:val="21"/>
                <w:szCs w:val="21"/>
              </w:rPr>
              <w:t>t/a</w:t>
            </w:r>
          </w:p>
        </w:tc>
        <w:tc>
          <w:tcPr>
            <w:tcW w:w="1464" w:type="dxa"/>
            <w:noWrap w:val="0"/>
            <w:vAlign w:val="center"/>
          </w:tcPr>
          <w:p w14:paraId="1179F45F">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5004877B">
            <w:pPr>
              <w:pStyle w:val="30"/>
              <w:spacing w:beforeLines="0" w:afterLines="0"/>
              <w:ind w:firstLine="0" w:firstLineChars="0"/>
              <w:rPr>
                <w:rFonts w:hint="eastAsia" w:ascii="Times New Roman" w:hAnsi="Times New Roman" w:cs="Times New Roman"/>
                <w:color w:val="FF0000"/>
                <w:lang w:val="en-US" w:eastAsia="zh-CN"/>
              </w:rPr>
            </w:pPr>
            <w:r>
              <w:rPr>
                <w:rFonts w:hint="eastAsia" w:ascii="Times New Roman" w:hAnsi="Times New Roman" w:cs="Times New Roman"/>
                <w:color w:val="auto"/>
                <w:sz w:val="21"/>
                <w:szCs w:val="24"/>
                <w:lang w:val="en-US" w:eastAsia="zh-CN"/>
              </w:rPr>
              <w:t>3.646</w:t>
            </w:r>
            <w:r>
              <w:rPr>
                <w:rFonts w:hint="default" w:ascii="Times New Roman" w:hAnsi="Times New Roman" w:cs="Times New Roman"/>
                <w:snapToGrid w:val="0"/>
                <w:color w:val="auto"/>
                <w:kern w:val="21"/>
                <w:sz w:val="21"/>
                <w:szCs w:val="21"/>
              </w:rPr>
              <w:t>t/a</w:t>
            </w:r>
          </w:p>
        </w:tc>
        <w:tc>
          <w:tcPr>
            <w:tcW w:w="1335" w:type="dxa"/>
            <w:noWrap w:val="0"/>
            <w:vAlign w:val="center"/>
          </w:tcPr>
          <w:p w14:paraId="4732B89F">
            <w:pPr>
              <w:pStyle w:val="30"/>
              <w:spacing w:beforeLines="0" w:afterLines="0"/>
              <w:ind w:firstLine="0" w:firstLineChars="0"/>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3.646</w:t>
            </w:r>
            <w:r>
              <w:rPr>
                <w:rFonts w:hint="default" w:ascii="Times New Roman" w:hAnsi="Times New Roman" w:cs="Times New Roman"/>
                <w:snapToGrid w:val="0"/>
                <w:color w:val="auto"/>
                <w:kern w:val="21"/>
                <w:sz w:val="21"/>
                <w:szCs w:val="21"/>
              </w:rPr>
              <w:t>t/a</w:t>
            </w:r>
          </w:p>
        </w:tc>
      </w:tr>
      <w:tr w14:paraId="10020E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BAA82EF">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3A204340">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000000" w:themeColor="text1"/>
                <w:lang w:val="en-US" w:eastAsia="zh-CN"/>
                <w14:textFill>
                  <w14:solidFill>
                    <w14:schemeClr w14:val="tx1"/>
                  </w14:solidFill>
                </w14:textFill>
              </w:rPr>
              <w:t>水帘废液</w:t>
            </w:r>
          </w:p>
        </w:tc>
        <w:tc>
          <w:tcPr>
            <w:tcW w:w="1701" w:type="dxa"/>
            <w:noWrap w:val="0"/>
            <w:vAlign w:val="center"/>
          </w:tcPr>
          <w:p w14:paraId="5E22C5B2">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3269CECA">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79EEF288">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6088A8B2">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2.0</w:t>
            </w:r>
            <w:r>
              <w:rPr>
                <w:rFonts w:hint="default" w:ascii="Times New Roman" w:hAnsi="Times New Roman" w:cs="Times New Roman"/>
                <w:snapToGrid w:val="0"/>
                <w:color w:val="auto"/>
                <w:kern w:val="21"/>
                <w:sz w:val="21"/>
                <w:szCs w:val="21"/>
              </w:rPr>
              <w:t>t/a</w:t>
            </w:r>
          </w:p>
        </w:tc>
        <w:tc>
          <w:tcPr>
            <w:tcW w:w="1464" w:type="dxa"/>
            <w:noWrap w:val="0"/>
            <w:vAlign w:val="center"/>
          </w:tcPr>
          <w:p w14:paraId="10CB0571">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4520B71D">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2.0</w:t>
            </w:r>
            <w:r>
              <w:rPr>
                <w:rFonts w:hint="default" w:ascii="Times New Roman" w:hAnsi="Times New Roman" w:cs="Times New Roman"/>
                <w:snapToGrid w:val="0"/>
                <w:color w:val="auto"/>
                <w:kern w:val="21"/>
                <w:sz w:val="21"/>
                <w:szCs w:val="21"/>
              </w:rPr>
              <w:t>t/a</w:t>
            </w:r>
          </w:p>
        </w:tc>
        <w:tc>
          <w:tcPr>
            <w:tcW w:w="1335" w:type="dxa"/>
            <w:noWrap w:val="0"/>
            <w:vAlign w:val="center"/>
          </w:tcPr>
          <w:p w14:paraId="7C0C9CF7">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2.0</w:t>
            </w:r>
            <w:r>
              <w:rPr>
                <w:rFonts w:hint="default" w:ascii="Times New Roman" w:hAnsi="Times New Roman" w:cs="Times New Roman"/>
                <w:snapToGrid w:val="0"/>
                <w:color w:val="auto"/>
                <w:kern w:val="21"/>
                <w:sz w:val="21"/>
                <w:szCs w:val="21"/>
              </w:rPr>
              <w:t>t/a</w:t>
            </w:r>
          </w:p>
        </w:tc>
      </w:tr>
      <w:tr w14:paraId="3CE06A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4C674F7">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790FD16C">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000000" w:themeColor="text1"/>
                <w:lang w:val="en-US" w:eastAsia="zh-CN"/>
                <w14:textFill>
                  <w14:solidFill>
                    <w14:schemeClr w14:val="tx1"/>
                  </w14:solidFill>
                </w14:textFill>
              </w:rPr>
              <w:t>废催化剂</w:t>
            </w:r>
          </w:p>
        </w:tc>
        <w:tc>
          <w:tcPr>
            <w:tcW w:w="1701" w:type="dxa"/>
            <w:noWrap w:val="0"/>
            <w:vAlign w:val="center"/>
          </w:tcPr>
          <w:p w14:paraId="33817D76">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1F82A3BF">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5A125C38">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676D0010">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1.0</w:t>
            </w:r>
            <w:r>
              <w:rPr>
                <w:rFonts w:hint="default" w:ascii="Times New Roman" w:hAnsi="Times New Roman" w:cs="Times New Roman"/>
                <w:snapToGrid w:val="0"/>
                <w:color w:val="auto"/>
                <w:kern w:val="21"/>
                <w:sz w:val="21"/>
                <w:szCs w:val="21"/>
              </w:rPr>
              <w:t>t/</w:t>
            </w:r>
            <w:r>
              <w:rPr>
                <w:rFonts w:hint="eastAsia" w:ascii="Times New Roman" w:hAnsi="Times New Roman" w:cs="Times New Roman"/>
                <w:snapToGrid w:val="0"/>
                <w:color w:val="auto"/>
                <w:kern w:val="21"/>
                <w:sz w:val="21"/>
                <w:szCs w:val="21"/>
                <w:lang w:val="en-US" w:eastAsia="zh-CN"/>
              </w:rPr>
              <w:t>3</w:t>
            </w:r>
            <w:r>
              <w:rPr>
                <w:rFonts w:hint="default" w:ascii="Times New Roman" w:hAnsi="Times New Roman" w:cs="Times New Roman"/>
                <w:snapToGrid w:val="0"/>
                <w:color w:val="auto"/>
                <w:kern w:val="21"/>
                <w:sz w:val="21"/>
                <w:szCs w:val="21"/>
              </w:rPr>
              <w:t>a</w:t>
            </w:r>
          </w:p>
        </w:tc>
        <w:tc>
          <w:tcPr>
            <w:tcW w:w="1464" w:type="dxa"/>
            <w:noWrap w:val="0"/>
            <w:vAlign w:val="center"/>
          </w:tcPr>
          <w:p w14:paraId="5A2622D0">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008B2719">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1.0</w:t>
            </w:r>
            <w:r>
              <w:rPr>
                <w:rFonts w:hint="default" w:ascii="Times New Roman" w:hAnsi="Times New Roman" w:cs="Times New Roman"/>
                <w:snapToGrid w:val="0"/>
                <w:color w:val="auto"/>
                <w:kern w:val="21"/>
                <w:sz w:val="21"/>
                <w:szCs w:val="21"/>
              </w:rPr>
              <w:t>t/</w:t>
            </w:r>
            <w:r>
              <w:rPr>
                <w:rFonts w:hint="eastAsia" w:ascii="Times New Roman" w:hAnsi="Times New Roman" w:cs="Times New Roman"/>
                <w:snapToGrid w:val="0"/>
                <w:color w:val="auto"/>
                <w:kern w:val="21"/>
                <w:sz w:val="21"/>
                <w:szCs w:val="21"/>
                <w:lang w:val="en-US" w:eastAsia="zh-CN"/>
              </w:rPr>
              <w:t>3</w:t>
            </w:r>
            <w:r>
              <w:rPr>
                <w:rFonts w:hint="default" w:ascii="Times New Roman" w:hAnsi="Times New Roman" w:cs="Times New Roman"/>
                <w:snapToGrid w:val="0"/>
                <w:color w:val="auto"/>
                <w:kern w:val="21"/>
                <w:sz w:val="21"/>
                <w:szCs w:val="21"/>
              </w:rPr>
              <w:t>a</w:t>
            </w:r>
          </w:p>
        </w:tc>
        <w:tc>
          <w:tcPr>
            <w:tcW w:w="1335" w:type="dxa"/>
            <w:noWrap w:val="0"/>
            <w:vAlign w:val="center"/>
          </w:tcPr>
          <w:p w14:paraId="5AA677A0">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1.0</w:t>
            </w:r>
            <w:r>
              <w:rPr>
                <w:rFonts w:hint="default" w:ascii="Times New Roman" w:hAnsi="Times New Roman" w:cs="Times New Roman"/>
                <w:snapToGrid w:val="0"/>
                <w:color w:val="auto"/>
                <w:kern w:val="21"/>
                <w:sz w:val="21"/>
                <w:szCs w:val="21"/>
              </w:rPr>
              <w:t>t/</w:t>
            </w:r>
            <w:r>
              <w:rPr>
                <w:rFonts w:hint="eastAsia" w:ascii="Times New Roman" w:hAnsi="Times New Roman" w:cs="Times New Roman"/>
                <w:snapToGrid w:val="0"/>
                <w:color w:val="auto"/>
                <w:kern w:val="21"/>
                <w:sz w:val="21"/>
                <w:szCs w:val="21"/>
                <w:lang w:val="en-US" w:eastAsia="zh-CN"/>
              </w:rPr>
              <w:t>3</w:t>
            </w:r>
            <w:r>
              <w:rPr>
                <w:rFonts w:hint="default" w:ascii="Times New Roman" w:hAnsi="Times New Roman" w:cs="Times New Roman"/>
                <w:snapToGrid w:val="0"/>
                <w:color w:val="auto"/>
                <w:kern w:val="21"/>
                <w:sz w:val="21"/>
                <w:szCs w:val="21"/>
              </w:rPr>
              <w:t>a</w:t>
            </w:r>
          </w:p>
        </w:tc>
      </w:tr>
      <w:tr w14:paraId="5F5256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4A12BAF">
            <w:pPr>
              <w:pStyle w:val="45"/>
              <w:spacing w:beforeLines="0" w:afterLines="0" w:line="240" w:lineRule="auto"/>
              <w:rPr>
                <w:rFonts w:hint="eastAsia" w:hAnsi="宋体" w:cs="宋体"/>
                <w:snapToGrid w:val="0"/>
                <w:color w:val="FF0000"/>
                <w:kern w:val="21"/>
                <w:sz w:val="24"/>
                <w:szCs w:val="24"/>
              </w:rPr>
            </w:pPr>
          </w:p>
        </w:tc>
        <w:tc>
          <w:tcPr>
            <w:tcW w:w="1417" w:type="dxa"/>
            <w:noWrap w:val="0"/>
            <w:vAlign w:val="center"/>
          </w:tcPr>
          <w:p w14:paraId="2B34DFCB">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000000" w:themeColor="text1"/>
                <w:lang w:val="en-US" w:eastAsia="zh-CN"/>
                <w14:textFill>
                  <w14:solidFill>
                    <w14:schemeClr w14:val="tx1"/>
                  </w14:solidFill>
                </w14:textFill>
              </w:rPr>
              <w:t>废过滤芯</w:t>
            </w:r>
          </w:p>
        </w:tc>
        <w:tc>
          <w:tcPr>
            <w:tcW w:w="1701" w:type="dxa"/>
            <w:noWrap w:val="0"/>
            <w:vAlign w:val="center"/>
          </w:tcPr>
          <w:p w14:paraId="40F28F05">
            <w:pPr>
              <w:pStyle w:val="45"/>
              <w:spacing w:beforeLines="0" w:afterLines="0" w:line="240" w:lineRule="auto"/>
              <w:rPr>
                <w:rFonts w:hint="default" w:ascii="Times New Roman" w:hAnsi="Times New Roman" w:cs="Times New Roman"/>
                <w:snapToGrid w:val="0"/>
                <w:color w:val="FF0000"/>
                <w:kern w:val="21"/>
                <w:sz w:val="21"/>
                <w:szCs w:val="21"/>
              </w:rPr>
            </w:pPr>
          </w:p>
        </w:tc>
        <w:tc>
          <w:tcPr>
            <w:tcW w:w="1276" w:type="dxa"/>
            <w:noWrap w:val="0"/>
            <w:vAlign w:val="center"/>
          </w:tcPr>
          <w:p w14:paraId="09459456">
            <w:pPr>
              <w:pStyle w:val="45"/>
              <w:spacing w:beforeLines="0" w:afterLines="0" w:line="240" w:lineRule="auto"/>
              <w:rPr>
                <w:rFonts w:hint="default" w:ascii="Times New Roman" w:hAnsi="Times New Roman" w:cs="Times New Roman"/>
                <w:snapToGrid w:val="0"/>
                <w:color w:val="FF0000"/>
                <w:kern w:val="21"/>
                <w:sz w:val="21"/>
                <w:szCs w:val="21"/>
              </w:rPr>
            </w:pPr>
          </w:p>
        </w:tc>
        <w:tc>
          <w:tcPr>
            <w:tcW w:w="1701" w:type="dxa"/>
            <w:noWrap w:val="0"/>
            <w:vAlign w:val="center"/>
          </w:tcPr>
          <w:p w14:paraId="420F0D5D">
            <w:pPr>
              <w:pStyle w:val="45"/>
              <w:spacing w:beforeLines="0" w:afterLines="0" w:line="240" w:lineRule="auto"/>
              <w:rPr>
                <w:rFonts w:hint="default" w:ascii="Times New Roman" w:hAnsi="Times New Roman" w:cs="Times New Roman"/>
                <w:snapToGrid w:val="0"/>
                <w:color w:val="FF0000"/>
                <w:kern w:val="21"/>
                <w:sz w:val="21"/>
                <w:szCs w:val="21"/>
              </w:rPr>
            </w:pPr>
          </w:p>
        </w:tc>
        <w:tc>
          <w:tcPr>
            <w:tcW w:w="1559" w:type="dxa"/>
            <w:noWrap w:val="0"/>
            <w:vAlign w:val="center"/>
          </w:tcPr>
          <w:p w14:paraId="13219AC2">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2.6</w:t>
            </w:r>
            <w:r>
              <w:rPr>
                <w:rFonts w:hint="default" w:ascii="Times New Roman" w:hAnsi="Times New Roman" w:cs="Times New Roman"/>
                <w:snapToGrid w:val="0"/>
                <w:color w:val="auto"/>
                <w:kern w:val="21"/>
                <w:sz w:val="21"/>
                <w:szCs w:val="21"/>
              </w:rPr>
              <w:t>t/a</w:t>
            </w:r>
          </w:p>
        </w:tc>
        <w:tc>
          <w:tcPr>
            <w:tcW w:w="1464" w:type="dxa"/>
            <w:noWrap w:val="0"/>
            <w:vAlign w:val="center"/>
          </w:tcPr>
          <w:p w14:paraId="7582E778">
            <w:pPr>
              <w:pStyle w:val="45"/>
              <w:spacing w:beforeLines="0" w:afterLines="0" w:line="240" w:lineRule="auto"/>
              <w:rPr>
                <w:rFonts w:hint="default" w:ascii="Times New Roman" w:hAnsi="Times New Roman" w:cs="Times New Roman"/>
                <w:snapToGrid w:val="0"/>
                <w:color w:val="FF0000"/>
                <w:kern w:val="21"/>
                <w:sz w:val="21"/>
                <w:szCs w:val="21"/>
              </w:rPr>
            </w:pPr>
          </w:p>
        </w:tc>
        <w:tc>
          <w:tcPr>
            <w:tcW w:w="1747" w:type="dxa"/>
            <w:noWrap w:val="0"/>
            <w:vAlign w:val="center"/>
          </w:tcPr>
          <w:p w14:paraId="68BDC50C">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auto"/>
                <w:sz w:val="21"/>
                <w:szCs w:val="24"/>
                <w:lang w:val="en-US" w:eastAsia="zh-CN"/>
              </w:rPr>
              <w:t>2.6</w:t>
            </w:r>
            <w:r>
              <w:rPr>
                <w:rFonts w:hint="default" w:ascii="Times New Roman" w:hAnsi="Times New Roman" w:cs="Times New Roman"/>
                <w:snapToGrid w:val="0"/>
                <w:color w:val="auto"/>
                <w:kern w:val="21"/>
                <w:sz w:val="21"/>
                <w:szCs w:val="21"/>
              </w:rPr>
              <w:t>t/a</w:t>
            </w:r>
          </w:p>
        </w:tc>
        <w:tc>
          <w:tcPr>
            <w:tcW w:w="1335" w:type="dxa"/>
            <w:noWrap w:val="0"/>
            <w:vAlign w:val="center"/>
          </w:tcPr>
          <w:p w14:paraId="41648312">
            <w:pPr>
              <w:pStyle w:val="30"/>
              <w:spacing w:beforeLines="0" w:afterLines="0"/>
              <w:ind w:firstLine="0" w:firstLineChars="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eastAsia" w:ascii="Times New Roman" w:hAnsi="Times New Roman" w:cs="Times New Roman"/>
                <w:color w:val="auto"/>
                <w:sz w:val="21"/>
                <w:szCs w:val="24"/>
                <w:lang w:val="en-US" w:eastAsia="zh-CN"/>
              </w:rPr>
              <w:t>2.6</w:t>
            </w:r>
            <w:r>
              <w:rPr>
                <w:rFonts w:hint="default" w:ascii="Times New Roman" w:hAnsi="Times New Roman" w:cs="Times New Roman"/>
                <w:snapToGrid w:val="0"/>
                <w:color w:val="auto"/>
                <w:kern w:val="21"/>
                <w:sz w:val="21"/>
                <w:szCs w:val="21"/>
              </w:rPr>
              <w:t>t/a</w:t>
            </w:r>
          </w:p>
        </w:tc>
      </w:tr>
      <w:tr w14:paraId="1DF069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64B883C">
            <w:pPr>
              <w:pStyle w:val="45"/>
              <w:spacing w:beforeLines="0" w:afterLines="0" w:line="240" w:lineRule="auto"/>
              <w:rPr>
                <w:rFonts w:hint="eastAsia" w:hAnsi="宋体" w:cs="宋体"/>
                <w:snapToGrid w:val="0"/>
                <w:color w:val="auto"/>
                <w:kern w:val="21"/>
                <w:sz w:val="24"/>
                <w:szCs w:val="24"/>
              </w:rPr>
            </w:pPr>
          </w:p>
        </w:tc>
        <w:tc>
          <w:tcPr>
            <w:tcW w:w="1417" w:type="dxa"/>
            <w:noWrap w:val="0"/>
            <w:vAlign w:val="center"/>
          </w:tcPr>
          <w:p w14:paraId="2CA6FC21">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废机油</w:t>
            </w:r>
          </w:p>
        </w:tc>
        <w:tc>
          <w:tcPr>
            <w:tcW w:w="1701" w:type="dxa"/>
            <w:noWrap w:val="0"/>
            <w:vAlign w:val="center"/>
          </w:tcPr>
          <w:p w14:paraId="2043B46C">
            <w:pPr>
              <w:pStyle w:val="45"/>
              <w:spacing w:beforeLines="0" w:afterLines="0" w:line="240" w:lineRule="auto"/>
              <w:rPr>
                <w:rFonts w:hint="default" w:ascii="Times New Roman" w:hAnsi="Times New Roman" w:cs="Times New Roman"/>
                <w:snapToGrid w:val="0"/>
                <w:color w:val="auto"/>
                <w:kern w:val="21"/>
                <w:sz w:val="21"/>
                <w:szCs w:val="21"/>
              </w:rPr>
            </w:pPr>
          </w:p>
        </w:tc>
        <w:tc>
          <w:tcPr>
            <w:tcW w:w="1276" w:type="dxa"/>
            <w:noWrap w:val="0"/>
            <w:vAlign w:val="center"/>
          </w:tcPr>
          <w:p w14:paraId="2459DED6">
            <w:pPr>
              <w:pStyle w:val="45"/>
              <w:spacing w:beforeLines="0" w:afterLines="0" w:line="240" w:lineRule="auto"/>
              <w:rPr>
                <w:rFonts w:hint="default" w:ascii="Times New Roman" w:hAnsi="Times New Roman" w:cs="Times New Roman"/>
                <w:snapToGrid w:val="0"/>
                <w:color w:val="auto"/>
                <w:kern w:val="21"/>
                <w:sz w:val="21"/>
                <w:szCs w:val="21"/>
              </w:rPr>
            </w:pPr>
          </w:p>
        </w:tc>
        <w:tc>
          <w:tcPr>
            <w:tcW w:w="1701" w:type="dxa"/>
            <w:noWrap w:val="0"/>
            <w:vAlign w:val="center"/>
          </w:tcPr>
          <w:p w14:paraId="0540469A">
            <w:pPr>
              <w:pStyle w:val="45"/>
              <w:spacing w:beforeLines="0" w:afterLines="0" w:line="240" w:lineRule="auto"/>
              <w:rPr>
                <w:rFonts w:hint="default" w:ascii="Times New Roman" w:hAnsi="Times New Roman" w:cs="Times New Roman"/>
                <w:snapToGrid w:val="0"/>
                <w:color w:val="auto"/>
                <w:kern w:val="21"/>
                <w:sz w:val="21"/>
                <w:szCs w:val="21"/>
              </w:rPr>
            </w:pPr>
          </w:p>
        </w:tc>
        <w:tc>
          <w:tcPr>
            <w:tcW w:w="1559" w:type="dxa"/>
            <w:noWrap w:val="0"/>
            <w:vAlign w:val="center"/>
          </w:tcPr>
          <w:p w14:paraId="421A7FBA">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1</w:t>
            </w:r>
            <w:r>
              <w:rPr>
                <w:rFonts w:hint="default" w:ascii="Times New Roman" w:hAnsi="Times New Roman" w:cs="Times New Roman"/>
                <w:snapToGrid w:val="0"/>
                <w:color w:val="auto"/>
                <w:kern w:val="21"/>
                <w:sz w:val="21"/>
                <w:szCs w:val="21"/>
              </w:rPr>
              <w:t>t/a</w:t>
            </w:r>
          </w:p>
        </w:tc>
        <w:tc>
          <w:tcPr>
            <w:tcW w:w="1464" w:type="dxa"/>
            <w:noWrap w:val="0"/>
            <w:vAlign w:val="center"/>
          </w:tcPr>
          <w:p w14:paraId="60E6D640">
            <w:pPr>
              <w:pStyle w:val="45"/>
              <w:spacing w:beforeLines="0" w:afterLines="0" w:line="240" w:lineRule="auto"/>
              <w:rPr>
                <w:rFonts w:hint="default" w:ascii="Times New Roman" w:hAnsi="Times New Roman" w:cs="Times New Roman"/>
                <w:snapToGrid w:val="0"/>
                <w:color w:val="auto"/>
                <w:kern w:val="21"/>
                <w:sz w:val="21"/>
                <w:szCs w:val="21"/>
              </w:rPr>
            </w:pPr>
          </w:p>
        </w:tc>
        <w:tc>
          <w:tcPr>
            <w:tcW w:w="1747" w:type="dxa"/>
            <w:noWrap w:val="0"/>
            <w:vAlign w:val="center"/>
          </w:tcPr>
          <w:p w14:paraId="7C7145B0">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1</w:t>
            </w:r>
            <w:r>
              <w:rPr>
                <w:rFonts w:hint="default" w:ascii="Times New Roman" w:hAnsi="Times New Roman" w:cs="Times New Roman"/>
                <w:snapToGrid w:val="0"/>
                <w:color w:val="auto"/>
                <w:kern w:val="21"/>
                <w:sz w:val="21"/>
                <w:szCs w:val="21"/>
              </w:rPr>
              <w:t>t/a</w:t>
            </w:r>
          </w:p>
        </w:tc>
        <w:tc>
          <w:tcPr>
            <w:tcW w:w="1335" w:type="dxa"/>
            <w:noWrap w:val="0"/>
            <w:vAlign w:val="center"/>
          </w:tcPr>
          <w:p w14:paraId="2C8E8ED1">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cs="Times New Roman"/>
                <w:color w:val="auto"/>
                <w:sz w:val="21"/>
                <w:szCs w:val="24"/>
              </w:rPr>
              <w:t>0.</w:t>
            </w:r>
            <w:r>
              <w:rPr>
                <w:rFonts w:hint="eastAsia" w:ascii="Times New Roman" w:hAnsi="Times New Roman" w:cs="Times New Roman"/>
                <w:color w:val="auto"/>
                <w:sz w:val="21"/>
                <w:szCs w:val="24"/>
                <w:lang w:val="en-US" w:eastAsia="zh-CN"/>
              </w:rPr>
              <w:t>1</w:t>
            </w:r>
            <w:r>
              <w:rPr>
                <w:rFonts w:hint="default" w:ascii="Times New Roman" w:hAnsi="Times New Roman" w:cs="Times New Roman"/>
                <w:snapToGrid w:val="0"/>
                <w:color w:val="auto"/>
                <w:kern w:val="21"/>
                <w:sz w:val="21"/>
                <w:szCs w:val="21"/>
              </w:rPr>
              <w:t>t/a</w:t>
            </w:r>
          </w:p>
        </w:tc>
      </w:tr>
      <w:tr w14:paraId="78E565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E9E68D1">
            <w:pPr>
              <w:pStyle w:val="45"/>
              <w:spacing w:beforeLines="0" w:afterLines="0" w:line="240" w:lineRule="auto"/>
              <w:rPr>
                <w:rFonts w:hAnsi="宋体" w:cs="宋体"/>
                <w:snapToGrid w:val="0"/>
                <w:color w:val="auto"/>
                <w:kern w:val="21"/>
                <w:sz w:val="24"/>
                <w:szCs w:val="24"/>
              </w:rPr>
            </w:pPr>
          </w:p>
        </w:tc>
        <w:tc>
          <w:tcPr>
            <w:tcW w:w="1417" w:type="dxa"/>
            <w:noWrap w:val="0"/>
            <w:vAlign w:val="center"/>
          </w:tcPr>
          <w:p w14:paraId="33C01F8D">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废机油桶</w:t>
            </w:r>
          </w:p>
        </w:tc>
        <w:tc>
          <w:tcPr>
            <w:tcW w:w="1701" w:type="dxa"/>
            <w:noWrap w:val="0"/>
            <w:vAlign w:val="center"/>
          </w:tcPr>
          <w:p w14:paraId="5651EB0A">
            <w:pPr>
              <w:pStyle w:val="45"/>
              <w:spacing w:beforeLines="0" w:afterLines="0" w:line="240" w:lineRule="auto"/>
              <w:rPr>
                <w:rFonts w:hint="default" w:ascii="Times New Roman" w:hAnsi="Times New Roman" w:cs="Times New Roman"/>
                <w:snapToGrid w:val="0"/>
                <w:color w:val="auto"/>
                <w:kern w:val="21"/>
                <w:sz w:val="21"/>
                <w:szCs w:val="21"/>
              </w:rPr>
            </w:pPr>
          </w:p>
        </w:tc>
        <w:tc>
          <w:tcPr>
            <w:tcW w:w="1276" w:type="dxa"/>
            <w:noWrap w:val="0"/>
            <w:vAlign w:val="center"/>
          </w:tcPr>
          <w:p w14:paraId="025CC63E">
            <w:pPr>
              <w:pStyle w:val="45"/>
              <w:spacing w:beforeLines="0" w:afterLines="0" w:line="240" w:lineRule="auto"/>
              <w:rPr>
                <w:rFonts w:hint="default" w:ascii="Times New Roman" w:hAnsi="Times New Roman" w:cs="Times New Roman"/>
                <w:snapToGrid w:val="0"/>
                <w:color w:val="auto"/>
                <w:kern w:val="21"/>
                <w:sz w:val="21"/>
                <w:szCs w:val="21"/>
              </w:rPr>
            </w:pPr>
          </w:p>
        </w:tc>
        <w:tc>
          <w:tcPr>
            <w:tcW w:w="1701" w:type="dxa"/>
            <w:noWrap w:val="0"/>
            <w:vAlign w:val="center"/>
          </w:tcPr>
          <w:p w14:paraId="79A39B53">
            <w:pPr>
              <w:pStyle w:val="45"/>
              <w:spacing w:beforeLines="0" w:afterLines="0" w:line="240" w:lineRule="auto"/>
              <w:rPr>
                <w:rFonts w:hint="default" w:ascii="Times New Roman" w:hAnsi="Times New Roman" w:cs="Times New Roman"/>
                <w:snapToGrid w:val="0"/>
                <w:color w:val="auto"/>
                <w:kern w:val="21"/>
                <w:sz w:val="21"/>
                <w:szCs w:val="21"/>
              </w:rPr>
            </w:pPr>
          </w:p>
        </w:tc>
        <w:tc>
          <w:tcPr>
            <w:tcW w:w="1559" w:type="dxa"/>
            <w:noWrap w:val="0"/>
            <w:vAlign w:val="center"/>
          </w:tcPr>
          <w:p w14:paraId="6DF050A4">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0.040</w:t>
            </w:r>
            <w:r>
              <w:rPr>
                <w:rFonts w:hint="default" w:ascii="Times New Roman" w:hAnsi="Times New Roman" w:cs="Times New Roman"/>
                <w:snapToGrid w:val="0"/>
                <w:color w:val="auto"/>
                <w:kern w:val="21"/>
                <w:sz w:val="21"/>
                <w:szCs w:val="21"/>
              </w:rPr>
              <w:t>t/a</w:t>
            </w:r>
          </w:p>
        </w:tc>
        <w:tc>
          <w:tcPr>
            <w:tcW w:w="1464" w:type="dxa"/>
            <w:noWrap w:val="0"/>
            <w:vAlign w:val="center"/>
          </w:tcPr>
          <w:p w14:paraId="6291B906">
            <w:pPr>
              <w:pStyle w:val="45"/>
              <w:spacing w:beforeLines="0" w:afterLines="0" w:line="240" w:lineRule="auto"/>
              <w:rPr>
                <w:rFonts w:hint="default" w:ascii="Times New Roman" w:hAnsi="Times New Roman" w:cs="Times New Roman"/>
                <w:snapToGrid w:val="0"/>
                <w:color w:val="auto"/>
                <w:kern w:val="21"/>
                <w:sz w:val="21"/>
                <w:szCs w:val="21"/>
              </w:rPr>
            </w:pPr>
          </w:p>
        </w:tc>
        <w:tc>
          <w:tcPr>
            <w:tcW w:w="1747" w:type="dxa"/>
            <w:noWrap w:val="0"/>
            <w:vAlign w:val="center"/>
          </w:tcPr>
          <w:p w14:paraId="0571BC85">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4"/>
              </w:rPr>
              <w:t>0.040</w:t>
            </w:r>
            <w:r>
              <w:rPr>
                <w:rFonts w:hint="default" w:ascii="Times New Roman" w:hAnsi="Times New Roman" w:cs="Times New Roman"/>
                <w:snapToGrid w:val="0"/>
                <w:color w:val="auto"/>
                <w:kern w:val="21"/>
                <w:sz w:val="21"/>
                <w:szCs w:val="21"/>
              </w:rPr>
              <w:t>t/a</w:t>
            </w:r>
          </w:p>
        </w:tc>
        <w:tc>
          <w:tcPr>
            <w:tcW w:w="1335" w:type="dxa"/>
            <w:noWrap w:val="0"/>
            <w:vAlign w:val="center"/>
          </w:tcPr>
          <w:p w14:paraId="6750AAB3">
            <w:pPr>
              <w:pStyle w:val="30"/>
              <w:spacing w:beforeLines="0" w:afterLines="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napToGrid w:val="0"/>
                <w:color w:val="auto"/>
                <w:kern w:val="21"/>
                <w:sz w:val="21"/>
                <w:szCs w:val="21"/>
                <w:lang w:val="en-US" w:eastAsia="zh-CN"/>
              </w:rPr>
              <w:t>+</w:t>
            </w:r>
            <w:r>
              <w:rPr>
                <w:rFonts w:hint="default" w:ascii="Times New Roman" w:hAnsi="Times New Roman" w:cs="Times New Roman"/>
                <w:color w:val="auto"/>
                <w:sz w:val="21"/>
                <w:szCs w:val="24"/>
              </w:rPr>
              <w:t>0.040</w:t>
            </w:r>
            <w:r>
              <w:rPr>
                <w:rFonts w:hint="default" w:ascii="Times New Roman" w:hAnsi="Times New Roman" w:cs="Times New Roman"/>
                <w:snapToGrid w:val="0"/>
                <w:color w:val="auto"/>
                <w:kern w:val="21"/>
                <w:sz w:val="21"/>
                <w:szCs w:val="21"/>
              </w:rPr>
              <w:t>t/a</w:t>
            </w:r>
          </w:p>
        </w:tc>
      </w:tr>
    </w:tbl>
    <w:p w14:paraId="214051B5">
      <w:pPr>
        <w:pStyle w:val="45"/>
        <w:spacing w:before="192" w:beforeLines="80" w:after="24"/>
        <w:jc w:val="left"/>
        <w:rPr>
          <w:rFonts w:hint="eastAsia"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3EB21435">
      <w:pPr>
        <w:rPr>
          <w:rFonts w:hint="eastAsia"/>
          <w:color w:val="FF0000"/>
        </w:rPr>
      </w:pPr>
    </w:p>
    <w:p w14:paraId="1875114B">
      <w:pPr>
        <w:rPr>
          <w:rFonts w:hint="eastAsia"/>
          <w:color w:val="FF0000"/>
        </w:rPr>
        <w:sectPr>
          <w:footerReference r:id="rId8"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32C8E9E">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附件1  委托书</w:t>
      </w:r>
    </w:p>
    <w:p w14:paraId="29F45CFF">
      <w:pPr>
        <w:pStyle w:val="31"/>
        <w:bidi w:val="0"/>
        <w:rPr>
          <w:rFonts w:hint="default" w:ascii="Times New Roman" w:hAnsi="Times New Roman" w:cs="Times New Roman"/>
          <w:color w:val="auto"/>
        </w:rPr>
      </w:pPr>
    </w:p>
    <w:p w14:paraId="3B006559">
      <w:pPr>
        <w:pStyle w:val="31"/>
        <w:bidi w:val="0"/>
        <w:jc w:val="both"/>
        <w:rPr>
          <w:rFonts w:hint="default" w:ascii="Times New Roman" w:hAnsi="Times New Roman" w:cs="Times New Roman"/>
          <w:color w:val="auto"/>
        </w:rPr>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610225" cy="6720840"/>
            <wp:effectExtent l="0" t="0" r="9525" b="381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37"/>
                    <a:stretch>
                      <a:fillRect/>
                    </a:stretch>
                  </pic:blipFill>
                  <pic:spPr>
                    <a:xfrm>
                      <a:off x="0" y="0"/>
                      <a:ext cx="5610225" cy="6720840"/>
                    </a:xfrm>
                    <a:prstGeom prst="rect">
                      <a:avLst/>
                    </a:prstGeom>
                    <a:noFill/>
                    <a:ln>
                      <a:noFill/>
                    </a:ln>
                  </pic:spPr>
                </pic:pic>
              </a:graphicData>
            </a:graphic>
          </wp:inline>
        </w:drawing>
      </w:r>
    </w:p>
    <w:p w14:paraId="2B9F8C95">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附件2  营业执照</w:t>
      </w:r>
    </w:p>
    <w:p w14:paraId="680068B4">
      <w:pPr>
        <w:pStyle w:val="31"/>
        <w:bidi w:val="0"/>
        <w:rPr>
          <w:rFonts w:hint="eastAsia" w:ascii="Times New Roman" w:hAnsi="Times New Roman" w:eastAsia="宋体" w:cs="Times New Roman"/>
          <w:color w:val="FF0000"/>
          <w:lang w:eastAsia="zh-CN"/>
        </w:rPr>
      </w:pPr>
      <w:r>
        <w:rPr>
          <w:rFonts w:hint="eastAsia" w:ascii="Times New Roman" w:hAnsi="Times New Roman" w:eastAsia="宋体" w:cs="Times New Roman"/>
          <w:color w:val="FF0000"/>
          <w:lang w:eastAsia="zh-CN"/>
        </w:rPr>
        <w:drawing>
          <wp:inline distT="0" distB="0" distL="114300" distR="114300">
            <wp:extent cx="5433060" cy="7625080"/>
            <wp:effectExtent l="0" t="0" r="15240" b="13970"/>
            <wp:docPr id="93" name="图片 93"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营业执照"/>
                    <pic:cNvPicPr>
                      <a:picLocks noChangeAspect="1"/>
                    </pic:cNvPicPr>
                  </pic:nvPicPr>
                  <pic:blipFill>
                    <a:blip r:embed="rId38"/>
                    <a:stretch>
                      <a:fillRect/>
                    </a:stretch>
                  </pic:blipFill>
                  <pic:spPr>
                    <a:xfrm rot="10800000">
                      <a:off x="0" y="0"/>
                      <a:ext cx="5433060" cy="7625080"/>
                    </a:xfrm>
                    <a:prstGeom prst="rect">
                      <a:avLst/>
                    </a:prstGeom>
                  </pic:spPr>
                </pic:pic>
              </a:graphicData>
            </a:graphic>
          </wp:inline>
        </w:drawing>
      </w:r>
    </w:p>
    <w:p w14:paraId="6038C3B1">
      <w:pPr>
        <w:pStyle w:val="31"/>
        <w:bidi w:val="0"/>
        <w:rPr>
          <w:rFonts w:hint="default" w:ascii="Times New Roman" w:hAnsi="Times New Roman" w:cs="Times New Roman"/>
          <w:color w:val="FF0000"/>
        </w:rPr>
      </w:pPr>
    </w:p>
    <w:p w14:paraId="70A0FA16">
      <w:pPr>
        <w:pStyle w:val="31"/>
        <w:bidi w:val="0"/>
        <w:rPr>
          <w:rFonts w:hint="default" w:ascii="Times New Roman" w:hAnsi="Times New Roman" w:cs="Times New Roman"/>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97678A2">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附件3  建设用地规划许可证及租赁协议</w:t>
      </w:r>
    </w:p>
    <w:p w14:paraId="43BA1DCA">
      <w:pPr>
        <w:pStyle w:val="31"/>
        <w:bidi w:val="0"/>
        <w:rPr>
          <w:rFonts w:hint="eastAsia" w:ascii="Times New Roman" w:hAnsi="Times New Roman" w:eastAsia="宋体" w:cs="Times New Roman"/>
          <w:color w:val="FF0000"/>
          <w:lang w:eastAsia="zh-CN"/>
        </w:rPr>
      </w:pPr>
      <w:r>
        <w:rPr>
          <w:rFonts w:hint="eastAsia" w:ascii="Times New Roman" w:hAnsi="Times New Roman" w:eastAsia="宋体" w:cs="Times New Roman"/>
          <w:color w:val="FF0000"/>
          <w:lang w:eastAsia="zh-CN"/>
        </w:rPr>
        <w:drawing>
          <wp:inline distT="0" distB="0" distL="114300" distR="114300">
            <wp:extent cx="8034655" cy="5569585"/>
            <wp:effectExtent l="0" t="0" r="12065" b="4445"/>
            <wp:docPr id="94" name="图片 94" descr="3d64aa3fb436aea59cbc2a87ec558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3d64aa3fb436aea59cbc2a87ec5584f0"/>
                    <pic:cNvPicPr>
                      <a:picLocks noChangeAspect="1"/>
                    </pic:cNvPicPr>
                  </pic:nvPicPr>
                  <pic:blipFill>
                    <a:blip r:embed="rId39"/>
                    <a:srcRect l="1811" t="2929" b="6295"/>
                    <a:stretch>
                      <a:fillRect/>
                    </a:stretch>
                  </pic:blipFill>
                  <pic:spPr>
                    <a:xfrm rot="5400000">
                      <a:off x="0" y="0"/>
                      <a:ext cx="8034655" cy="5569585"/>
                    </a:xfrm>
                    <a:prstGeom prst="rect">
                      <a:avLst/>
                    </a:prstGeom>
                  </pic:spPr>
                </pic:pic>
              </a:graphicData>
            </a:graphic>
          </wp:inline>
        </w:drawing>
      </w:r>
    </w:p>
    <w:p w14:paraId="70396020">
      <w:pPr>
        <w:pStyle w:val="31"/>
        <w:bidi w:val="0"/>
        <w:rPr>
          <w:rFonts w:hint="default" w:ascii="Times New Roman" w:hAnsi="Times New Roman" w:cs="Times New Roman"/>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4857750" cy="7229475"/>
            <wp:effectExtent l="0" t="0" r="0" b="952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40"/>
                    <a:stretch>
                      <a:fillRect/>
                    </a:stretch>
                  </pic:blipFill>
                  <pic:spPr>
                    <a:xfrm>
                      <a:off x="0" y="0"/>
                      <a:ext cx="4857750" cy="7229475"/>
                    </a:xfrm>
                    <a:prstGeom prst="rect">
                      <a:avLst/>
                    </a:prstGeom>
                    <a:noFill/>
                    <a:ln>
                      <a:noFill/>
                    </a:ln>
                  </pic:spPr>
                </pic:pic>
              </a:graphicData>
            </a:graphic>
          </wp:inline>
        </w:drawing>
      </w:r>
      <w:r>
        <w:drawing>
          <wp:inline distT="0" distB="0" distL="114300" distR="114300">
            <wp:extent cx="5048250" cy="693420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41"/>
                    <a:stretch>
                      <a:fillRect/>
                    </a:stretch>
                  </pic:blipFill>
                  <pic:spPr>
                    <a:xfrm>
                      <a:off x="0" y="0"/>
                      <a:ext cx="5048250" cy="6934200"/>
                    </a:xfrm>
                    <a:prstGeom prst="rect">
                      <a:avLst/>
                    </a:prstGeom>
                    <a:noFill/>
                    <a:ln>
                      <a:noFill/>
                    </a:ln>
                  </pic:spPr>
                </pic:pic>
              </a:graphicData>
            </a:graphic>
          </wp:inline>
        </w:drawing>
      </w:r>
    </w:p>
    <w:p w14:paraId="7A332E2C">
      <w:pPr>
        <w:pStyle w:val="31"/>
        <w:keepNext w:val="0"/>
        <w:keepLines w:val="0"/>
        <w:pageBreakBefore w:val="0"/>
        <w:widowControl w:val="0"/>
        <w:kinsoku/>
        <w:wordWrap/>
        <w:overflowPunct/>
        <w:topLinePunct w:val="0"/>
        <w:autoSpaceDE/>
        <w:autoSpaceDN/>
        <w:bidi w:val="0"/>
        <w:adjustRightInd/>
        <w:snapToGrid/>
        <w:textAlignment w:val="auto"/>
        <w:outlineLvl w:val="3"/>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lang w:val="en-US" w:eastAsia="zh-CN"/>
        </w:rPr>
        <w:t xml:space="preserve">附件4  </w:t>
      </w:r>
      <w:r>
        <w:rPr>
          <w:rFonts w:hint="default" w:ascii="Times New Roman" w:hAnsi="Times New Roman" w:cs="Times New Roman"/>
          <w:color w:val="auto"/>
          <w:highlight w:val="none"/>
        </w:rPr>
        <w:t>关于</w:t>
      </w:r>
      <w:r>
        <w:rPr>
          <w:rFonts w:hint="eastAsia" w:ascii="Times New Roman" w:hAnsi="Times New Roman" w:cs="Times New Roman"/>
          <w:color w:val="auto"/>
          <w:highlight w:val="none"/>
          <w:lang w:val="en-US" w:eastAsia="zh-CN"/>
        </w:rPr>
        <w:t>《衡阳高新技术产业开发区调区扩区规划环境影响报告书》审查意见</w:t>
      </w:r>
      <w:r>
        <w:rPr>
          <w:rFonts w:hint="default" w:ascii="Times New Roman" w:hAnsi="Times New Roman" w:cs="Times New Roman"/>
          <w:color w:val="auto"/>
          <w:highlight w:val="none"/>
        </w:rPr>
        <w:t>的</w:t>
      </w:r>
      <w:r>
        <w:rPr>
          <w:rFonts w:hint="eastAsia" w:ascii="Times New Roman" w:hAnsi="Times New Roman" w:cs="Times New Roman"/>
          <w:color w:val="auto"/>
          <w:highlight w:val="none"/>
          <w:lang w:val="en-US" w:eastAsia="zh-CN"/>
        </w:rPr>
        <w:t>函</w:t>
      </w:r>
    </w:p>
    <w:p w14:paraId="489AD68D">
      <w:pPr>
        <w:pStyle w:val="31"/>
        <w:bidi w:val="0"/>
        <w:rPr>
          <w:rFonts w:hint="default" w:ascii="Times New Roman" w:hAnsi="Times New Roman" w:cs="Times New Roman"/>
          <w:color w:val="000000"/>
          <w:highlight w:val="none"/>
        </w:rPr>
      </w:pPr>
      <w:r>
        <w:rPr>
          <w:color w:val="000000"/>
          <w:highlight w:val="none"/>
        </w:rPr>
        <w:drawing>
          <wp:inline distT="0" distB="0" distL="114300" distR="114300">
            <wp:extent cx="5605145" cy="7941310"/>
            <wp:effectExtent l="0" t="0" r="14605" b="254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42"/>
                    <a:stretch>
                      <a:fillRect/>
                    </a:stretch>
                  </pic:blipFill>
                  <pic:spPr>
                    <a:xfrm>
                      <a:off x="0" y="0"/>
                      <a:ext cx="5605145" cy="7941310"/>
                    </a:xfrm>
                    <a:prstGeom prst="rect">
                      <a:avLst/>
                    </a:prstGeom>
                    <a:noFill/>
                    <a:ln>
                      <a:noFill/>
                    </a:ln>
                  </pic:spPr>
                </pic:pic>
              </a:graphicData>
            </a:graphic>
          </wp:inline>
        </w:drawing>
      </w:r>
      <w:r>
        <w:rPr>
          <w:color w:val="000000"/>
          <w:highlight w:val="none"/>
        </w:rPr>
        <w:drawing>
          <wp:inline distT="0" distB="0" distL="114300" distR="114300">
            <wp:extent cx="5605145" cy="7955280"/>
            <wp:effectExtent l="0" t="0" r="14605" b="7620"/>
            <wp:docPr id="1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1"/>
                    </pic:cNvPicPr>
                  </pic:nvPicPr>
                  <pic:blipFill>
                    <a:blip r:embed="rId43"/>
                    <a:stretch>
                      <a:fillRect/>
                    </a:stretch>
                  </pic:blipFill>
                  <pic:spPr>
                    <a:xfrm>
                      <a:off x="0" y="0"/>
                      <a:ext cx="5605145" cy="7955280"/>
                    </a:xfrm>
                    <a:prstGeom prst="rect">
                      <a:avLst/>
                    </a:prstGeom>
                    <a:noFill/>
                    <a:ln>
                      <a:noFill/>
                    </a:ln>
                  </pic:spPr>
                </pic:pic>
              </a:graphicData>
            </a:graphic>
          </wp:inline>
        </w:drawing>
      </w:r>
      <w:r>
        <w:rPr>
          <w:color w:val="000000"/>
          <w:highlight w:val="none"/>
        </w:rPr>
        <w:drawing>
          <wp:inline distT="0" distB="0" distL="114300" distR="114300">
            <wp:extent cx="5605145" cy="7955280"/>
            <wp:effectExtent l="0" t="0" r="14605" b="762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44"/>
                    <a:stretch>
                      <a:fillRect/>
                    </a:stretch>
                  </pic:blipFill>
                  <pic:spPr>
                    <a:xfrm>
                      <a:off x="0" y="0"/>
                      <a:ext cx="5605145" cy="7955280"/>
                    </a:xfrm>
                    <a:prstGeom prst="rect">
                      <a:avLst/>
                    </a:prstGeom>
                    <a:noFill/>
                    <a:ln>
                      <a:noFill/>
                    </a:ln>
                  </pic:spPr>
                </pic:pic>
              </a:graphicData>
            </a:graphic>
          </wp:inline>
        </w:drawing>
      </w:r>
      <w:r>
        <w:rPr>
          <w:color w:val="000000"/>
          <w:highlight w:val="none"/>
        </w:rPr>
        <w:drawing>
          <wp:inline distT="0" distB="0" distL="114300" distR="114300">
            <wp:extent cx="5605145" cy="7955280"/>
            <wp:effectExtent l="0" t="0" r="14605"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45"/>
                    <a:stretch>
                      <a:fillRect/>
                    </a:stretch>
                  </pic:blipFill>
                  <pic:spPr>
                    <a:xfrm>
                      <a:off x="0" y="0"/>
                      <a:ext cx="5605145" cy="7955280"/>
                    </a:xfrm>
                    <a:prstGeom prst="rect">
                      <a:avLst/>
                    </a:prstGeom>
                    <a:noFill/>
                    <a:ln>
                      <a:noFill/>
                    </a:ln>
                  </pic:spPr>
                </pic:pic>
              </a:graphicData>
            </a:graphic>
          </wp:inline>
        </w:drawing>
      </w:r>
      <w:r>
        <w:rPr>
          <w:color w:val="000000"/>
          <w:highlight w:val="none"/>
        </w:rPr>
        <w:drawing>
          <wp:inline distT="0" distB="0" distL="114300" distR="114300">
            <wp:extent cx="5605145" cy="7955280"/>
            <wp:effectExtent l="0" t="0" r="14605" b="7620"/>
            <wp:docPr id="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
                    <pic:cNvPicPr>
                      <a:picLocks noChangeAspect="1"/>
                    </pic:cNvPicPr>
                  </pic:nvPicPr>
                  <pic:blipFill>
                    <a:blip r:embed="rId46"/>
                    <a:stretch>
                      <a:fillRect/>
                    </a:stretch>
                  </pic:blipFill>
                  <pic:spPr>
                    <a:xfrm>
                      <a:off x="0" y="0"/>
                      <a:ext cx="5605145" cy="7955280"/>
                    </a:xfrm>
                    <a:prstGeom prst="rect">
                      <a:avLst/>
                    </a:prstGeom>
                    <a:noFill/>
                    <a:ln>
                      <a:noFill/>
                    </a:ln>
                  </pic:spPr>
                </pic:pic>
              </a:graphicData>
            </a:graphic>
          </wp:inline>
        </w:drawing>
      </w:r>
      <w:r>
        <w:rPr>
          <w:color w:val="000000"/>
          <w:highlight w:val="none"/>
        </w:rPr>
        <w:drawing>
          <wp:inline distT="0" distB="0" distL="114300" distR="114300">
            <wp:extent cx="5605145" cy="7941310"/>
            <wp:effectExtent l="0" t="0" r="14605" b="2540"/>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47"/>
                    <a:stretch>
                      <a:fillRect/>
                    </a:stretch>
                  </pic:blipFill>
                  <pic:spPr>
                    <a:xfrm>
                      <a:off x="0" y="0"/>
                      <a:ext cx="5605145" cy="7941310"/>
                    </a:xfrm>
                    <a:prstGeom prst="rect">
                      <a:avLst/>
                    </a:prstGeom>
                    <a:noFill/>
                    <a:ln>
                      <a:noFill/>
                    </a:ln>
                  </pic:spPr>
                </pic:pic>
              </a:graphicData>
            </a:graphic>
          </wp:inline>
        </w:drawing>
      </w:r>
    </w:p>
    <w:p w14:paraId="0D6B7068">
      <w:pPr>
        <w:pStyle w:val="31"/>
        <w:bidi w:val="0"/>
        <w:rPr>
          <w:rFonts w:hint="default" w:ascii="Times New Roman" w:hAnsi="Times New Roman" w:cs="Times New Roman"/>
          <w:color w:val="000000"/>
          <w:highlight w:val="none"/>
        </w:rPr>
      </w:pPr>
    </w:p>
    <w:p w14:paraId="0FD7250D">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eastAsia" w:ascii="Times New Roman" w:hAnsi="Times New Roman" w:cs="Times New Roman"/>
          <w:color w:val="FF0000"/>
          <w:lang w:val="en-US" w:eastAsia="zh-CN"/>
        </w:rPr>
      </w:pPr>
    </w:p>
    <w:p w14:paraId="1EF0494E">
      <w:pPr>
        <w:pStyle w:val="31"/>
        <w:bidi w:val="0"/>
        <w:rPr>
          <w:rFonts w:hint="default" w:ascii="Times New Roman" w:hAnsi="Times New Roman" w:cs="Times New Roman"/>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3DA2C62">
      <w:pPr>
        <w:jc w:val="left"/>
        <w:rPr>
          <w:rFonts w:hint="eastAsia"/>
          <w:color w:val="auto"/>
          <w:lang w:val="en-US" w:eastAsia="zh-CN"/>
        </w:rPr>
      </w:pPr>
      <w:r>
        <w:rPr>
          <w:rFonts w:hint="eastAsia" w:cs="Times New Roman"/>
          <w:b/>
          <w:bCs/>
          <w:color w:val="auto"/>
          <w:lang w:val="en-US" w:eastAsia="zh-CN"/>
        </w:rPr>
        <w:t>附件5立项备案</w:t>
      </w:r>
    </w:p>
    <w:p w14:paraId="016EE306">
      <w:pPr>
        <w:rPr>
          <w:rFonts w:hint="eastAsia" w:ascii="Times New Roman" w:hAnsi="Times New Roman" w:cs="Times New Roman"/>
          <w:b/>
          <w:bCs/>
          <w:color w:val="FF0000"/>
          <w:lang w:val="en-US" w:eastAsia="zh-CN"/>
        </w:rPr>
      </w:pPr>
      <w:r>
        <w:drawing>
          <wp:inline distT="0" distB="0" distL="114300" distR="114300">
            <wp:extent cx="5309870" cy="8147685"/>
            <wp:effectExtent l="0" t="0" r="5080" b="571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48"/>
                    <a:stretch>
                      <a:fillRect/>
                    </a:stretch>
                  </pic:blipFill>
                  <pic:spPr>
                    <a:xfrm>
                      <a:off x="0" y="0"/>
                      <a:ext cx="5309870" cy="8147685"/>
                    </a:xfrm>
                    <a:prstGeom prst="rect">
                      <a:avLst/>
                    </a:prstGeom>
                    <a:noFill/>
                    <a:ln>
                      <a:noFill/>
                    </a:ln>
                  </pic:spPr>
                </pic:pic>
              </a:graphicData>
            </a:graphic>
          </wp:inline>
        </w:drawing>
      </w:r>
      <w:r>
        <w:rPr>
          <w:rFonts w:hint="eastAsia" w:ascii="Times New Roman" w:hAnsi="Times New Roman" w:cs="Times New Roman"/>
          <w:b/>
          <w:bCs/>
          <w:color w:val="FF0000"/>
          <w:lang w:val="en-US" w:eastAsia="zh-CN"/>
        </w:rPr>
        <w:br w:type="page"/>
      </w:r>
      <w:r>
        <w:rPr>
          <w:rFonts w:hint="eastAsia" w:ascii="Times New Roman" w:hAnsi="Times New Roman" w:cs="Times New Roman"/>
          <w:b/>
          <w:bCs/>
          <w:color w:val="FF0000"/>
          <w:lang w:val="en-US" w:eastAsia="zh-CN"/>
        </w:rPr>
        <w:drawing>
          <wp:inline distT="0" distB="0" distL="114300" distR="114300">
            <wp:extent cx="5603875" cy="7474585"/>
            <wp:effectExtent l="0" t="0" r="15875" b="12065"/>
            <wp:docPr id="28" name="图片 28" descr="38ace167fa45deac7f298cf706db7d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8ace167fa45deac7f298cf706db7d4c"/>
                    <pic:cNvPicPr>
                      <a:picLocks noChangeAspect="1"/>
                    </pic:cNvPicPr>
                  </pic:nvPicPr>
                  <pic:blipFill>
                    <a:blip r:embed="rId49"/>
                    <a:stretch>
                      <a:fillRect/>
                    </a:stretch>
                  </pic:blipFill>
                  <pic:spPr>
                    <a:xfrm>
                      <a:off x="0" y="0"/>
                      <a:ext cx="5603875" cy="7474585"/>
                    </a:xfrm>
                    <a:prstGeom prst="rect">
                      <a:avLst/>
                    </a:prstGeom>
                  </pic:spPr>
                </pic:pic>
              </a:graphicData>
            </a:graphic>
          </wp:inline>
        </w:drawing>
      </w:r>
    </w:p>
    <w:p w14:paraId="7A53C82D">
      <w:pP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br w:type="page"/>
      </w:r>
    </w:p>
    <w:p w14:paraId="214AA6E8">
      <w:pPr>
        <w:pStyle w:val="31"/>
        <w:keepNext w:val="0"/>
        <w:keepLines w:val="0"/>
        <w:pageBreakBefore w:val="0"/>
        <w:widowControl w:val="0"/>
        <w:kinsoku/>
        <w:wordWrap/>
        <w:overflowPunct/>
        <w:topLinePunct w:val="0"/>
        <w:autoSpaceDE/>
        <w:autoSpaceDN/>
        <w:bidi w:val="0"/>
        <w:adjustRightInd/>
        <w:snapToGrid/>
        <w:ind w:firstLine="0" w:firstLineChars="0"/>
        <w:jc w:val="both"/>
        <w:textAlignment w:val="auto"/>
        <w:outlineLvl w:val="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附件6  涂料msds</w:t>
      </w:r>
    </w:p>
    <w:p w14:paraId="7D9BD122">
      <w:pPr>
        <w:pStyle w:val="3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3"/>
        <w:rPr>
          <w:rFonts w:hint="default" w:ascii="Times New Roman" w:hAnsi="Times New Roman" w:cs="Times New Roman"/>
          <w:color w:val="FF0000"/>
          <w:lang w:val="en-US" w:eastAsia="zh-CN"/>
        </w:rPr>
      </w:pPr>
      <w:r>
        <w:drawing>
          <wp:inline distT="0" distB="0" distL="114300" distR="114300">
            <wp:extent cx="5219700" cy="7648575"/>
            <wp:effectExtent l="0" t="0" r="0" b="9525"/>
            <wp:docPr id="1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
                    <pic:cNvPicPr>
                      <a:picLocks noChangeAspect="1"/>
                    </pic:cNvPicPr>
                  </pic:nvPicPr>
                  <pic:blipFill>
                    <a:blip r:embed="rId50"/>
                    <a:stretch>
                      <a:fillRect/>
                    </a:stretch>
                  </pic:blipFill>
                  <pic:spPr>
                    <a:xfrm>
                      <a:off x="0" y="0"/>
                      <a:ext cx="5219700" cy="7648575"/>
                    </a:xfrm>
                    <a:prstGeom prst="rect">
                      <a:avLst/>
                    </a:prstGeom>
                    <a:noFill/>
                    <a:ln>
                      <a:noFill/>
                    </a:ln>
                  </pic:spPr>
                </pic:pic>
              </a:graphicData>
            </a:graphic>
          </wp:inline>
        </w:drawing>
      </w:r>
      <w:r>
        <w:drawing>
          <wp:inline distT="0" distB="0" distL="114300" distR="114300">
            <wp:extent cx="4886325" cy="7524750"/>
            <wp:effectExtent l="0" t="0" r="9525" b="0"/>
            <wp:docPr id="1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
                    <pic:cNvPicPr>
                      <a:picLocks noChangeAspect="1"/>
                    </pic:cNvPicPr>
                  </pic:nvPicPr>
                  <pic:blipFill>
                    <a:blip r:embed="rId51"/>
                    <a:stretch>
                      <a:fillRect/>
                    </a:stretch>
                  </pic:blipFill>
                  <pic:spPr>
                    <a:xfrm>
                      <a:off x="0" y="0"/>
                      <a:ext cx="4886325" cy="7524750"/>
                    </a:xfrm>
                    <a:prstGeom prst="rect">
                      <a:avLst/>
                    </a:prstGeom>
                    <a:noFill/>
                    <a:ln>
                      <a:noFill/>
                    </a:ln>
                  </pic:spPr>
                </pic:pic>
              </a:graphicData>
            </a:graphic>
          </wp:inline>
        </w:drawing>
      </w:r>
      <w:r>
        <w:drawing>
          <wp:inline distT="0" distB="0" distL="114300" distR="114300">
            <wp:extent cx="4895850" cy="7419975"/>
            <wp:effectExtent l="0" t="0" r="0" b="9525"/>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52"/>
                    <a:stretch>
                      <a:fillRect/>
                    </a:stretch>
                  </pic:blipFill>
                  <pic:spPr>
                    <a:xfrm>
                      <a:off x="0" y="0"/>
                      <a:ext cx="4895850" cy="7419975"/>
                    </a:xfrm>
                    <a:prstGeom prst="rect">
                      <a:avLst/>
                    </a:prstGeom>
                    <a:noFill/>
                    <a:ln>
                      <a:noFill/>
                    </a:ln>
                  </pic:spPr>
                </pic:pic>
              </a:graphicData>
            </a:graphic>
          </wp:inline>
        </w:drawing>
      </w:r>
      <w:r>
        <w:drawing>
          <wp:inline distT="0" distB="0" distL="114300" distR="114300">
            <wp:extent cx="4991100" cy="7591425"/>
            <wp:effectExtent l="0" t="0" r="0" b="9525"/>
            <wp:docPr id="1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
                    <pic:cNvPicPr>
                      <a:picLocks noChangeAspect="1"/>
                    </pic:cNvPicPr>
                  </pic:nvPicPr>
                  <pic:blipFill>
                    <a:blip r:embed="rId53"/>
                    <a:stretch>
                      <a:fillRect/>
                    </a:stretch>
                  </pic:blipFill>
                  <pic:spPr>
                    <a:xfrm>
                      <a:off x="0" y="0"/>
                      <a:ext cx="4991100" cy="7591425"/>
                    </a:xfrm>
                    <a:prstGeom prst="rect">
                      <a:avLst/>
                    </a:prstGeom>
                    <a:noFill/>
                    <a:ln>
                      <a:noFill/>
                    </a:ln>
                  </pic:spPr>
                </pic:pic>
              </a:graphicData>
            </a:graphic>
          </wp:inline>
        </w:drawing>
      </w:r>
      <w:r>
        <w:drawing>
          <wp:inline distT="0" distB="0" distL="114300" distR="114300">
            <wp:extent cx="4762500" cy="7467600"/>
            <wp:effectExtent l="0" t="0" r="0" b="0"/>
            <wp:docPr id="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
                    <pic:cNvPicPr>
                      <a:picLocks noChangeAspect="1"/>
                    </pic:cNvPicPr>
                  </pic:nvPicPr>
                  <pic:blipFill>
                    <a:blip r:embed="rId54"/>
                    <a:stretch>
                      <a:fillRect/>
                    </a:stretch>
                  </pic:blipFill>
                  <pic:spPr>
                    <a:xfrm>
                      <a:off x="0" y="0"/>
                      <a:ext cx="4762500" cy="7467600"/>
                    </a:xfrm>
                    <a:prstGeom prst="rect">
                      <a:avLst/>
                    </a:prstGeom>
                    <a:noFill/>
                    <a:ln>
                      <a:noFill/>
                    </a:ln>
                  </pic:spPr>
                </pic:pic>
              </a:graphicData>
            </a:graphic>
          </wp:inline>
        </w:drawing>
      </w:r>
      <w:r>
        <w:drawing>
          <wp:inline distT="0" distB="0" distL="114300" distR="114300">
            <wp:extent cx="5000625" cy="7534275"/>
            <wp:effectExtent l="0" t="0" r="9525" b="9525"/>
            <wp:docPr id="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
                    <pic:cNvPicPr>
                      <a:picLocks noChangeAspect="1"/>
                    </pic:cNvPicPr>
                  </pic:nvPicPr>
                  <pic:blipFill>
                    <a:blip r:embed="rId55"/>
                    <a:stretch>
                      <a:fillRect/>
                    </a:stretch>
                  </pic:blipFill>
                  <pic:spPr>
                    <a:xfrm>
                      <a:off x="0" y="0"/>
                      <a:ext cx="5000625" cy="7534275"/>
                    </a:xfrm>
                    <a:prstGeom prst="rect">
                      <a:avLst/>
                    </a:prstGeom>
                    <a:noFill/>
                    <a:ln>
                      <a:noFill/>
                    </a:ln>
                  </pic:spPr>
                </pic:pic>
              </a:graphicData>
            </a:graphic>
          </wp:inline>
        </w:drawing>
      </w:r>
      <w:r>
        <w:drawing>
          <wp:inline distT="0" distB="0" distL="114300" distR="114300">
            <wp:extent cx="4823460" cy="7008495"/>
            <wp:effectExtent l="0" t="0" r="15240" b="1905"/>
            <wp:docPr id="1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pic:cNvPicPr>
                      <a:picLocks noChangeAspect="1"/>
                    </pic:cNvPicPr>
                  </pic:nvPicPr>
                  <pic:blipFill>
                    <a:blip r:embed="rId56"/>
                    <a:stretch>
                      <a:fillRect/>
                    </a:stretch>
                  </pic:blipFill>
                  <pic:spPr>
                    <a:xfrm>
                      <a:off x="0" y="0"/>
                      <a:ext cx="4823460" cy="7008495"/>
                    </a:xfrm>
                    <a:prstGeom prst="rect">
                      <a:avLst/>
                    </a:prstGeom>
                    <a:noFill/>
                    <a:ln>
                      <a:noFill/>
                    </a:ln>
                  </pic:spPr>
                </pic:pic>
              </a:graphicData>
            </a:graphic>
          </wp:inline>
        </w:drawing>
      </w:r>
      <w:r>
        <w:drawing>
          <wp:inline distT="0" distB="0" distL="114300" distR="114300">
            <wp:extent cx="4779010" cy="7230745"/>
            <wp:effectExtent l="0" t="0" r="2540" b="8255"/>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57"/>
                    <a:stretch>
                      <a:fillRect/>
                    </a:stretch>
                  </pic:blipFill>
                  <pic:spPr>
                    <a:xfrm>
                      <a:off x="0" y="0"/>
                      <a:ext cx="4779010" cy="7230745"/>
                    </a:xfrm>
                    <a:prstGeom prst="rect">
                      <a:avLst/>
                    </a:prstGeom>
                    <a:noFill/>
                    <a:ln>
                      <a:noFill/>
                    </a:ln>
                  </pic:spPr>
                </pic:pic>
              </a:graphicData>
            </a:graphic>
          </wp:inline>
        </w:drawing>
      </w:r>
      <w:r>
        <w:drawing>
          <wp:inline distT="0" distB="0" distL="114300" distR="114300">
            <wp:extent cx="4796155" cy="7457440"/>
            <wp:effectExtent l="0" t="0" r="4445" b="10160"/>
            <wp:docPr id="1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7"/>
                    <pic:cNvPicPr>
                      <a:picLocks noChangeAspect="1"/>
                    </pic:cNvPicPr>
                  </pic:nvPicPr>
                  <pic:blipFill>
                    <a:blip r:embed="rId58"/>
                    <a:stretch>
                      <a:fillRect/>
                    </a:stretch>
                  </pic:blipFill>
                  <pic:spPr>
                    <a:xfrm>
                      <a:off x="0" y="0"/>
                      <a:ext cx="4796155" cy="7457440"/>
                    </a:xfrm>
                    <a:prstGeom prst="rect">
                      <a:avLst/>
                    </a:prstGeom>
                    <a:noFill/>
                    <a:ln>
                      <a:noFill/>
                    </a:ln>
                  </pic:spPr>
                </pic:pic>
              </a:graphicData>
            </a:graphic>
          </wp:inline>
        </w:drawing>
      </w:r>
      <w:r>
        <w:drawing>
          <wp:inline distT="0" distB="0" distL="114300" distR="114300">
            <wp:extent cx="5297805" cy="8214360"/>
            <wp:effectExtent l="0" t="0" r="17145" b="15240"/>
            <wp:docPr id="1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8"/>
                    <pic:cNvPicPr>
                      <a:picLocks noChangeAspect="1"/>
                    </pic:cNvPicPr>
                  </pic:nvPicPr>
                  <pic:blipFill>
                    <a:blip r:embed="rId59"/>
                    <a:stretch>
                      <a:fillRect/>
                    </a:stretch>
                  </pic:blipFill>
                  <pic:spPr>
                    <a:xfrm>
                      <a:off x="0" y="0"/>
                      <a:ext cx="5297805" cy="8214360"/>
                    </a:xfrm>
                    <a:prstGeom prst="rect">
                      <a:avLst/>
                    </a:prstGeom>
                    <a:noFill/>
                    <a:ln>
                      <a:noFill/>
                    </a:ln>
                  </pic:spPr>
                </pic:pic>
              </a:graphicData>
            </a:graphic>
          </wp:inline>
        </w:drawing>
      </w:r>
      <w:r>
        <w:drawing>
          <wp:inline distT="0" distB="0" distL="114300" distR="114300">
            <wp:extent cx="5266055" cy="7703185"/>
            <wp:effectExtent l="0" t="0" r="10795" b="12065"/>
            <wp:docPr id="1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9"/>
                    <pic:cNvPicPr>
                      <a:picLocks noChangeAspect="1"/>
                    </pic:cNvPicPr>
                  </pic:nvPicPr>
                  <pic:blipFill>
                    <a:blip r:embed="rId60"/>
                    <a:stretch>
                      <a:fillRect/>
                    </a:stretch>
                  </pic:blipFill>
                  <pic:spPr>
                    <a:xfrm>
                      <a:off x="0" y="0"/>
                      <a:ext cx="5266055" cy="7703185"/>
                    </a:xfrm>
                    <a:prstGeom prst="rect">
                      <a:avLst/>
                    </a:prstGeom>
                    <a:noFill/>
                    <a:ln>
                      <a:noFill/>
                    </a:ln>
                  </pic:spPr>
                </pic:pic>
              </a:graphicData>
            </a:graphic>
          </wp:inline>
        </w:drawing>
      </w:r>
      <w:r>
        <w:drawing>
          <wp:inline distT="0" distB="0" distL="114300" distR="114300">
            <wp:extent cx="5126355" cy="7712075"/>
            <wp:effectExtent l="0" t="0" r="17145" b="3175"/>
            <wp:docPr id="1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0"/>
                    <pic:cNvPicPr>
                      <a:picLocks noChangeAspect="1"/>
                    </pic:cNvPicPr>
                  </pic:nvPicPr>
                  <pic:blipFill>
                    <a:blip r:embed="rId61"/>
                    <a:stretch>
                      <a:fillRect/>
                    </a:stretch>
                  </pic:blipFill>
                  <pic:spPr>
                    <a:xfrm>
                      <a:off x="0" y="0"/>
                      <a:ext cx="5126355" cy="7712075"/>
                    </a:xfrm>
                    <a:prstGeom prst="rect">
                      <a:avLst/>
                    </a:prstGeom>
                    <a:noFill/>
                    <a:ln>
                      <a:noFill/>
                    </a:ln>
                  </pic:spPr>
                </pic:pic>
              </a:graphicData>
            </a:graphic>
          </wp:inline>
        </w:drawing>
      </w:r>
    </w:p>
    <w:p w14:paraId="01267F81">
      <w:pPr>
        <w:pStyle w:val="31"/>
        <w:bidi w:val="0"/>
        <w:rPr>
          <w:rFonts w:hint="default" w:ascii="Times New Roman" w:hAnsi="Times New Roman" w:cs="Times New Roman"/>
          <w:color w:val="FF0000"/>
        </w:rPr>
      </w:pPr>
      <w:r>
        <w:drawing>
          <wp:inline distT="0" distB="0" distL="114300" distR="114300">
            <wp:extent cx="4467225" cy="6858000"/>
            <wp:effectExtent l="0" t="0" r="9525" b="0"/>
            <wp:docPr id="1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
                    <pic:cNvPicPr>
                      <a:picLocks noChangeAspect="1"/>
                    </pic:cNvPicPr>
                  </pic:nvPicPr>
                  <pic:blipFill>
                    <a:blip r:embed="rId62"/>
                    <a:stretch>
                      <a:fillRect/>
                    </a:stretch>
                  </pic:blipFill>
                  <pic:spPr>
                    <a:xfrm>
                      <a:off x="0" y="0"/>
                      <a:ext cx="4467225" cy="6858000"/>
                    </a:xfrm>
                    <a:prstGeom prst="rect">
                      <a:avLst/>
                    </a:prstGeom>
                    <a:noFill/>
                    <a:ln>
                      <a:noFill/>
                    </a:ln>
                  </pic:spPr>
                </pic:pic>
              </a:graphicData>
            </a:graphic>
          </wp:inline>
        </w:drawing>
      </w:r>
      <w:r>
        <w:drawing>
          <wp:inline distT="0" distB="0" distL="114300" distR="114300">
            <wp:extent cx="4429125" cy="6943725"/>
            <wp:effectExtent l="0" t="0" r="9525" b="9525"/>
            <wp:docPr id="1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2"/>
                    <pic:cNvPicPr>
                      <a:picLocks noChangeAspect="1"/>
                    </pic:cNvPicPr>
                  </pic:nvPicPr>
                  <pic:blipFill>
                    <a:blip r:embed="rId63"/>
                    <a:stretch>
                      <a:fillRect/>
                    </a:stretch>
                  </pic:blipFill>
                  <pic:spPr>
                    <a:xfrm>
                      <a:off x="0" y="0"/>
                      <a:ext cx="4429125" cy="6943725"/>
                    </a:xfrm>
                    <a:prstGeom prst="rect">
                      <a:avLst/>
                    </a:prstGeom>
                    <a:noFill/>
                    <a:ln>
                      <a:noFill/>
                    </a:ln>
                  </pic:spPr>
                </pic:pic>
              </a:graphicData>
            </a:graphic>
          </wp:inline>
        </w:drawing>
      </w:r>
      <w:r>
        <w:drawing>
          <wp:inline distT="0" distB="0" distL="114300" distR="114300">
            <wp:extent cx="4819650" cy="7045325"/>
            <wp:effectExtent l="0" t="0" r="0" b="3175"/>
            <wp:docPr id="1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3"/>
                    <pic:cNvPicPr>
                      <a:picLocks noChangeAspect="1"/>
                    </pic:cNvPicPr>
                  </pic:nvPicPr>
                  <pic:blipFill>
                    <a:blip r:embed="rId64"/>
                    <a:stretch>
                      <a:fillRect/>
                    </a:stretch>
                  </pic:blipFill>
                  <pic:spPr>
                    <a:xfrm>
                      <a:off x="0" y="0"/>
                      <a:ext cx="4819650" cy="7045325"/>
                    </a:xfrm>
                    <a:prstGeom prst="rect">
                      <a:avLst/>
                    </a:prstGeom>
                    <a:noFill/>
                    <a:ln>
                      <a:noFill/>
                    </a:ln>
                  </pic:spPr>
                </pic:pic>
              </a:graphicData>
            </a:graphic>
          </wp:inline>
        </w:drawing>
      </w:r>
    </w:p>
    <w:p w14:paraId="4C79FD12">
      <w:pPr>
        <w:pStyle w:val="31"/>
        <w:bidi w:val="0"/>
        <w:jc w:val="center"/>
        <w:rPr>
          <w:color w:val="FF0000"/>
        </w:rPr>
      </w:pPr>
      <w:r>
        <w:drawing>
          <wp:inline distT="0" distB="0" distL="114300" distR="114300">
            <wp:extent cx="4543425" cy="6838950"/>
            <wp:effectExtent l="0" t="0" r="9525" b="0"/>
            <wp:docPr id="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pic:cNvPicPr>
                      <a:picLocks noChangeAspect="1"/>
                    </pic:cNvPicPr>
                  </pic:nvPicPr>
                  <pic:blipFill>
                    <a:blip r:embed="rId65"/>
                    <a:stretch>
                      <a:fillRect/>
                    </a:stretch>
                  </pic:blipFill>
                  <pic:spPr>
                    <a:xfrm>
                      <a:off x="0" y="0"/>
                      <a:ext cx="4543425" cy="6838950"/>
                    </a:xfrm>
                    <a:prstGeom prst="rect">
                      <a:avLst/>
                    </a:prstGeom>
                    <a:noFill/>
                    <a:ln>
                      <a:noFill/>
                    </a:ln>
                  </pic:spPr>
                </pic:pic>
              </a:graphicData>
            </a:graphic>
          </wp:inline>
        </w:drawing>
      </w:r>
    </w:p>
    <w:p w14:paraId="3D3F8C6D">
      <w:pPr>
        <w:jc w:val="center"/>
        <w:rPr>
          <w:color w:val="FF0000"/>
        </w:rPr>
      </w:pPr>
      <w:r>
        <w:rPr>
          <w:color w:val="FF0000"/>
        </w:rPr>
        <w:br w:type="page"/>
      </w:r>
      <w:r>
        <w:drawing>
          <wp:inline distT="0" distB="0" distL="114300" distR="114300">
            <wp:extent cx="4324350" cy="6705600"/>
            <wp:effectExtent l="0" t="0" r="0" b="0"/>
            <wp:docPr id="1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7"/>
                    <pic:cNvPicPr>
                      <a:picLocks noChangeAspect="1"/>
                    </pic:cNvPicPr>
                  </pic:nvPicPr>
                  <pic:blipFill>
                    <a:blip r:embed="rId66"/>
                    <a:stretch>
                      <a:fillRect/>
                    </a:stretch>
                  </pic:blipFill>
                  <pic:spPr>
                    <a:xfrm>
                      <a:off x="0" y="0"/>
                      <a:ext cx="4324350" cy="6705600"/>
                    </a:xfrm>
                    <a:prstGeom prst="rect">
                      <a:avLst/>
                    </a:prstGeom>
                    <a:noFill/>
                    <a:ln>
                      <a:noFill/>
                    </a:ln>
                  </pic:spPr>
                </pic:pic>
              </a:graphicData>
            </a:graphic>
          </wp:inline>
        </w:drawing>
      </w:r>
    </w:p>
    <w:p w14:paraId="01AC95C1">
      <w:pPr>
        <w:jc w:val="center"/>
      </w:pPr>
      <w:r>
        <w:drawing>
          <wp:inline distT="0" distB="0" distL="114300" distR="114300">
            <wp:extent cx="4381500" cy="6848475"/>
            <wp:effectExtent l="0" t="0" r="0" b="9525"/>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8"/>
                    <pic:cNvPicPr>
                      <a:picLocks noChangeAspect="1"/>
                    </pic:cNvPicPr>
                  </pic:nvPicPr>
                  <pic:blipFill>
                    <a:blip r:embed="rId67"/>
                    <a:stretch>
                      <a:fillRect/>
                    </a:stretch>
                  </pic:blipFill>
                  <pic:spPr>
                    <a:xfrm>
                      <a:off x="0" y="0"/>
                      <a:ext cx="4381500" cy="6848475"/>
                    </a:xfrm>
                    <a:prstGeom prst="rect">
                      <a:avLst/>
                    </a:prstGeom>
                    <a:noFill/>
                    <a:ln>
                      <a:noFill/>
                    </a:ln>
                  </pic:spPr>
                </pic:pic>
              </a:graphicData>
            </a:graphic>
          </wp:inline>
        </w:drawing>
      </w:r>
      <w:r>
        <w:drawing>
          <wp:inline distT="0" distB="0" distL="114300" distR="114300">
            <wp:extent cx="4905375" cy="7391400"/>
            <wp:effectExtent l="0" t="0" r="9525" b="0"/>
            <wp:docPr id="1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9"/>
                    <pic:cNvPicPr>
                      <a:picLocks noChangeAspect="1"/>
                    </pic:cNvPicPr>
                  </pic:nvPicPr>
                  <pic:blipFill>
                    <a:blip r:embed="rId68"/>
                    <a:stretch>
                      <a:fillRect/>
                    </a:stretch>
                  </pic:blipFill>
                  <pic:spPr>
                    <a:xfrm>
                      <a:off x="0" y="0"/>
                      <a:ext cx="4905375" cy="7391400"/>
                    </a:xfrm>
                    <a:prstGeom prst="rect">
                      <a:avLst/>
                    </a:prstGeom>
                    <a:noFill/>
                    <a:ln>
                      <a:noFill/>
                    </a:ln>
                  </pic:spPr>
                </pic:pic>
              </a:graphicData>
            </a:graphic>
          </wp:inline>
        </w:drawing>
      </w:r>
      <w:r>
        <w:drawing>
          <wp:inline distT="0" distB="0" distL="114300" distR="114300">
            <wp:extent cx="4867275" cy="7477125"/>
            <wp:effectExtent l="0" t="0" r="9525" b="9525"/>
            <wp:docPr id="1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0"/>
                    <pic:cNvPicPr>
                      <a:picLocks noChangeAspect="1"/>
                    </pic:cNvPicPr>
                  </pic:nvPicPr>
                  <pic:blipFill>
                    <a:blip r:embed="rId69"/>
                    <a:stretch>
                      <a:fillRect/>
                    </a:stretch>
                  </pic:blipFill>
                  <pic:spPr>
                    <a:xfrm>
                      <a:off x="0" y="0"/>
                      <a:ext cx="4867275" cy="7477125"/>
                    </a:xfrm>
                    <a:prstGeom prst="rect">
                      <a:avLst/>
                    </a:prstGeom>
                    <a:noFill/>
                    <a:ln>
                      <a:noFill/>
                    </a:ln>
                  </pic:spPr>
                </pic:pic>
              </a:graphicData>
            </a:graphic>
          </wp:inline>
        </w:drawing>
      </w:r>
      <w:r>
        <w:drawing>
          <wp:inline distT="0" distB="0" distL="114300" distR="114300">
            <wp:extent cx="4762500" cy="7534275"/>
            <wp:effectExtent l="0" t="0" r="0" b="9525"/>
            <wp:docPr id="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1"/>
                    <pic:cNvPicPr>
                      <a:picLocks noChangeAspect="1"/>
                    </pic:cNvPicPr>
                  </pic:nvPicPr>
                  <pic:blipFill>
                    <a:blip r:embed="rId70"/>
                    <a:stretch>
                      <a:fillRect/>
                    </a:stretch>
                  </pic:blipFill>
                  <pic:spPr>
                    <a:xfrm>
                      <a:off x="0" y="0"/>
                      <a:ext cx="4762500" cy="7534275"/>
                    </a:xfrm>
                    <a:prstGeom prst="rect">
                      <a:avLst/>
                    </a:prstGeom>
                    <a:noFill/>
                    <a:ln>
                      <a:noFill/>
                    </a:ln>
                  </pic:spPr>
                </pic:pic>
              </a:graphicData>
            </a:graphic>
          </wp:inline>
        </w:drawing>
      </w:r>
      <w:r>
        <w:drawing>
          <wp:inline distT="0" distB="0" distL="114300" distR="114300">
            <wp:extent cx="5114925" cy="7362825"/>
            <wp:effectExtent l="0" t="0" r="9525" b="9525"/>
            <wp:docPr id="1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2"/>
                    <pic:cNvPicPr>
                      <a:picLocks noChangeAspect="1"/>
                    </pic:cNvPicPr>
                  </pic:nvPicPr>
                  <pic:blipFill>
                    <a:blip r:embed="rId71"/>
                    <a:stretch>
                      <a:fillRect/>
                    </a:stretch>
                  </pic:blipFill>
                  <pic:spPr>
                    <a:xfrm>
                      <a:off x="0" y="0"/>
                      <a:ext cx="5114925" cy="7362825"/>
                    </a:xfrm>
                    <a:prstGeom prst="rect">
                      <a:avLst/>
                    </a:prstGeom>
                    <a:noFill/>
                    <a:ln>
                      <a:noFill/>
                    </a:ln>
                  </pic:spPr>
                </pic:pic>
              </a:graphicData>
            </a:graphic>
          </wp:inline>
        </w:drawing>
      </w:r>
      <w:r>
        <w:drawing>
          <wp:inline distT="0" distB="0" distL="114300" distR="114300">
            <wp:extent cx="4857750" cy="7391400"/>
            <wp:effectExtent l="0" t="0" r="0" b="0"/>
            <wp:docPr id="1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3"/>
                    <pic:cNvPicPr>
                      <a:picLocks noChangeAspect="1"/>
                    </pic:cNvPicPr>
                  </pic:nvPicPr>
                  <pic:blipFill>
                    <a:blip r:embed="rId72"/>
                    <a:stretch>
                      <a:fillRect/>
                    </a:stretch>
                  </pic:blipFill>
                  <pic:spPr>
                    <a:xfrm>
                      <a:off x="0" y="0"/>
                      <a:ext cx="4857750" cy="7391400"/>
                    </a:xfrm>
                    <a:prstGeom prst="rect">
                      <a:avLst/>
                    </a:prstGeom>
                    <a:noFill/>
                    <a:ln>
                      <a:noFill/>
                    </a:ln>
                  </pic:spPr>
                </pic:pic>
              </a:graphicData>
            </a:graphic>
          </wp:inline>
        </w:drawing>
      </w:r>
      <w:r>
        <w:drawing>
          <wp:inline distT="0" distB="0" distL="114300" distR="114300">
            <wp:extent cx="4838700" cy="7134225"/>
            <wp:effectExtent l="0" t="0" r="0" b="9525"/>
            <wp:docPr id="14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4"/>
                    <pic:cNvPicPr>
                      <a:picLocks noChangeAspect="1"/>
                    </pic:cNvPicPr>
                  </pic:nvPicPr>
                  <pic:blipFill>
                    <a:blip r:embed="rId73"/>
                    <a:stretch>
                      <a:fillRect/>
                    </a:stretch>
                  </pic:blipFill>
                  <pic:spPr>
                    <a:xfrm>
                      <a:off x="0" y="0"/>
                      <a:ext cx="4838700" cy="7134225"/>
                    </a:xfrm>
                    <a:prstGeom prst="rect">
                      <a:avLst/>
                    </a:prstGeom>
                    <a:noFill/>
                    <a:ln>
                      <a:noFill/>
                    </a:ln>
                  </pic:spPr>
                </pic:pic>
              </a:graphicData>
            </a:graphic>
          </wp:inline>
        </w:drawing>
      </w:r>
      <w:r>
        <w:drawing>
          <wp:inline distT="0" distB="0" distL="114300" distR="114300">
            <wp:extent cx="4962525" cy="7562850"/>
            <wp:effectExtent l="0" t="0" r="9525" b="0"/>
            <wp:docPr id="1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5"/>
                    <pic:cNvPicPr>
                      <a:picLocks noChangeAspect="1"/>
                    </pic:cNvPicPr>
                  </pic:nvPicPr>
                  <pic:blipFill>
                    <a:blip r:embed="rId74"/>
                    <a:stretch>
                      <a:fillRect/>
                    </a:stretch>
                  </pic:blipFill>
                  <pic:spPr>
                    <a:xfrm>
                      <a:off x="0" y="0"/>
                      <a:ext cx="4962525" cy="7562850"/>
                    </a:xfrm>
                    <a:prstGeom prst="rect">
                      <a:avLst/>
                    </a:prstGeom>
                    <a:noFill/>
                    <a:ln>
                      <a:noFill/>
                    </a:ln>
                  </pic:spPr>
                </pic:pic>
              </a:graphicData>
            </a:graphic>
          </wp:inline>
        </w:drawing>
      </w:r>
      <w:r>
        <w:drawing>
          <wp:inline distT="0" distB="0" distL="114300" distR="114300">
            <wp:extent cx="4848225" cy="7562850"/>
            <wp:effectExtent l="0" t="0" r="9525" b="0"/>
            <wp:docPr id="1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6"/>
                    <pic:cNvPicPr>
                      <a:picLocks noChangeAspect="1"/>
                    </pic:cNvPicPr>
                  </pic:nvPicPr>
                  <pic:blipFill>
                    <a:blip r:embed="rId75"/>
                    <a:stretch>
                      <a:fillRect/>
                    </a:stretch>
                  </pic:blipFill>
                  <pic:spPr>
                    <a:xfrm>
                      <a:off x="0" y="0"/>
                      <a:ext cx="4848225" cy="7562850"/>
                    </a:xfrm>
                    <a:prstGeom prst="rect">
                      <a:avLst/>
                    </a:prstGeom>
                    <a:noFill/>
                    <a:ln>
                      <a:noFill/>
                    </a:ln>
                  </pic:spPr>
                </pic:pic>
              </a:graphicData>
            </a:graphic>
          </wp:inline>
        </w:drawing>
      </w:r>
    </w:p>
    <w:p w14:paraId="5E8C11FE">
      <w:r>
        <w:br w:type="page"/>
      </w:r>
    </w:p>
    <w:p w14:paraId="0414ED8F">
      <w:pPr>
        <w:jc w:val="left"/>
        <w:rPr>
          <w:rFonts w:hint="eastAsia" w:cs="Times New Roman"/>
          <w:color w:val="auto"/>
          <w:lang w:val="en-US" w:eastAsia="zh-CN"/>
        </w:rPr>
      </w:pPr>
      <w:r>
        <w:rPr>
          <w:rFonts w:hint="eastAsia" w:cs="Times New Roman"/>
          <w:color w:val="auto"/>
          <w:lang w:val="en-US" w:eastAsia="zh-CN"/>
        </w:rPr>
        <w:t>附件7 技术评审意见及签到表</w:t>
      </w:r>
    </w:p>
    <w:p w14:paraId="60663784">
      <w:pPr>
        <w:jc w:val="left"/>
        <w:rPr>
          <w:rFonts w:hint="eastAsia" w:ascii="Times New Roman" w:hAnsi="Times New Roman" w:cs="Times New Roman"/>
          <w:color w:val="auto"/>
          <w:lang w:val="en-US" w:eastAsia="zh-CN"/>
        </w:rPr>
      </w:pPr>
      <w:r>
        <w:drawing>
          <wp:inline distT="0" distB="0" distL="114300" distR="114300">
            <wp:extent cx="4943475" cy="7229475"/>
            <wp:effectExtent l="0" t="0" r="9525" b="952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76"/>
                    <a:stretch>
                      <a:fillRect/>
                    </a:stretch>
                  </pic:blipFill>
                  <pic:spPr>
                    <a:xfrm>
                      <a:off x="0" y="0"/>
                      <a:ext cx="4943475" cy="7229475"/>
                    </a:xfrm>
                    <a:prstGeom prst="rect">
                      <a:avLst/>
                    </a:prstGeom>
                    <a:noFill/>
                    <a:ln>
                      <a:noFill/>
                    </a:ln>
                  </pic:spPr>
                </pic:pic>
              </a:graphicData>
            </a:graphic>
          </wp:inline>
        </w:drawing>
      </w:r>
      <w:r>
        <w:drawing>
          <wp:inline distT="0" distB="0" distL="114300" distR="114300">
            <wp:extent cx="5391150" cy="7248525"/>
            <wp:effectExtent l="0" t="0" r="0" b="952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77"/>
                    <a:stretch>
                      <a:fillRect/>
                    </a:stretch>
                  </pic:blipFill>
                  <pic:spPr>
                    <a:xfrm>
                      <a:off x="0" y="0"/>
                      <a:ext cx="5391150" cy="7248525"/>
                    </a:xfrm>
                    <a:prstGeom prst="rect">
                      <a:avLst/>
                    </a:prstGeom>
                    <a:noFill/>
                    <a:ln>
                      <a:noFill/>
                    </a:ln>
                  </pic:spPr>
                </pic:pic>
              </a:graphicData>
            </a:graphic>
          </wp:inline>
        </w:drawing>
      </w:r>
      <w:r>
        <w:drawing>
          <wp:inline distT="0" distB="0" distL="114300" distR="114300">
            <wp:extent cx="5000625" cy="7343775"/>
            <wp:effectExtent l="0" t="0" r="9525"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78"/>
                    <a:stretch>
                      <a:fillRect/>
                    </a:stretch>
                  </pic:blipFill>
                  <pic:spPr>
                    <a:xfrm>
                      <a:off x="0" y="0"/>
                      <a:ext cx="5000625" cy="7343775"/>
                    </a:xfrm>
                    <a:prstGeom prst="rect">
                      <a:avLst/>
                    </a:prstGeom>
                    <a:noFill/>
                    <a:ln>
                      <a:noFill/>
                    </a:ln>
                  </pic:spPr>
                </pic:pic>
              </a:graphicData>
            </a:graphic>
          </wp:inline>
        </w:drawing>
      </w:r>
      <w:r>
        <w:rPr>
          <w:rFonts w:hint="eastAsia" w:ascii="Times New Roman" w:hAnsi="Times New Roman" w:cs="Times New Roman"/>
          <w:color w:val="auto"/>
          <w:lang w:val="en-US" w:eastAsia="zh-CN"/>
        </w:rPr>
        <w:br w:type="page"/>
      </w:r>
    </w:p>
    <w:p w14:paraId="7D6E400F">
      <w:pPr>
        <w:pStyle w:val="31"/>
        <w:bidi w:val="0"/>
        <w:rPr>
          <w:rFonts w:hint="default"/>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3529141">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附图1  项目地理位置示意</w:t>
      </w:r>
    </w:p>
    <w:p w14:paraId="6E8F1D5C">
      <w:pPr>
        <w:pStyle w:val="31"/>
        <w:bidi w:val="0"/>
        <w:rPr>
          <w:rFonts w:hint="default" w:ascii="Times New Roman" w:hAnsi="Times New Roman" w:cs="Times New Roman"/>
          <w:color w:val="FF0000"/>
          <w14:textOutline w14:w="9525">
            <w14:solidFill>
              <w14:srgbClr w14:val="FF0000"/>
            </w14:solidFill>
            <w14:round/>
          </w14:textOutline>
        </w:rPr>
      </w:pPr>
      <w:r>
        <w:drawing>
          <wp:anchor distT="0" distB="0" distL="114300" distR="114300" simplePos="0" relativeHeight="251692032" behindDoc="0" locked="0" layoutInCell="1" allowOverlap="1">
            <wp:simplePos x="0" y="0"/>
            <wp:positionH relativeFrom="column">
              <wp:posOffset>7769860</wp:posOffset>
            </wp:positionH>
            <wp:positionV relativeFrom="paragraph">
              <wp:posOffset>68580</wp:posOffset>
            </wp:positionV>
            <wp:extent cx="728345" cy="1054735"/>
            <wp:effectExtent l="0" t="0" r="14605" b="12065"/>
            <wp:wrapNone/>
            <wp:docPr id="1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8"/>
                    <pic:cNvPicPr>
                      <a:picLocks noChangeAspect="1"/>
                    </pic:cNvPicPr>
                  </pic:nvPicPr>
                  <pic:blipFill>
                    <a:blip r:embed="rId79"/>
                    <a:stretch>
                      <a:fillRect/>
                    </a:stretch>
                  </pic:blipFill>
                  <pic:spPr>
                    <a:xfrm>
                      <a:off x="0" y="0"/>
                      <a:ext cx="728345" cy="1054735"/>
                    </a:xfrm>
                    <a:prstGeom prst="rect">
                      <a:avLst/>
                    </a:prstGeom>
                    <a:noFill/>
                    <a:ln>
                      <a:noFill/>
                    </a:ln>
                  </pic:spPr>
                </pic:pic>
              </a:graphicData>
            </a:graphic>
          </wp:anchor>
        </w:drawing>
      </w:r>
      <w:r>
        <w:rPr>
          <w:sz w:val="21"/>
        </w:rPr>
        <mc:AlternateContent>
          <mc:Choice Requires="wps">
            <w:drawing>
              <wp:anchor distT="0" distB="0" distL="114300" distR="114300" simplePos="0" relativeHeight="251693056" behindDoc="0" locked="0" layoutInCell="1" allowOverlap="1">
                <wp:simplePos x="0" y="0"/>
                <wp:positionH relativeFrom="column">
                  <wp:posOffset>184785</wp:posOffset>
                </wp:positionH>
                <wp:positionV relativeFrom="paragraph">
                  <wp:posOffset>38100</wp:posOffset>
                </wp:positionV>
                <wp:extent cx="8337550" cy="4944110"/>
                <wp:effectExtent l="13970" t="13970" r="30480" b="33020"/>
                <wp:wrapNone/>
                <wp:docPr id="154" name="矩形 154"/>
                <wp:cNvGraphicFramePr/>
                <a:graphic xmlns:a="http://schemas.openxmlformats.org/drawingml/2006/main">
                  <a:graphicData uri="http://schemas.microsoft.com/office/word/2010/wordprocessingShape">
                    <wps:wsp>
                      <wps:cNvSpPr/>
                      <wps:spPr>
                        <a:xfrm>
                          <a:off x="1731645" y="1259205"/>
                          <a:ext cx="8337550" cy="4944110"/>
                        </a:xfrm>
                        <a:prstGeom prst="rect">
                          <a:avLst/>
                        </a:prstGeom>
                        <a:noFill/>
                        <a:ln w="28575"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3pt;height:389.3pt;width:656.5pt;z-index:251693056;v-text-anchor:middle;mso-width-relative:page;mso-height-relative:page;" filled="f" stroked="t" coordsize="21600,21600" o:gfxdata="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BEotNvZAAAACQEAAA8AAAAAAAAAAQAgAAAAIgAAAGRycy9kb3ducmV2&#10;LnhtbFBLAQIUABQAAAAIAIdO4kAdjk0xbQIAAMUEAAAOAAAAAAAAAAEAIAAAACgBAABkcnMvZTJv&#10;RG9jLnhtbFBLBQYAAAAABgAGAFkBAAAHBgAAAAA=&#10;">
                <v:fill on="f" focussize="0,0"/>
                <v:stroke weight="2.25pt" color="#000000 [3213]" joinstyle="round"/>
                <v:imagedata o:title=""/>
                <o:lock v:ext="edit" aspectratio="f"/>
              </v:rect>
            </w:pict>
          </mc:Fallback>
        </mc:AlternateContent>
      </w:r>
      <w:r>
        <w:rPr>
          <w:color w:val="FF0000"/>
          <w:sz w:val="21"/>
        </w:rPr>
        <mc:AlternateContent>
          <mc:Choice Requires="wps">
            <w:drawing>
              <wp:anchor distT="0" distB="0" distL="114300" distR="114300" simplePos="0" relativeHeight="251661312" behindDoc="0" locked="0" layoutInCell="1" allowOverlap="1">
                <wp:simplePos x="0" y="0"/>
                <wp:positionH relativeFrom="column">
                  <wp:posOffset>2988945</wp:posOffset>
                </wp:positionH>
                <wp:positionV relativeFrom="paragraph">
                  <wp:posOffset>2439670</wp:posOffset>
                </wp:positionV>
                <wp:extent cx="1619250" cy="532130"/>
                <wp:effectExtent l="7620" t="7620" r="11430" b="393700"/>
                <wp:wrapNone/>
                <wp:docPr id="31" name="矩形标注 31"/>
                <wp:cNvGraphicFramePr/>
                <a:graphic xmlns:a="http://schemas.openxmlformats.org/drawingml/2006/main">
                  <a:graphicData uri="http://schemas.microsoft.com/office/word/2010/wordprocessingShape">
                    <wps:wsp>
                      <wps:cNvSpPr/>
                      <wps:spPr>
                        <a:xfrm>
                          <a:off x="4653915" y="3527425"/>
                          <a:ext cx="1619250" cy="532130"/>
                        </a:xfrm>
                        <a:prstGeom prst="wedgeRectCallout">
                          <a:avLst>
                            <a:gd name="adj1" fmla="val 47686"/>
                            <a:gd name="adj2" fmla="val 120286"/>
                          </a:avLst>
                        </a:prstGeom>
                        <a:noFill/>
                        <a:ln w="158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76C7E29">
                            <w:pPr>
                              <w:jc w:val="center"/>
                              <w:rPr>
                                <w:rFonts w:hint="eastAsia"/>
                                <w:lang w:val="en-US" w:eastAsia="zh-CN"/>
                                <w14:textOutline w14:w="9525">
                                  <w14:solidFill>
                                    <w14:srgbClr w14:val="FF0000"/>
                                  </w14:solidFill>
                                  <w14:round/>
                                </w14:textOutline>
                                <w14:textFill>
                                  <w14:noFill/>
                                </w14:textFill>
                              </w:rPr>
                            </w:pPr>
                            <w:r>
                              <w:rPr>
                                <w:rFonts w:hint="eastAsia"/>
                                <w:lang w:val="en-US" w:eastAsia="zh-CN"/>
                                <w14:textOutline w14:w="9525">
                                  <w14:solidFill>
                                    <w14:srgbClr w14:val="FF0000"/>
                                  </w14:solidFill>
                                  <w14:round/>
                                </w14:textOutline>
                                <w14:textFill>
                                  <w14:noFill/>
                                </w14:textFill>
                              </w:rPr>
                              <w:t>项目所在地</w:t>
                            </w:r>
                          </w:p>
                          <w:p w14:paraId="30511B6C">
                            <w:pPr>
                              <w:jc w:val="center"/>
                              <w:rPr>
                                <w:rFonts w:hint="default"/>
                                <w:color w:val="FF0000"/>
                                <w:sz w:val="21"/>
                                <w:szCs w:val="21"/>
                                <w:u w:val="none"/>
                                <w:lang w:val="en-US" w:eastAsia="zh-CN"/>
                                <w14:textOutline w14:w="9525">
                                  <w14:solidFill>
                                    <w14:srgbClr w14:val="FF0000"/>
                                  </w14:solidFill>
                                  <w14:round/>
                                </w14:textOutline>
                              </w:rPr>
                            </w:pPr>
                            <w:r>
                              <w:rPr>
                                <w:rFonts w:hint="eastAsia" w:cs="Times New Roman"/>
                                <w:color w:val="FF0000"/>
                                <w:sz w:val="21"/>
                                <w:szCs w:val="21"/>
                                <w:u w:val="none"/>
                                <w:lang w:eastAsia="zh-CN"/>
                              </w:rPr>
                              <w:t>（</w:t>
                            </w:r>
                            <w:r>
                              <w:rPr>
                                <w:rFonts w:hint="default" w:ascii="Times New Roman" w:hAnsi="Times New Roman" w:cs="Times New Roman"/>
                                <w:color w:val="FF0000"/>
                                <w:sz w:val="21"/>
                                <w:szCs w:val="21"/>
                                <w:u w:val="none"/>
                              </w:rPr>
                              <w:t>112度3</w:t>
                            </w:r>
                            <w:r>
                              <w:rPr>
                                <w:rFonts w:hint="default" w:ascii="Times New Roman" w:hAnsi="Times New Roman" w:cs="Times New Roman"/>
                                <w:color w:val="FF0000"/>
                                <w:sz w:val="21"/>
                                <w:szCs w:val="21"/>
                                <w:u w:val="none"/>
                                <w:lang w:val="en-US" w:eastAsia="zh-CN"/>
                              </w:rPr>
                              <w:t>5</w:t>
                            </w:r>
                            <w:r>
                              <w:rPr>
                                <w:rFonts w:hint="default" w:ascii="Times New Roman" w:hAnsi="Times New Roman" w:cs="Times New Roman"/>
                                <w:color w:val="FF0000"/>
                                <w:sz w:val="21"/>
                                <w:szCs w:val="21"/>
                                <w:u w:val="none"/>
                              </w:rPr>
                              <w:t>分</w:t>
                            </w:r>
                            <w:r>
                              <w:rPr>
                                <w:rFonts w:hint="default" w:ascii="Times New Roman" w:hAnsi="Times New Roman" w:cs="Times New Roman"/>
                                <w:color w:val="FF0000"/>
                                <w:sz w:val="21"/>
                                <w:szCs w:val="21"/>
                                <w:u w:val="none"/>
                                <w:lang w:val="en-US" w:eastAsia="zh-CN"/>
                              </w:rPr>
                              <w:t>34.998</w:t>
                            </w:r>
                            <w:r>
                              <w:rPr>
                                <w:rFonts w:hint="default" w:ascii="Times New Roman" w:hAnsi="Times New Roman" w:cs="Times New Roman"/>
                                <w:color w:val="FF0000"/>
                                <w:sz w:val="21"/>
                                <w:szCs w:val="21"/>
                                <w:u w:val="none"/>
                              </w:rPr>
                              <w:t>秒</w:t>
                            </w:r>
                            <w:r>
                              <w:rPr>
                                <w:rFonts w:hint="default" w:ascii="Times New Roman" w:hAnsi="Times New Roman" w:cs="Times New Roman"/>
                                <w:color w:val="FF0000"/>
                                <w:sz w:val="21"/>
                                <w:szCs w:val="21"/>
                                <w:u w:val="none"/>
                                <w:lang w:val="en-US" w:eastAsia="zh-CN"/>
                              </w:rPr>
                              <w:t>E</w:t>
                            </w:r>
                            <w:r>
                              <w:rPr>
                                <w:rFonts w:hint="default" w:ascii="Times New Roman" w:hAnsi="Times New Roman" w:cs="Times New Roman"/>
                                <w:color w:val="FF0000"/>
                                <w:sz w:val="21"/>
                                <w:szCs w:val="21"/>
                                <w:u w:val="none"/>
                              </w:rPr>
                              <w:t>，26度4</w:t>
                            </w:r>
                            <w:r>
                              <w:rPr>
                                <w:rFonts w:hint="default" w:ascii="Times New Roman" w:hAnsi="Times New Roman" w:cs="Times New Roman"/>
                                <w:color w:val="FF0000"/>
                                <w:sz w:val="21"/>
                                <w:szCs w:val="21"/>
                                <w:u w:val="none"/>
                                <w:lang w:val="en-US" w:eastAsia="zh-CN"/>
                              </w:rPr>
                              <w:t>9</w:t>
                            </w:r>
                            <w:r>
                              <w:rPr>
                                <w:rFonts w:hint="default" w:ascii="Times New Roman" w:hAnsi="Times New Roman" w:cs="Times New Roman"/>
                                <w:color w:val="FF0000"/>
                                <w:sz w:val="21"/>
                                <w:szCs w:val="21"/>
                                <w:u w:val="none"/>
                              </w:rPr>
                              <w:t>分</w:t>
                            </w:r>
                            <w:r>
                              <w:rPr>
                                <w:rFonts w:hint="default" w:ascii="Times New Roman" w:hAnsi="Times New Roman" w:cs="Times New Roman"/>
                                <w:color w:val="FF0000"/>
                                <w:sz w:val="21"/>
                                <w:szCs w:val="21"/>
                                <w:u w:val="none"/>
                                <w:lang w:val="en-US" w:eastAsia="zh-CN"/>
                              </w:rPr>
                              <w:t>37.130</w:t>
                            </w:r>
                            <w:r>
                              <w:rPr>
                                <w:rFonts w:hint="default" w:ascii="Times New Roman" w:hAnsi="Times New Roman" w:cs="Times New Roman"/>
                                <w:color w:val="FF0000"/>
                                <w:sz w:val="21"/>
                                <w:szCs w:val="21"/>
                                <w:u w:val="none"/>
                              </w:rPr>
                              <w:t>秒</w:t>
                            </w:r>
                            <w:r>
                              <w:rPr>
                                <w:rFonts w:hint="default" w:ascii="Times New Roman" w:hAnsi="Times New Roman" w:cs="Times New Roman"/>
                                <w:color w:val="FF0000"/>
                                <w:sz w:val="21"/>
                                <w:szCs w:val="21"/>
                                <w:u w:val="none"/>
                                <w:lang w:val="en-US" w:eastAsia="zh-CN"/>
                              </w:rPr>
                              <w:t>N</w:t>
                            </w:r>
                            <w:r>
                              <w:rPr>
                                <w:rFonts w:hint="eastAsia" w:cs="Times New Roman"/>
                                <w:color w:val="FF0000"/>
                                <w:sz w:val="21"/>
                                <w:szCs w:val="21"/>
                                <w:u w:val="none"/>
                                <w:lang w:eastAsia="zh-CN"/>
                              </w:rPr>
                              <w:t>）</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35.35pt;margin-top:192.1pt;height:41.9pt;width:127.5pt;z-index:251661312;v-text-anchor:middle;mso-width-relative:page;mso-height-relative:page;" filled="f" stroked="t" coordsize="21600,21600" o:gfxdata="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oQuCnaAAAACwEAAA8AAAAAAAAAAQAgAAAAIgAAAGRycy9kb3ducmV2Lnht&#10;bFBLAQIUABQAAAAIAIdO4kAqKMkKogIAACEFAAAOAAAAAAAAAAEAIAAAACkBAABkcnMvZTJvRG9j&#10;LnhtbFBLBQYAAAAABgAGAFkBAAA9BgAAAAA=&#10;" adj="21100,36782">
                <v:fill on="f" focussize="0,0"/>
                <v:stroke weight="1.25pt" color="#FF0000 [2404]" joinstyle="round"/>
                <v:imagedata o:title=""/>
                <o:lock v:ext="edit" aspectratio="f"/>
                <v:textbox inset="0mm,0mm,0mm,0mm">
                  <w:txbxContent>
                    <w:p w14:paraId="076C7E29">
                      <w:pPr>
                        <w:jc w:val="center"/>
                        <w:rPr>
                          <w:rFonts w:hint="eastAsia"/>
                          <w:lang w:val="en-US" w:eastAsia="zh-CN"/>
                          <w14:textOutline w14:w="9525">
                            <w14:solidFill>
                              <w14:srgbClr w14:val="FF0000"/>
                            </w14:solidFill>
                            <w14:round/>
                          </w14:textOutline>
                          <w14:textFill>
                            <w14:noFill/>
                          </w14:textFill>
                        </w:rPr>
                      </w:pPr>
                      <w:r>
                        <w:rPr>
                          <w:rFonts w:hint="eastAsia"/>
                          <w:lang w:val="en-US" w:eastAsia="zh-CN"/>
                          <w14:textOutline w14:w="9525">
                            <w14:solidFill>
                              <w14:srgbClr w14:val="FF0000"/>
                            </w14:solidFill>
                            <w14:round/>
                          </w14:textOutline>
                          <w14:textFill>
                            <w14:noFill/>
                          </w14:textFill>
                        </w:rPr>
                        <w:t>项目所在地</w:t>
                      </w:r>
                    </w:p>
                    <w:p w14:paraId="30511B6C">
                      <w:pPr>
                        <w:jc w:val="center"/>
                        <w:rPr>
                          <w:rFonts w:hint="default"/>
                          <w:color w:val="FF0000"/>
                          <w:sz w:val="21"/>
                          <w:szCs w:val="21"/>
                          <w:u w:val="none"/>
                          <w:lang w:val="en-US" w:eastAsia="zh-CN"/>
                          <w14:textOutline w14:w="9525">
                            <w14:solidFill>
                              <w14:srgbClr w14:val="FF0000"/>
                            </w14:solidFill>
                            <w14:round/>
                          </w14:textOutline>
                        </w:rPr>
                      </w:pPr>
                      <w:r>
                        <w:rPr>
                          <w:rFonts w:hint="eastAsia" w:cs="Times New Roman"/>
                          <w:color w:val="FF0000"/>
                          <w:sz w:val="21"/>
                          <w:szCs w:val="21"/>
                          <w:u w:val="none"/>
                          <w:lang w:eastAsia="zh-CN"/>
                        </w:rPr>
                        <w:t>（</w:t>
                      </w:r>
                      <w:r>
                        <w:rPr>
                          <w:rFonts w:hint="default" w:ascii="Times New Roman" w:hAnsi="Times New Roman" w:cs="Times New Roman"/>
                          <w:color w:val="FF0000"/>
                          <w:sz w:val="21"/>
                          <w:szCs w:val="21"/>
                          <w:u w:val="none"/>
                        </w:rPr>
                        <w:t>112度3</w:t>
                      </w:r>
                      <w:r>
                        <w:rPr>
                          <w:rFonts w:hint="default" w:ascii="Times New Roman" w:hAnsi="Times New Roman" w:cs="Times New Roman"/>
                          <w:color w:val="FF0000"/>
                          <w:sz w:val="21"/>
                          <w:szCs w:val="21"/>
                          <w:u w:val="none"/>
                          <w:lang w:val="en-US" w:eastAsia="zh-CN"/>
                        </w:rPr>
                        <w:t>5</w:t>
                      </w:r>
                      <w:r>
                        <w:rPr>
                          <w:rFonts w:hint="default" w:ascii="Times New Roman" w:hAnsi="Times New Roman" w:cs="Times New Roman"/>
                          <w:color w:val="FF0000"/>
                          <w:sz w:val="21"/>
                          <w:szCs w:val="21"/>
                          <w:u w:val="none"/>
                        </w:rPr>
                        <w:t>分</w:t>
                      </w:r>
                      <w:r>
                        <w:rPr>
                          <w:rFonts w:hint="default" w:ascii="Times New Roman" w:hAnsi="Times New Roman" w:cs="Times New Roman"/>
                          <w:color w:val="FF0000"/>
                          <w:sz w:val="21"/>
                          <w:szCs w:val="21"/>
                          <w:u w:val="none"/>
                          <w:lang w:val="en-US" w:eastAsia="zh-CN"/>
                        </w:rPr>
                        <w:t>34.998</w:t>
                      </w:r>
                      <w:r>
                        <w:rPr>
                          <w:rFonts w:hint="default" w:ascii="Times New Roman" w:hAnsi="Times New Roman" w:cs="Times New Roman"/>
                          <w:color w:val="FF0000"/>
                          <w:sz w:val="21"/>
                          <w:szCs w:val="21"/>
                          <w:u w:val="none"/>
                        </w:rPr>
                        <w:t>秒</w:t>
                      </w:r>
                      <w:r>
                        <w:rPr>
                          <w:rFonts w:hint="default" w:ascii="Times New Roman" w:hAnsi="Times New Roman" w:cs="Times New Roman"/>
                          <w:color w:val="FF0000"/>
                          <w:sz w:val="21"/>
                          <w:szCs w:val="21"/>
                          <w:u w:val="none"/>
                          <w:lang w:val="en-US" w:eastAsia="zh-CN"/>
                        </w:rPr>
                        <w:t>E</w:t>
                      </w:r>
                      <w:r>
                        <w:rPr>
                          <w:rFonts w:hint="default" w:ascii="Times New Roman" w:hAnsi="Times New Roman" w:cs="Times New Roman"/>
                          <w:color w:val="FF0000"/>
                          <w:sz w:val="21"/>
                          <w:szCs w:val="21"/>
                          <w:u w:val="none"/>
                        </w:rPr>
                        <w:t>，26度4</w:t>
                      </w:r>
                      <w:r>
                        <w:rPr>
                          <w:rFonts w:hint="default" w:ascii="Times New Roman" w:hAnsi="Times New Roman" w:cs="Times New Roman"/>
                          <w:color w:val="FF0000"/>
                          <w:sz w:val="21"/>
                          <w:szCs w:val="21"/>
                          <w:u w:val="none"/>
                          <w:lang w:val="en-US" w:eastAsia="zh-CN"/>
                        </w:rPr>
                        <w:t>9</w:t>
                      </w:r>
                      <w:r>
                        <w:rPr>
                          <w:rFonts w:hint="default" w:ascii="Times New Roman" w:hAnsi="Times New Roman" w:cs="Times New Roman"/>
                          <w:color w:val="FF0000"/>
                          <w:sz w:val="21"/>
                          <w:szCs w:val="21"/>
                          <w:u w:val="none"/>
                        </w:rPr>
                        <w:t>分</w:t>
                      </w:r>
                      <w:r>
                        <w:rPr>
                          <w:rFonts w:hint="default" w:ascii="Times New Roman" w:hAnsi="Times New Roman" w:cs="Times New Roman"/>
                          <w:color w:val="FF0000"/>
                          <w:sz w:val="21"/>
                          <w:szCs w:val="21"/>
                          <w:u w:val="none"/>
                          <w:lang w:val="en-US" w:eastAsia="zh-CN"/>
                        </w:rPr>
                        <w:t>37.130</w:t>
                      </w:r>
                      <w:r>
                        <w:rPr>
                          <w:rFonts w:hint="default" w:ascii="Times New Roman" w:hAnsi="Times New Roman" w:cs="Times New Roman"/>
                          <w:color w:val="FF0000"/>
                          <w:sz w:val="21"/>
                          <w:szCs w:val="21"/>
                          <w:u w:val="none"/>
                        </w:rPr>
                        <w:t>秒</w:t>
                      </w:r>
                      <w:r>
                        <w:rPr>
                          <w:rFonts w:hint="default" w:ascii="Times New Roman" w:hAnsi="Times New Roman" w:cs="Times New Roman"/>
                          <w:color w:val="FF0000"/>
                          <w:sz w:val="21"/>
                          <w:szCs w:val="21"/>
                          <w:u w:val="none"/>
                          <w:lang w:val="en-US" w:eastAsia="zh-CN"/>
                        </w:rPr>
                        <w:t>N</w:t>
                      </w:r>
                      <w:r>
                        <w:rPr>
                          <w:rFonts w:hint="eastAsia" w:cs="Times New Roman"/>
                          <w:color w:val="FF0000"/>
                          <w:sz w:val="21"/>
                          <w:szCs w:val="21"/>
                          <w:u w:val="none"/>
                          <w:lang w:eastAsia="zh-CN"/>
                        </w:rPr>
                        <w:t>）</w:t>
                      </w:r>
                    </w:p>
                  </w:txbxContent>
                </v:textbox>
              </v:shape>
            </w:pict>
          </mc:Fallback>
        </mc:AlternateContent>
      </w:r>
      <w:r>
        <w:rPr>
          <w:color w:val="FF0000"/>
          <w:sz w:val="21"/>
        </w:rPr>
        <mc:AlternateContent>
          <mc:Choice Requires="wps">
            <w:drawing>
              <wp:anchor distT="0" distB="0" distL="114300" distR="114300" simplePos="0" relativeHeight="251660288" behindDoc="0" locked="0" layoutInCell="1" allowOverlap="1">
                <wp:simplePos x="0" y="0"/>
                <wp:positionH relativeFrom="column">
                  <wp:posOffset>4559300</wp:posOffset>
                </wp:positionH>
                <wp:positionV relativeFrom="paragraph">
                  <wp:posOffset>3346450</wp:posOffset>
                </wp:positionV>
                <wp:extent cx="95250" cy="75565"/>
                <wp:effectExtent l="12700" t="12700" r="25400" b="26035"/>
                <wp:wrapNone/>
                <wp:docPr id="24" name="流程图: 决策 24"/>
                <wp:cNvGraphicFramePr/>
                <a:graphic xmlns:a="http://schemas.openxmlformats.org/drawingml/2006/main">
                  <a:graphicData uri="http://schemas.microsoft.com/office/word/2010/wordprocessingShape">
                    <wps:wsp>
                      <wps:cNvSpPr/>
                      <wps:spPr>
                        <a:xfrm>
                          <a:off x="5232400" y="3900805"/>
                          <a:ext cx="95250" cy="75565"/>
                        </a:xfrm>
                        <a:prstGeom prst="flowChartDecision">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0" type="#_x0000_t110" style="position:absolute;left:0pt;margin-left:359pt;margin-top:263.5pt;height:5.95pt;width:7.5pt;z-index:251660288;v-text-anchor:middle;mso-width-relative:page;mso-height-relative:page;" fillcolor="#FF0000" filled="t" stroked="t" coordsize="21600,21600" o:gfxdata="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hF78rZAAAACwEAAA8A&#10;AAAAAAAAAQAgAAAAIgAAAGRycy9kb3ducmV2LnhtbFBLAQIUABQAAAAIAIdO4kDpNSzKiAIAAAAF&#10;AAAOAAAAAAAAAAEAIAAAACgBAABkcnMvZTJvRG9jLnhtbFBLBQYAAAAABgAGAFkBAAAiBgAAAAA=&#10;">
                <v:fill on="t" focussize="0,0"/>
                <v:stroke weight="2pt" color="#FF0000 [2404]" joinstyle="round"/>
                <v:imagedata o:title=""/>
                <o:lock v:ext="edit" aspectratio="f"/>
              </v:shape>
            </w:pict>
          </mc:Fallback>
        </mc:AlternateContent>
      </w:r>
      <w:r>
        <w:drawing>
          <wp:inline distT="0" distB="0" distL="114300" distR="114300">
            <wp:extent cx="7010400" cy="4886960"/>
            <wp:effectExtent l="0" t="0" r="0" b="8890"/>
            <wp:docPr id="1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7"/>
                    <pic:cNvPicPr>
                      <a:picLocks noChangeAspect="1"/>
                    </pic:cNvPicPr>
                  </pic:nvPicPr>
                  <pic:blipFill>
                    <a:blip r:embed="rId80"/>
                    <a:stretch>
                      <a:fillRect/>
                    </a:stretch>
                  </pic:blipFill>
                  <pic:spPr>
                    <a:xfrm>
                      <a:off x="0" y="0"/>
                      <a:ext cx="7010400" cy="4886960"/>
                    </a:xfrm>
                    <a:prstGeom prst="rect">
                      <a:avLst/>
                    </a:prstGeom>
                    <a:noFill/>
                    <a:ln>
                      <a:noFill/>
                    </a:ln>
                  </pic:spPr>
                </pic:pic>
              </a:graphicData>
            </a:graphic>
          </wp:inline>
        </w:drawing>
      </w:r>
    </w:p>
    <w:p w14:paraId="500C4EB8">
      <w:pPr>
        <w:pStyle w:val="31"/>
        <w:bidi w:val="0"/>
        <w:rPr>
          <w:rFonts w:hint="default" w:ascii="Times New Roman" w:hAnsi="Times New Roman" w:cs="Times New Roman"/>
          <w:color w:val="FF0000"/>
        </w:rPr>
      </w:pPr>
    </w:p>
    <w:p w14:paraId="4E9945B7">
      <w:pPr>
        <w:pStyle w:val="31"/>
        <w:bidi w:val="0"/>
        <w:rPr>
          <w:rFonts w:hint="default" w:ascii="Times New Roman" w:hAnsi="Times New Roman" w:cs="Times New Roman"/>
          <w:color w:val="FF0000"/>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83ECF98">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附图2  厂界外50m、500m范围内环境保护目标分布情况</w:t>
      </w:r>
    </w:p>
    <w:p w14:paraId="1E29583A">
      <w:pPr>
        <w:pStyle w:val="31"/>
        <w:bidi w:val="0"/>
        <w:rPr>
          <w:rFonts w:hint="default" w:ascii="Times New Roman" w:hAnsi="Times New Roman" w:cs="Times New Roman"/>
          <w:color w:val="FF0000"/>
        </w:rPr>
      </w:pPr>
      <w:r>
        <w:rPr>
          <w:color w:val="FF0000"/>
          <w:sz w:val="21"/>
        </w:rPr>
        <mc:AlternateContent>
          <mc:Choice Requires="wps">
            <w:drawing>
              <wp:anchor distT="0" distB="0" distL="114300" distR="114300" simplePos="0" relativeHeight="251701248" behindDoc="0" locked="0" layoutInCell="1" allowOverlap="1">
                <wp:simplePos x="0" y="0"/>
                <wp:positionH relativeFrom="column">
                  <wp:posOffset>3808730</wp:posOffset>
                </wp:positionH>
                <wp:positionV relativeFrom="paragraph">
                  <wp:posOffset>1106170</wp:posOffset>
                </wp:positionV>
                <wp:extent cx="142875" cy="257810"/>
                <wp:effectExtent l="0" t="0" r="9525" b="8890"/>
                <wp:wrapNone/>
                <wp:docPr id="174" name="矩形 174"/>
                <wp:cNvGraphicFramePr/>
                <a:graphic xmlns:a="http://schemas.openxmlformats.org/drawingml/2006/main">
                  <a:graphicData uri="http://schemas.microsoft.com/office/word/2010/wordprocessingShape">
                    <wps:wsp>
                      <wps:cNvSpPr/>
                      <wps:spPr>
                        <a:xfrm>
                          <a:off x="0" y="0"/>
                          <a:ext cx="142875" cy="2578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1650235">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3</w:t>
                            </w:r>
                          </w:p>
                        </w:txbxContent>
                      </wps:txbx>
                      <wps:bodyPr rot="0" spcFirstLastPara="0" vertOverflow="overflow" horzOverflow="overflow" vert="horz" wrap="square" lIns="36000" tIns="0" rIns="36000" bIns="0" numCol="1" spcCol="0" rtlCol="0" fromWordArt="0" anchor="ctr" anchorCtr="0" forceAA="0" compatLnSpc="1">
                        <a:noAutofit/>
                      </wps:bodyPr>
                    </wps:wsp>
                  </a:graphicData>
                </a:graphic>
              </wp:anchor>
            </w:drawing>
          </mc:Choice>
          <mc:Fallback>
            <w:pict>
              <v:rect id="_x0000_s1026" o:spid="_x0000_s1026" o:spt="1" style="position:absolute;left:0pt;margin-left:299.9pt;margin-top:87.1pt;height:20.3pt;width:11.25pt;z-index:251701248;v-text-anchor:middle;mso-width-relative:page;mso-height-relative:page;" fillcolor="#FFFFFF [3212]" filled="t" stroked="f" coordsize="21600,21600" o:gfxdata="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8mtxf2gAAAAsBAAAPAAAAAAAAAAEAIAAAACIAAABkcnMvZG93bnJldi54bWxQSwECFAAU&#10;AAAACACHTuJA7pG1k2ECAAC6BAAADgAAAAAAAAABACAAAAApAQAAZHJzL2Uyb0RvYy54bWxQSwUG&#10;AAAAAAYABgBZAQAA/AUAAAAA&#10;">
                <v:fill on="t" focussize="0,0"/>
                <v:stroke on="f" weight="2pt"/>
                <v:imagedata o:title=""/>
                <o:lock v:ext="edit" aspectratio="f"/>
                <v:textbox inset="1mm,0mm,1mm,0mm">
                  <w:txbxContent>
                    <w:p w14:paraId="11650235">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3</w:t>
                      </w:r>
                    </w:p>
                  </w:txbxContent>
                </v:textbox>
              </v:rect>
            </w:pict>
          </mc:Fallback>
        </mc:AlternateContent>
      </w:r>
      <w:r>
        <w:rPr>
          <w:color w:val="FF0000"/>
          <w:sz w:val="21"/>
        </w:rPr>
        <mc:AlternateContent>
          <mc:Choice Requires="wps">
            <w:drawing>
              <wp:anchor distT="0" distB="0" distL="114300" distR="114300" simplePos="0" relativeHeight="251703296" behindDoc="0" locked="0" layoutInCell="1" allowOverlap="1">
                <wp:simplePos x="0" y="0"/>
                <wp:positionH relativeFrom="column">
                  <wp:posOffset>2494280</wp:posOffset>
                </wp:positionH>
                <wp:positionV relativeFrom="paragraph">
                  <wp:posOffset>3611245</wp:posOffset>
                </wp:positionV>
                <wp:extent cx="142875" cy="257810"/>
                <wp:effectExtent l="0" t="0" r="9525" b="8890"/>
                <wp:wrapNone/>
                <wp:docPr id="179" name="矩形 179"/>
                <wp:cNvGraphicFramePr/>
                <a:graphic xmlns:a="http://schemas.openxmlformats.org/drawingml/2006/main">
                  <a:graphicData uri="http://schemas.microsoft.com/office/word/2010/wordprocessingShape">
                    <wps:wsp>
                      <wps:cNvSpPr/>
                      <wps:spPr>
                        <a:xfrm>
                          <a:off x="0" y="0"/>
                          <a:ext cx="142875" cy="2578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3131CD">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4</w:t>
                            </w:r>
                          </w:p>
                        </w:txbxContent>
                      </wps:txbx>
                      <wps:bodyPr rot="0" spcFirstLastPara="0" vertOverflow="overflow" horzOverflow="overflow" vert="horz" wrap="square" lIns="36000" tIns="0" rIns="36000" bIns="0" numCol="1" spcCol="0" rtlCol="0" fromWordArt="0" anchor="ctr" anchorCtr="0" forceAA="0" compatLnSpc="1">
                        <a:noAutofit/>
                      </wps:bodyPr>
                    </wps:wsp>
                  </a:graphicData>
                </a:graphic>
              </wp:anchor>
            </w:drawing>
          </mc:Choice>
          <mc:Fallback>
            <w:pict>
              <v:rect id="_x0000_s1026" o:spid="_x0000_s1026" o:spt="1" style="position:absolute;left:0pt;margin-left:196.4pt;margin-top:284.35pt;height:20.3pt;width:11.25pt;z-index:251703296;v-text-anchor:middle;mso-width-relative:page;mso-height-relative:page;" fillcolor="#FFFFFF [3212]" filled="t" stroked="f" coordsize="21600,21600" o:gfxdata="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QkDgZNsAAAALAQAADwAAAAAAAAABACAAAAAiAAAAZHJzL2Rvd25yZXYueG1sUEsBAhQA&#10;FAAAAAgAh07iQFjjbs5hAgAAugQAAA4AAAAAAAAAAQAgAAAAKgEAAGRycy9lMm9Eb2MueG1sUEsF&#10;BgAAAAAGAAYAWQEAAP0FAAAAAA==&#10;">
                <v:fill on="t" focussize="0,0"/>
                <v:stroke on="f" weight="2pt"/>
                <v:imagedata o:title=""/>
                <o:lock v:ext="edit" aspectratio="f"/>
                <v:textbox inset="1mm,0mm,1mm,0mm">
                  <w:txbxContent>
                    <w:p w14:paraId="473131CD">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4</w:t>
                      </w:r>
                    </w:p>
                  </w:txbxContent>
                </v:textbox>
              </v:rect>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3600450</wp:posOffset>
                </wp:positionH>
                <wp:positionV relativeFrom="paragraph">
                  <wp:posOffset>1097280</wp:posOffset>
                </wp:positionV>
                <wp:extent cx="171450" cy="285750"/>
                <wp:effectExtent l="12700" t="12700" r="25400" b="25400"/>
                <wp:wrapNone/>
                <wp:docPr id="176" name="任意多边形 176"/>
                <wp:cNvGraphicFramePr/>
                <a:graphic xmlns:a="http://schemas.openxmlformats.org/drawingml/2006/main">
                  <a:graphicData uri="http://schemas.microsoft.com/office/word/2010/wordprocessingShape">
                    <wps:wsp>
                      <wps:cNvSpPr/>
                      <wps:spPr>
                        <a:xfrm>
                          <a:off x="4680585" y="2318385"/>
                          <a:ext cx="171450" cy="285750"/>
                        </a:xfrm>
                        <a:custGeom>
                          <a:avLst/>
                          <a:gdLst>
                            <a:gd name="connisteX0" fmla="*/ 19050 w 171450"/>
                            <a:gd name="connsiteY0" fmla="*/ 0 h 285750"/>
                            <a:gd name="connisteX1" fmla="*/ 9525 w 171450"/>
                            <a:gd name="connsiteY1" fmla="*/ 66675 h 285750"/>
                            <a:gd name="connisteX2" fmla="*/ 9525 w 171450"/>
                            <a:gd name="connsiteY2" fmla="*/ 133350 h 285750"/>
                            <a:gd name="connisteX3" fmla="*/ 0 w 171450"/>
                            <a:gd name="connsiteY3" fmla="*/ 209550 h 285750"/>
                            <a:gd name="connisteX4" fmla="*/ 66675 w 171450"/>
                            <a:gd name="connsiteY4" fmla="*/ 257175 h 285750"/>
                            <a:gd name="connisteX5" fmla="*/ 133350 w 171450"/>
                            <a:gd name="connsiteY5" fmla="*/ 285750 h 285750"/>
                            <a:gd name="connisteX6" fmla="*/ 142875 w 171450"/>
                            <a:gd name="connsiteY6" fmla="*/ 219075 h 285750"/>
                            <a:gd name="connisteX7" fmla="*/ 152400 w 171450"/>
                            <a:gd name="connsiteY7" fmla="*/ 152400 h 285750"/>
                            <a:gd name="connisteX8" fmla="*/ 161925 w 171450"/>
                            <a:gd name="connsiteY8" fmla="*/ 85725 h 285750"/>
                            <a:gd name="connisteX9" fmla="*/ 171450 w 171450"/>
                            <a:gd name="connsiteY9" fmla="*/ 19050 h 285750"/>
                            <a:gd name="connisteX10" fmla="*/ 104775 w 171450"/>
                            <a:gd name="connsiteY10" fmla="*/ 0 h 285750"/>
                            <a:gd name="connisteX11" fmla="*/ 38100 w 171450"/>
                            <a:gd name="connsiteY11" fmla="*/ 28575 h 285750"/>
                            <a:gd name="connisteX12" fmla="*/ 19050 w 171450"/>
                            <a:gd name="connsiteY12" fmla="*/ 0 h 285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71450" h="285750">
                              <a:moveTo>
                                <a:pt x="19050" y="0"/>
                              </a:moveTo>
                              <a:lnTo>
                                <a:pt x="9525" y="66675"/>
                              </a:lnTo>
                              <a:lnTo>
                                <a:pt x="9525" y="133350"/>
                              </a:lnTo>
                              <a:lnTo>
                                <a:pt x="0" y="209550"/>
                              </a:lnTo>
                              <a:lnTo>
                                <a:pt x="66675" y="257175"/>
                              </a:lnTo>
                              <a:lnTo>
                                <a:pt x="133350" y="285750"/>
                              </a:lnTo>
                              <a:lnTo>
                                <a:pt x="142875" y="219075"/>
                              </a:lnTo>
                              <a:lnTo>
                                <a:pt x="152400" y="152400"/>
                              </a:lnTo>
                              <a:lnTo>
                                <a:pt x="161925" y="85725"/>
                              </a:lnTo>
                              <a:lnTo>
                                <a:pt x="171450" y="19050"/>
                              </a:lnTo>
                              <a:lnTo>
                                <a:pt x="104775" y="0"/>
                              </a:lnTo>
                              <a:lnTo>
                                <a:pt x="38100" y="28575"/>
                              </a:lnTo>
                              <a:lnTo>
                                <a:pt x="19050" y="0"/>
                              </a:lnTo>
                              <a:close/>
                            </a:path>
                          </a:pathLst>
                        </a:custGeom>
                        <a:solidFill>
                          <a:srgbClr val="00B050">
                            <a:alpha val="40000"/>
                          </a:srgbClr>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3.5pt;margin-top:86.4pt;height:22.5pt;width:13.5pt;z-index:251702272;mso-width-relative:page;mso-height-relative:page;" fillcolor="#00B050" filled="t" stroked="t" coordsize="171450,285750" o:gfxdata="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" path="m19050,0l9525,66675,9525,133350,0,209550,66675,257175,133350,285750,142875,219075,152400,152400,161925,85725,171450,19050,104775,0,38100,28575,19050,0xe">
                <v:path o:connectlocs="19050,0;9525,66675;9525,133350;0,209550;66675,257175;133350,285750;142875,219075;152400,152400;161925,85725;171450,19050;104775,0;38100,28575;19050,0" o:connectangles="0,0,0,0,0,0,0,0,0,0,0,0,0"/>
                <v:fill on="t" opacity="26214f" focussize="0,0"/>
                <v:stroke weight="2pt" color="#00B050 [2404]" joinstyle="round"/>
                <v:imagedata o:title=""/>
                <o:lock v:ext="edit" aspectratio="f"/>
              </v:shape>
            </w:pict>
          </mc:Fallback>
        </mc:AlternateContent>
      </w:r>
      <w:r>
        <w:rPr>
          <w:color w:val="FF0000"/>
          <w:sz w:val="21"/>
        </w:rPr>
        <mc:AlternateContent>
          <mc:Choice Requires="wps">
            <w:drawing>
              <wp:anchor distT="0" distB="0" distL="114300" distR="114300" simplePos="0" relativeHeight="251699200" behindDoc="0" locked="0" layoutInCell="1" allowOverlap="1">
                <wp:simplePos x="0" y="0"/>
                <wp:positionH relativeFrom="column">
                  <wp:posOffset>4075430</wp:posOffset>
                </wp:positionH>
                <wp:positionV relativeFrom="paragraph">
                  <wp:posOffset>658495</wp:posOffset>
                </wp:positionV>
                <wp:extent cx="142875" cy="257810"/>
                <wp:effectExtent l="0" t="0" r="9525" b="8890"/>
                <wp:wrapNone/>
                <wp:docPr id="164" name="矩形 164"/>
                <wp:cNvGraphicFramePr/>
                <a:graphic xmlns:a="http://schemas.openxmlformats.org/drawingml/2006/main">
                  <a:graphicData uri="http://schemas.microsoft.com/office/word/2010/wordprocessingShape">
                    <wps:wsp>
                      <wps:cNvSpPr/>
                      <wps:spPr>
                        <a:xfrm>
                          <a:off x="0" y="0"/>
                          <a:ext cx="142875" cy="2578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7FDBF2">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w:t>
                            </w:r>
                          </w:p>
                        </w:txbxContent>
                      </wps:txbx>
                      <wps:bodyPr rot="0" spcFirstLastPara="0" vertOverflow="overflow" horzOverflow="overflow" vert="horz" wrap="square" lIns="36000" tIns="0" rIns="36000" bIns="0" numCol="1" spcCol="0" rtlCol="0" fromWordArt="0" anchor="ctr" anchorCtr="0" forceAA="0" compatLnSpc="1">
                        <a:noAutofit/>
                      </wps:bodyPr>
                    </wps:wsp>
                  </a:graphicData>
                </a:graphic>
              </wp:anchor>
            </w:drawing>
          </mc:Choice>
          <mc:Fallback>
            <w:pict>
              <v:rect id="_x0000_s1026" o:spid="_x0000_s1026" o:spt="1" style="position:absolute;left:0pt;margin-left:320.9pt;margin-top:51.85pt;height:20.3pt;width:11.25pt;z-index:251699200;v-text-anchor:middle;mso-width-relative:page;mso-height-relative:page;" fillcolor="#FFFFFF [3212]" filled="t" stroked="f" coordsize="21600,21600" o:gfxdata="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eCcodgAAAALAQAADwAAAAAAAAABACAAAAAiAAAAZHJzL2Rvd25yZXYueG1sUEsBAhQAFAAA&#10;AAgAh07iQHJpKUdhAgAAugQAAA4AAAAAAAAAAQAgAAAAJwEAAGRycy9lMm9Eb2MueG1sUEsFBgAA&#10;AAAGAAYAWQEAAPoFAAAAAA==&#10;">
                <v:fill on="t" focussize="0,0"/>
                <v:stroke on="f" weight="2pt"/>
                <v:imagedata o:title=""/>
                <o:lock v:ext="edit" aspectratio="f"/>
                <v:textbox inset="1mm,0mm,1mm,0mm">
                  <w:txbxContent>
                    <w:p w14:paraId="5B7FDBF2">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w:t>
                      </w:r>
                    </w:p>
                  </w:txbxContent>
                </v:textbox>
              </v:rect>
            </w:pict>
          </mc:Fallback>
        </mc:AlternateContent>
      </w:r>
      <w:r>
        <w:rPr>
          <w:color w:val="FF0000"/>
          <w:sz w:val="21"/>
        </w:rPr>
        <mc:AlternateContent>
          <mc:Choice Requires="wps">
            <w:drawing>
              <wp:anchor distT="0" distB="0" distL="114300" distR="114300" simplePos="0" relativeHeight="251700224" behindDoc="0" locked="0" layoutInCell="1" allowOverlap="1">
                <wp:simplePos x="0" y="0"/>
                <wp:positionH relativeFrom="column">
                  <wp:posOffset>3056255</wp:posOffset>
                </wp:positionH>
                <wp:positionV relativeFrom="paragraph">
                  <wp:posOffset>753745</wp:posOffset>
                </wp:positionV>
                <wp:extent cx="142875" cy="257810"/>
                <wp:effectExtent l="0" t="0" r="9525" b="8890"/>
                <wp:wrapNone/>
                <wp:docPr id="173" name="矩形 173"/>
                <wp:cNvGraphicFramePr/>
                <a:graphic xmlns:a="http://schemas.openxmlformats.org/drawingml/2006/main">
                  <a:graphicData uri="http://schemas.microsoft.com/office/word/2010/wordprocessingShape">
                    <wps:wsp>
                      <wps:cNvSpPr/>
                      <wps:spPr>
                        <a:xfrm>
                          <a:off x="0" y="0"/>
                          <a:ext cx="142875" cy="2578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A6D1FA1">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1</w:t>
                            </w:r>
                          </w:p>
                        </w:txbxContent>
                      </wps:txbx>
                      <wps:bodyPr rot="0" spcFirstLastPara="0" vertOverflow="overflow" horzOverflow="overflow" vert="horz" wrap="square" lIns="36000" tIns="0" rIns="36000" bIns="0" numCol="1" spcCol="0" rtlCol="0" fromWordArt="0" anchor="ctr" anchorCtr="0" forceAA="0" compatLnSpc="1">
                        <a:noAutofit/>
                      </wps:bodyPr>
                    </wps:wsp>
                  </a:graphicData>
                </a:graphic>
              </wp:anchor>
            </w:drawing>
          </mc:Choice>
          <mc:Fallback>
            <w:pict>
              <v:rect id="_x0000_s1026" o:spid="_x0000_s1026" o:spt="1" style="position:absolute;left:0pt;margin-left:240.65pt;margin-top:59.35pt;height:20.3pt;width:11.25pt;z-index:251700224;v-text-anchor:middle;mso-width-relative:page;mso-height-relative:page;" fillcolor="#FFFFFF [3212]" filled="t" stroked="f" coordsize="21600,21600" o:gfxdata="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vZmltkAAAALAQAADwAAAAAAAAABACAAAAAiAAAAZHJzL2Rvd25yZXYueG1sUEsBAhQAFAAA&#10;AAgAh07iQMfqzGRgAgAAugQAAA4AAAAAAAAAAQAgAAAAKAEAAGRycy9lMm9Eb2MueG1sUEsFBgAA&#10;AAAGAAYAWQEAAPoFAAAAAA==&#10;">
                <v:fill on="t" focussize="0,0"/>
                <v:stroke on="f" weight="2pt"/>
                <v:imagedata o:title=""/>
                <o:lock v:ext="edit" aspectratio="f"/>
                <v:textbox inset="1mm,0mm,1mm,0mm">
                  <w:txbxContent>
                    <w:p w14:paraId="4A6D1FA1">
                      <w:pPr>
                        <w:jc w:val="center"/>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1</w:t>
                      </w:r>
                    </w:p>
                  </w:txbxContent>
                </v:textbox>
              </v:rect>
            </w:pict>
          </mc:Fallback>
        </mc:AlternateContent>
      </w:r>
      <w:r>
        <w:drawing>
          <wp:anchor distT="0" distB="0" distL="114300" distR="114300" simplePos="0" relativeHeight="251698176" behindDoc="0" locked="0" layoutInCell="1" allowOverlap="1">
            <wp:simplePos x="0" y="0"/>
            <wp:positionH relativeFrom="column">
              <wp:posOffset>303530</wp:posOffset>
            </wp:positionH>
            <wp:positionV relativeFrom="paragraph">
              <wp:posOffset>2895600</wp:posOffset>
            </wp:positionV>
            <wp:extent cx="981075" cy="2247900"/>
            <wp:effectExtent l="9525" t="9525" r="19050" b="9525"/>
            <wp:wrapNone/>
            <wp:docPr id="1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0"/>
                    <pic:cNvPicPr>
                      <a:picLocks noChangeAspect="1"/>
                    </pic:cNvPicPr>
                  </pic:nvPicPr>
                  <pic:blipFill>
                    <a:blip r:embed="rId81"/>
                    <a:stretch>
                      <a:fillRect/>
                    </a:stretch>
                  </pic:blipFill>
                  <pic:spPr>
                    <a:xfrm>
                      <a:off x="0" y="0"/>
                      <a:ext cx="981075" cy="2247900"/>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697152" behindDoc="0" locked="0" layoutInCell="1" allowOverlap="1">
                <wp:simplePos x="0" y="0"/>
                <wp:positionH relativeFrom="column">
                  <wp:posOffset>2146300</wp:posOffset>
                </wp:positionH>
                <wp:positionV relativeFrom="paragraph">
                  <wp:posOffset>3443605</wp:posOffset>
                </wp:positionV>
                <wp:extent cx="781050" cy="771525"/>
                <wp:effectExtent l="12700" t="12700" r="25400" b="15875"/>
                <wp:wrapNone/>
                <wp:docPr id="162" name="任意多边形 162"/>
                <wp:cNvGraphicFramePr/>
                <a:graphic xmlns:a="http://schemas.openxmlformats.org/drawingml/2006/main">
                  <a:graphicData uri="http://schemas.microsoft.com/office/word/2010/wordprocessingShape">
                    <wps:wsp>
                      <wps:cNvSpPr/>
                      <wps:spPr>
                        <a:xfrm>
                          <a:off x="3226435" y="4664710"/>
                          <a:ext cx="781050" cy="771525"/>
                        </a:xfrm>
                        <a:custGeom>
                          <a:avLst/>
                          <a:gdLst>
                            <a:gd name="connisteX0" fmla="*/ 9525 w 781050"/>
                            <a:gd name="connsiteY0" fmla="*/ 57150 h 771525"/>
                            <a:gd name="connisteX1" fmla="*/ 76200 w 781050"/>
                            <a:gd name="connsiteY1" fmla="*/ 133350 h 771525"/>
                            <a:gd name="connisteX2" fmla="*/ 123825 w 781050"/>
                            <a:gd name="connsiteY2" fmla="*/ 200025 h 771525"/>
                            <a:gd name="connisteX3" fmla="*/ 152400 w 781050"/>
                            <a:gd name="connsiteY3" fmla="*/ 276225 h 771525"/>
                            <a:gd name="connisteX4" fmla="*/ 171450 w 781050"/>
                            <a:gd name="connsiteY4" fmla="*/ 342900 h 771525"/>
                            <a:gd name="connisteX5" fmla="*/ 238125 w 781050"/>
                            <a:gd name="connsiteY5" fmla="*/ 400050 h 771525"/>
                            <a:gd name="connisteX6" fmla="*/ 285750 w 781050"/>
                            <a:gd name="connsiteY6" fmla="*/ 466725 h 771525"/>
                            <a:gd name="connisteX7" fmla="*/ 333375 w 781050"/>
                            <a:gd name="connsiteY7" fmla="*/ 533400 h 771525"/>
                            <a:gd name="connisteX8" fmla="*/ 409575 w 781050"/>
                            <a:gd name="connsiteY8" fmla="*/ 581025 h 771525"/>
                            <a:gd name="connisteX9" fmla="*/ 476250 w 781050"/>
                            <a:gd name="connsiteY9" fmla="*/ 638175 h 771525"/>
                            <a:gd name="connisteX10" fmla="*/ 542925 w 781050"/>
                            <a:gd name="connsiteY10" fmla="*/ 685800 h 771525"/>
                            <a:gd name="connisteX11" fmla="*/ 609600 w 781050"/>
                            <a:gd name="connsiteY11" fmla="*/ 714375 h 771525"/>
                            <a:gd name="connisteX12" fmla="*/ 676275 w 781050"/>
                            <a:gd name="connsiteY12" fmla="*/ 742950 h 771525"/>
                            <a:gd name="connisteX13" fmla="*/ 742950 w 781050"/>
                            <a:gd name="connsiteY13" fmla="*/ 771525 h 771525"/>
                            <a:gd name="connisteX14" fmla="*/ 771525 w 781050"/>
                            <a:gd name="connsiteY14" fmla="*/ 704850 h 771525"/>
                            <a:gd name="connisteX15" fmla="*/ 771525 w 781050"/>
                            <a:gd name="connsiteY15" fmla="*/ 628650 h 771525"/>
                            <a:gd name="connisteX16" fmla="*/ 771525 w 781050"/>
                            <a:gd name="connsiteY16" fmla="*/ 561975 h 771525"/>
                            <a:gd name="connisteX17" fmla="*/ 781050 w 781050"/>
                            <a:gd name="connsiteY17" fmla="*/ 495300 h 771525"/>
                            <a:gd name="connisteX18" fmla="*/ 781050 w 781050"/>
                            <a:gd name="connsiteY18" fmla="*/ 428625 h 771525"/>
                            <a:gd name="connisteX19" fmla="*/ 781050 w 781050"/>
                            <a:gd name="connsiteY19" fmla="*/ 361950 h 771525"/>
                            <a:gd name="connisteX20" fmla="*/ 762000 w 781050"/>
                            <a:gd name="connsiteY20" fmla="*/ 295275 h 771525"/>
                            <a:gd name="connisteX21" fmla="*/ 742950 w 781050"/>
                            <a:gd name="connsiteY21" fmla="*/ 228600 h 771525"/>
                            <a:gd name="connisteX22" fmla="*/ 733425 w 781050"/>
                            <a:gd name="connsiteY22" fmla="*/ 161925 h 771525"/>
                            <a:gd name="connisteX23" fmla="*/ 657225 w 781050"/>
                            <a:gd name="connsiteY23" fmla="*/ 114300 h 771525"/>
                            <a:gd name="connisteX24" fmla="*/ 581025 w 781050"/>
                            <a:gd name="connsiteY24" fmla="*/ 76200 h 771525"/>
                            <a:gd name="connisteX25" fmla="*/ 514350 w 781050"/>
                            <a:gd name="connsiteY25" fmla="*/ 57150 h 771525"/>
                            <a:gd name="connisteX26" fmla="*/ 447675 w 781050"/>
                            <a:gd name="connsiteY26" fmla="*/ 47625 h 771525"/>
                            <a:gd name="connisteX27" fmla="*/ 381000 w 781050"/>
                            <a:gd name="connsiteY27" fmla="*/ 19050 h 771525"/>
                            <a:gd name="connisteX28" fmla="*/ 304800 w 781050"/>
                            <a:gd name="connsiteY28" fmla="*/ 9525 h 771525"/>
                            <a:gd name="connisteX29" fmla="*/ 228600 w 781050"/>
                            <a:gd name="connsiteY29" fmla="*/ 0 h 771525"/>
                            <a:gd name="connisteX30" fmla="*/ 142875 w 781050"/>
                            <a:gd name="connsiteY30" fmla="*/ 0 h 771525"/>
                            <a:gd name="connisteX31" fmla="*/ 66675 w 781050"/>
                            <a:gd name="connsiteY31" fmla="*/ 0 h 771525"/>
                            <a:gd name="connisteX32" fmla="*/ 0 w 781050"/>
                            <a:gd name="connsiteY32" fmla="*/ 9525 h 771525"/>
                            <a:gd name="connisteX33" fmla="*/ 0 w 781050"/>
                            <a:gd name="connsiteY33" fmla="*/ 19050 h 7715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Lst>
                          <a:rect l="l" t="t" r="r" b="b"/>
                          <a:pathLst>
                            <a:path w="781050" h="771525">
                              <a:moveTo>
                                <a:pt x="9525" y="57150"/>
                              </a:moveTo>
                              <a:lnTo>
                                <a:pt x="76200" y="133350"/>
                              </a:lnTo>
                              <a:lnTo>
                                <a:pt x="123825" y="200025"/>
                              </a:lnTo>
                              <a:lnTo>
                                <a:pt x="152400" y="276225"/>
                              </a:lnTo>
                              <a:lnTo>
                                <a:pt x="171450" y="342900"/>
                              </a:lnTo>
                              <a:lnTo>
                                <a:pt x="238125" y="400050"/>
                              </a:lnTo>
                              <a:lnTo>
                                <a:pt x="285750" y="466725"/>
                              </a:lnTo>
                              <a:lnTo>
                                <a:pt x="333375" y="533400"/>
                              </a:lnTo>
                              <a:lnTo>
                                <a:pt x="409575" y="581025"/>
                              </a:lnTo>
                              <a:lnTo>
                                <a:pt x="476250" y="638175"/>
                              </a:lnTo>
                              <a:lnTo>
                                <a:pt x="542925" y="685800"/>
                              </a:lnTo>
                              <a:lnTo>
                                <a:pt x="609600" y="714375"/>
                              </a:lnTo>
                              <a:lnTo>
                                <a:pt x="676275" y="742950"/>
                              </a:lnTo>
                              <a:lnTo>
                                <a:pt x="742950" y="771525"/>
                              </a:lnTo>
                              <a:lnTo>
                                <a:pt x="771525" y="704850"/>
                              </a:lnTo>
                              <a:lnTo>
                                <a:pt x="771525" y="628650"/>
                              </a:lnTo>
                              <a:lnTo>
                                <a:pt x="771525" y="561975"/>
                              </a:lnTo>
                              <a:lnTo>
                                <a:pt x="781050" y="495300"/>
                              </a:lnTo>
                              <a:lnTo>
                                <a:pt x="781050" y="428625"/>
                              </a:lnTo>
                              <a:lnTo>
                                <a:pt x="781050" y="361950"/>
                              </a:lnTo>
                              <a:lnTo>
                                <a:pt x="762000" y="295275"/>
                              </a:lnTo>
                              <a:lnTo>
                                <a:pt x="742950" y="228600"/>
                              </a:lnTo>
                              <a:lnTo>
                                <a:pt x="733425" y="161925"/>
                              </a:lnTo>
                              <a:lnTo>
                                <a:pt x="657225" y="114300"/>
                              </a:lnTo>
                              <a:lnTo>
                                <a:pt x="581025" y="76200"/>
                              </a:lnTo>
                              <a:lnTo>
                                <a:pt x="514350" y="57150"/>
                              </a:lnTo>
                              <a:lnTo>
                                <a:pt x="447675" y="47625"/>
                              </a:lnTo>
                              <a:lnTo>
                                <a:pt x="381000" y="19050"/>
                              </a:lnTo>
                              <a:lnTo>
                                <a:pt x="304800" y="9525"/>
                              </a:lnTo>
                              <a:lnTo>
                                <a:pt x="228600" y="0"/>
                              </a:lnTo>
                              <a:lnTo>
                                <a:pt x="142875" y="0"/>
                              </a:lnTo>
                              <a:lnTo>
                                <a:pt x="66675" y="0"/>
                              </a:lnTo>
                              <a:lnTo>
                                <a:pt x="0" y="9525"/>
                              </a:lnTo>
                              <a:lnTo>
                                <a:pt x="0" y="19050"/>
                              </a:lnTo>
                            </a:path>
                          </a:pathLst>
                        </a:custGeom>
                        <a:solidFill>
                          <a:srgbClr val="00B050">
                            <a:alpha val="40000"/>
                          </a:srgbClr>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9pt;margin-top:271.15pt;height:60.75pt;width:61.5pt;z-index:251697152;mso-width-relative:page;mso-height-relative:page;" fillcolor="#00B050" filled="t" stroked="t" coordsize="781050,771525" o:gfxdata="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" path="m9525,57150l76200,133350,123825,200025,152400,276225,171450,342900,238125,400050,285750,466725,333375,533400,409575,581025,476250,638175,542925,685800,609600,714375,676275,742950,742950,771525,771525,704850,771525,628650,771525,561975,781050,495300,781050,428625,781050,361950,762000,295275,742950,228600,733425,161925,657225,114300,581025,76200,514350,57150,447675,47625,381000,19050,304800,9525,228600,0,142875,0,66675,0,0,9525,0,19050e">
                <v:path o:connectlocs="9525,57150;76200,133350;123825,200025;152400,276225;171450,342900;238125,400050;285750,466725;333375,533400;409575,581025;476250,638175;542925,685800;609600,714375;676275,742950;742950,771525;771525,704850;771525,628650;771525,561975;781050,495300;781050,428625;781050,361950;762000,295275;742950,228600;733425,161925;657225,114300;581025,76200;514350,57150;447675,47625;381000,19050;304800,9525;228600,0;142875,0;66675,0;0,9525;0,19050" o:connectangles="0,0,0,0,0,0,0,0,0,0,0,0,0,0,0,0,0,0,0,0,0,0,0,0,0,0,0,0,0,0,0,0,0,0"/>
                <v:fill on="t" opacity="26214f" focussize="0,0"/>
                <v:stroke weight="2pt" color="#00B050 [2404]" joinstyle="round"/>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2555875</wp:posOffset>
                </wp:positionH>
                <wp:positionV relativeFrom="paragraph">
                  <wp:posOffset>633730</wp:posOffset>
                </wp:positionV>
                <wp:extent cx="1809750" cy="419100"/>
                <wp:effectExtent l="12700" t="12700" r="25400" b="25400"/>
                <wp:wrapNone/>
                <wp:docPr id="161" name="任意多边形 161"/>
                <wp:cNvGraphicFramePr/>
                <a:graphic xmlns:a="http://schemas.openxmlformats.org/drawingml/2006/main">
                  <a:graphicData uri="http://schemas.microsoft.com/office/word/2010/wordprocessingShape">
                    <wps:wsp>
                      <wps:cNvSpPr/>
                      <wps:spPr>
                        <a:xfrm>
                          <a:off x="3636010" y="1854835"/>
                          <a:ext cx="1809750" cy="419100"/>
                        </a:xfrm>
                        <a:custGeom>
                          <a:avLst/>
                          <a:gdLst>
                            <a:gd name="connisteX0" fmla="*/ 647700 w 1809750"/>
                            <a:gd name="connsiteY0" fmla="*/ 38100 h 419100"/>
                            <a:gd name="connisteX1" fmla="*/ 571500 w 1809750"/>
                            <a:gd name="connsiteY1" fmla="*/ 95250 h 419100"/>
                            <a:gd name="connisteX2" fmla="*/ 495300 w 1809750"/>
                            <a:gd name="connsiteY2" fmla="*/ 123825 h 419100"/>
                            <a:gd name="connisteX3" fmla="*/ 409575 w 1809750"/>
                            <a:gd name="connsiteY3" fmla="*/ 152400 h 419100"/>
                            <a:gd name="connisteX4" fmla="*/ 342900 w 1809750"/>
                            <a:gd name="connsiteY4" fmla="*/ 171450 h 419100"/>
                            <a:gd name="connisteX5" fmla="*/ 266700 w 1809750"/>
                            <a:gd name="connsiteY5" fmla="*/ 200025 h 419100"/>
                            <a:gd name="connisteX6" fmla="*/ 200025 w 1809750"/>
                            <a:gd name="connsiteY6" fmla="*/ 247650 h 419100"/>
                            <a:gd name="connisteX7" fmla="*/ 133350 w 1809750"/>
                            <a:gd name="connsiteY7" fmla="*/ 295275 h 419100"/>
                            <a:gd name="connisteX8" fmla="*/ 66675 w 1809750"/>
                            <a:gd name="connsiteY8" fmla="*/ 333375 h 419100"/>
                            <a:gd name="connisteX9" fmla="*/ 0 w 1809750"/>
                            <a:gd name="connsiteY9" fmla="*/ 371475 h 419100"/>
                            <a:gd name="connisteX10" fmla="*/ 66675 w 1809750"/>
                            <a:gd name="connsiteY10" fmla="*/ 419100 h 419100"/>
                            <a:gd name="connisteX11" fmla="*/ 180975 w 1809750"/>
                            <a:gd name="connsiteY11" fmla="*/ 409575 h 419100"/>
                            <a:gd name="connisteX12" fmla="*/ 247650 w 1809750"/>
                            <a:gd name="connsiteY12" fmla="*/ 390525 h 419100"/>
                            <a:gd name="connisteX13" fmla="*/ 323850 w 1809750"/>
                            <a:gd name="connsiteY13" fmla="*/ 381000 h 419100"/>
                            <a:gd name="connisteX14" fmla="*/ 390525 w 1809750"/>
                            <a:gd name="connsiteY14" fmla="*/ 371475 h 419100"/>
                            <a:gd name="connisteX15" fmla="*/ 485775 w 1809750"/>
                            <a:gd name="connsiteY15" fmla="*/ 352425 h 419100"/>
                            <a:gd name="connisteX16" fmla="*/ 552450 w 1809750"/>
                            <a:gd name="connsiteY16" fmla="*/ 342900 h 419100"/>
                            <a:gd name="connisteX17" fmla="*/ 638175 w 1809750"/>
                            <a:gd name="connsiteY17" fmla="*/ 323850 h 419100"/>
                            <a:gd name="connisteX18" fmla="*/ 723900 w 1809750"/>
                            <a:gd name="connsiteY18" fmla="*/ 323850 h 419100"/>
                            <a:gd name="connisteX19" fmla="*/ 809625 w 1809750"/>
                            <a:gd name="connsiteY19" fmla="*/ 304800 h 419100"/>
                            <a:gd name="connisteX20" fmla="*/ 876300 w 1809750"/>
                            <a:gd name="connsiteY20" fmla="*/ 304800 h 419100"/>
                            <a:gd name="connisteX21" fmla="*/ 942975 w 1809750"/>
                            <a:gd name="connsiteY21" fmla="*/ 304800 h 419100"/>
                            <a:gd name="connisteX22" fmla="*/ 1009650 w 1809750"/>
                            <a:gd name="connsiteY22" fmla="*/ 295275 h 419100"/>
                            <a:gd name="connisteX23" fmla="*/ 1076325 w 1809750"/>
                            <a:gd name="connsiteY23" fmla="*/ 285750 h 419100"/>
                            <a:gd name="connisteX24" fmla="*/ 1143000 w 1809750"/>
                            <a:gd name="connsiteY24" fmla="*/ 285750 h 419100"/>
                            <a:gd name="connisteX25" fmla="*/ 1209675 w 1809750"/>
                            <a:gd name="connsiteY25" fmla="*/ 276225 h 419100"/>
                            <a:gd name="connisteX26" fmla="*/ 1285875 w 1809750"/>
                            <a:gd name="connsiteY26" fmla="*/ 257175 h 419100"/>
                            <a:gd name="connisteX27" fmla="*/ 1352550 w 1809750"/>
                            <a:gd name="connsiteY27" fmla="*/ 247650 h 419100"/>
                            <a:gd name="connisteX28" fmla="*/ 1428750 w 1809750"/>
                            <a:gd name="connsiteY28" fmla="*/ 219075 h 419100"/>
                            <a:gd name="connisteX29" fmla="*/ 1495425 w 1809750"/>
                            <a:gd name="connsiteY29" fmla="*/ 200025 h 419100"/>
                            <a:gd name="connisteX30" fmla="*/ 1562100 w 1809750"/>
                            <a:gd name="connsiteY30" fmla="*/ 180975 h 419100"/>
                            <a:gd name="connisteX31" fmla="*/ 1638300 w 1809750"/>
                            <a:gd name="connsiteY31" fmla="*/ 180975 h 419100"/>
                            <a:gd name="connisteX32" fmla="*/ 1704975 w 1809750"/>
                            <a:gd name="connsiteY32" fmla="*/ 180975 h 419100"/>
                            <a:gd name="connisteX33" fmla="*/ 1771650 w 1809750"/>
                            <a:gd name="connsiteY33" fmla="*/ 180975 h 419100"/>
                            <a:gd name="connisteX34" fmla="*/ 1809750 w 1809750"/>
                            <a:gd name="connsiteY34" fmla="*/ 114300 h 419100"/>
                            <a:gd name="connisteX35" fmla="*/ 1743075 w 1809750"/>
                            <a:gd name="connsiteY35" fmla="*/ 57150 h 419100"/>
                            <a:gd name="connisteX36" fmla="*/ 1666875 w 1809750"/>
                            <a:gd name="connsiteY36" fmla="*/ 57150 h 419100"/>
                            <a:gd name="connisteX37" fmla="*/ 1590675 w 1809750"/>
                            <a:gd name="connsiteY37" fmla="*/ 47625 h 419100"/>
                            <a:gd name="connisteX38" fmla="*/ 1524000 w 1809750"/>
                            <a:gd name="connsiteY38" fmla="*/ 28575 h 419100"/>
                            <a:gd name="connisteX39" fmla="*/ 1457325 w 1809750"/>
                            <a:gd name="connsiteY39" fmla="*/ 0 h 419100"/>
                            <a:gd name="connisteX40" fmla="*/ 1381125 w 1809750"/>
                            <a:gd name="connsiteY40" fmla="*/ 0 h 419100"/>
                            <a:gd name="connisteX41" fmla="*/ 1314450 w 1809750"/>
                            <a:gd name="connsiteY41" fmla="*/ 0 h 419100"/>
                            <a:gd name="connisteX42" fmla="*/ 1247775 w 1809750"/>
                            <a:gd name="connsiteY42" fmla="*/ 9525 h 419100"/>
                            <a:gd name="connisteX43" fmla="*/ 1200150 w 1809750"/>
                            <a:gd name="connsiteY43" fmla="*/ 76200 h 419100"/>
                            <a:gd name="connisteX44" fmla="*/ 1152525 w 1809750"/>
                            <a:gd name="connsiteY44" fmla="*/ 142875 h 419100"/>
                            <a:gd name="connisteX45" fmla="*/ 1085850 w 1809750"/>
                            <a:gd name="connsiteY45" fmla="*/ 161925 h 419100"/>
                            <a:gd name="connisteX46" fmla="*/ 1019175 w 1809750"/>
                            <a:gd name="connsiteY46" fmla="*/ 171450 h 419100"/>
                            <a:gd name="connisteX47" fmla="*/ 952500 w 1809750"/>
                            <a:gd name="connsiteY47" fmla="*/ 180975 h 419100"/>
                            <a:gd name="connisteX48" fmla="*/ 885825 w 1809750"/>
                            <a:gd name="connsiteY48" fmla="*/ 209550 h 419100"/>
                            <a:gd name="connisteX49" fmla="*/ 819150 w 1809750"/>
                            <a:gd name="connsiteY49" fmla="*/ 228600 h 419100"/>
                            <a:gd name="connisteX50" fmla="*/ 752475 w 1809750"/>
                            <a:gd name="connsiteY50" fmla="*/ 247650 h 419100"/>
                            <a:gd name="connisteX51" fmla="*/ 685800 w 1809750"/>
                            <a:gd name="connsiteY51" fmla="*/ 238125 h 419100"/>
                            <a:gd name="connisteX52" fmla="*/ 695325 w 1809750"/>
                            <a:gd name="connsiteY52" fmla="*/ 171450 h 419100"/>
                            <a:gd name="connisteX53" fmla="*/ 733425 w 1809750"/>
                            <a:gd name="connsiteY53" fmla="*/ 104775 h 419100"/>
                            <a:gd name="connisteX54" fmla="*/ 666750 w 1809750"/>
                            <a:gd name="connsiteY54" fmla="*/ 47625 h 419100"/>
                            <a:gd name="connisteX55" fmla="*/ 647700 w 1809750"/>
                            <a:gd name="connsiteY55" fmla="*/ 38100 h 419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Lst>
                          <a:rect l="l" t="t" r="r" b="b"/>
                          <a:pathLst>
                            <a:path w="1809750" h="419100">
                              <a:moveTo>
                                <a:pt x="647700" y="38100"/>
                              </a:moveTo>
                              <a:lnTo>
                                <a:pt x="571500" y="95250"/>
                              </a:lnTo>
                              <a:lnTo>
                                <a:pt x="495300" y="123825"/>
                              </a:lnTo>
                              <a:lnTo>
                                <a:pt x="409575" y="152400"/>
                              </a:lnTo>
                              <a:lnTo>
                                <a:pt x="342900" y="171450"/>
                              </a:lnTo>
                              <a:lnTo>
                                <a:pt x="266700" y="200025"/>
                              </a:lnTo>
                              <a:lnTo>
                                <a:pt x="200025" y="247650"/>
                              </a:lnTo>
                              <a:lnTo>
                                <a:pt x="133350" y="295275"/>
                              </a:lnTo>
                              <a:lnTo>
                                <a:pt x="66675" y="333375"/>
                              </a:lnTo>
                              <a:lnTo>
                                <a:pt x="0" y="371475"/>
                              </a:lnTo>
                              <a:lnTo>
                                <a:pt x="66675" y="419100"/>
                              </a:lnTo>
                              <a:lnTo>
                                <a:pt x="180975" y="409575"/>
                              </a:lnTo>
                              <a:lnTo>
                                <a:pt x="247650" y="390525"/>
                              </a:lnTo>
                              <a:lnTo>
                                <a:pt x="323850" y="381000"/>
                              </a:lnTo>
                              <a:lnTo>
                                <a:pt x="390525" y="371475"/>
                              </a:lnTo>
                              <a:lnTo>
                                <a:pt x="485775" y="352425"/>
                              </a:lnTo>
                              <a:lnTo>
                                <a:pt x="552450" y="342900"/>
                              </a:lnTo>
                              <a:lnTo>
                                <a:pt x="638175" y="323850"/>
                              </a:lnTo>
                              <a:lnTo>
                                <a:pt x="723900" y="323850"/>
                              </a:lnTo>
                              <a:lnTo>
                                <a:pt x="809625" y="304800"/>
                              </a:lnTo>
                              <a:lnTo>
                                <a:pt x="876300" y="304800"/>
                              </a:lnTo>
                              <a:lnTo>
                                <a:pt x="942975" y="304800"/>
                              </a:lnTo>
                              <a:lnTo>
                                <a:pt x="1009650" y="295275"/>
                              </a:lnTo>
                              <a:lnTo>
                                <a:pt x="1076325" y="285750"/>
                              </a:lnTo>
                              <a:lnTo>
                                <a:pt x="1143000" y="285750"/>
                              </a:lnTo>
                              <a:lnTo>
                                <a:pt x="1209675" y="276225"/>
                              </a:lnTo>
                              <a:lnTo>
                                <a:pt x="1285875" y="257175"/>
                              </a:lnTo>
                              <a:lnTo>
                                <a:pt x="1352550" y="247650"/>
                              </a:lnTo>
                              <a:lnTo>
                                <a:pt x="1428750" y="219075"/>
                              </a:lnTo>
                              <a:lnTo>
                                <a:pt x="1495425" y="200025"/>
                              </a:lnTo>
                              <a:lnTo>
                                <a:pt x="1562100" y="180975"/>
                              </a:lnTo>
                              <a:lnTo>
                                <a:pt x="1638300" y="180975"/>
                              </a:lnTo>
                              <a:lnTo>
                                <a:pt x="1704975" y="180975"/>
                              </a:lnTo>
                              <a:lnTo>
                                <a:pt x="1771650" y="180975"/>
                              </a:lnTo>
                              <a:lnTo>
                                <a:pt x="1809750" y="114300"/>
                              </a:lnTo>
                              <a:lnTo>
                                <a:pt x="1743075" y="57150"/>
                              </a:lnTo>
                              <a:lnTo>
                                <a:pt x="1666875" y="57150"/>
                              </a:lnTo>
                              <a:lnTo>
                                <a:pt x="1590675" y="47625"/>
                              </a:lnTo>
                              <a:lnTo>
                                <a:pt x="1524000" y="28575"/>
                              </a:lnTo>
                              <a:lnTo>
                                <a:pt x="1457325" y="0"/>
                              </a:lnTo>
                              <a:lnTo>
                                <a:pt x="1381125" y="0"/>
                              </a:lnTo>
                              <a:lnTo>
                                <a:pt x="1314450" y="0"/>
                              </a:lnTo>
                              <a:lnTo>
                                <a:pt x="1247775" y="9525"/>
                              </a:lnTo>
                              <a:lnTo>
                                <a:pt x="1200150" y="76200"/>
                              </a:lnTo>
                              <a:lnTo>
                                <a:pt x="1152525" y="142875"/>
                              </a:lnTo>
                              <a:lnTo>
                                <a:pt x="1085850" y="161925"/>
                              </a:lnTo>
                              <a:lnTo>
                                <a:pt x="1019175" y="171450"/>
                              </a:lnTo>
                              <a:lnTo>
                                <a:pt x="952500" y="180975"/>
                              </a:lnTo>
                              <a:lnTo>
                                <a:pt x="885825" y="209550"/>
                              </a:lnTo>
                              <a:lnTo>
                                <a:pt x="819150" y="228600"/>
                              </a:lnTo>
                              <a:lnTo>
                                <a:pt x="752475" y="247650"/>
                              </a:lnTo>
                              <a:lnTo>
                                <a:pt x="685800" y="238125"/>
                              </a:lnTo>
                              <a:lnTo>
                                <a:pt x="695325" y="171450"/>
                              </a:lnTo>
                              <a:lnTo>
                                <a:pt x="733425" y="104775"/>
                              </a:lnTo>
                              <a:lnTo>
                                <a:pt x="666750" y="47625"/>
                              </a:lnTo>
                              <a:lnTo>
                                <a:pt x="647700" y="38100"/>
                              </a:lnTo>
                              <a:close/>
                            </a:path>
                          </a:pathLst>
                        </a:custGeom>
                        <a:solidFill>
                          <a:srgbClr val="00B050">
                            <a:alpha val="40000"/>
                          </a:srgbClr>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1.25pt;margin-top:49.9pt;height:33pt;width:142.5pt;z-index:251696128;mso-width-relative:page;mso-height-relative:page;" fillcolor="#00B050" filled="t" stroked="t" coordsize="1809750,419100" o:gfxdata="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" path="m647700,38100l571500,95250,495300,123825,409575,152400,342900,171450,266700,200025,200025,247650,133350,295275,66675,333375,0,371475,66675,419100,180975,409575,247650,390525,323850,381000,390525,371475,485775,352425,552450,342900,638175,323850,723900,323850,809625,304800,876300,304800,942975,304800,1009650,295275,1076325,285750,1143000,285750,1209675,276225,1285875,257175,1352550,247650,1428750,219075,1495425,200025,1562100,180975,1638300,180975,1704975,180975,1771650,180975,1809750,114300,1743075,57150,1666875,57150,1590675,47625,1524000,28575,1457325,0,1381125,0,1314450,0,1247775,9525,1200150,76200,1152525,142875,1085850,161925,1019175,171450,952500,180975,885825,209550,819150,228600,752475,247650,685800,238125,695325,171450,733425,104775,666750,47625,647700,38100xe">
                <v:path o:connectlocs="647700,38100;571500,95250;495300,123825;409575,152400;342900,171450;266700,200025;200025,247650;133350,295275;66675,333375;0,371475;66675,419100;180975,409575;247650,390525;323850,381000;390525,371475;485775,352425;552450,342900;638175,323850;723900,323850;809625,304800;876300,304800;942975,304800;1009650,295275;1076325,285750;1143000,285750;1209675,276225;1285875,257175;1352550,247650;1428750,219075;1495425,200025;1562100,180975;1638300,180975;1704975,180975;1771650,180975;1809750,114300;1743075,57150;1666875,57150;1590675,47625;1524000,28575;1457325,0;1381125,0;1314450,0;1247775,9525;1200150,76200;1152525,142875;1085850,161925;1019175,171450;952500,180975;885825,209550;819150,228600;752475,247650;685800,238125;695325,171450;733425,104775;666750,47625;647700,38100" o:connectangles="0,0,0,0,0,0,0,0,0,0,0,0,0,0,0,0,0,0,0,0,0,0,0,0,0,0,0,0,0,0,0,0,0,0,0,0,0,0,0,0,0,0,0,0,0,0,0,0,0,0,0,0,0,0,0,0"/>
                <v:fill on="t" opacity="26214f" focussize="0,0"/>
                <v:stroke weight="2pt" color="#00B050 [2404]" joinstyle="round"/>
                <v:imagedata o:title=""/>
                <o:lock v:ext="edit" aspectratio="f"/>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3401695</wp:posOffset>
                </wp:positionH>
                <wp:positionV relativeFrom="paragraph">
                  <wp:posOffset>2279015</wp:posOffset>
                </wp:positionV>
                <wp:extent cx="621030" cy="514985"/>
                <wp:effectExtent l="39370" t="48895" r="44450" b="64770"/>
                <wp:wrapNone/>
                <wp:docPr id="159" name="圆角矩形 159"/>
                <wp:cNvGraphicFramePr/>
                <a:graphic xmlns:a="http://schemas.openxmlformats.org/drawingml/2006/main">
                  <a:graphicData uri="http://schemas.microsoft.com/office/word/2010/wordprocessingShape">
                    <wps:wsp>
                      <wps:cNvSpPr/>
                      <wps:spPr>
                        <a:xfrm rot="21000000">
                          <a:off x="4534535" y="3571875"/>
                          <a:ext cx="621030" cy="514985"/>
                        </a:xfrm>
                        <a:prstGeom prst="round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67.85pt;margin-top:179.45pt;height:40.55pt;width:48.9pt;rotation:-655360f;z-index:251695104;v-text-anchor:middle;mso-width-relative:page;mso-height-relative:page;" filled="f" stroked="t" coordsize="21600,21600" arcsize="0.166666666666667" o:gfxdata="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dAtC+2QAAAAsBAAAPAAAAAAAA&#10;AAEAIAAAACIAAABkcnMvZG93bnJldi54bWxQSwECFAAUAAAACACHTuJAfXAhZYMCAADdBAAADgAA&#10;AAAAAAABACAAAAAoAQAAZHJzL2Uyb0RvYy54bWxQSwUGAAAAAAYABgBZAQAAHQYAAAAA&#10;">
                <v:fill on="f" focussize="0,0"/>
                <v:stroke weight="2pt" color="#FFFF00 [2404]" joinstyle="round"/>
                <v:imagedata o:title=""/>
                <o:lock v:ext="edit" aspectratio="f"/>
              </v:roundrect>
            </w:pict>
          </mc:Fallback>
        </mc:AlternateContent>
      </w:r>
      <w:r>
        <w:drawing>
          <wp:anchor distT="0" distB="0" distL="114300" distR="114300" simplePos="0" relativeHeight="251694080" behindDoc="0" locked="0" layoutInCell="1" allowOverlap="1">
            <wp:simplePos x="0" y="0"/>
            <wp:positionH relativeFrom="column">
              <wp:posOffset>7536180</wp:posOffset>
            </wp:positionH>
            <wp:positionV relativeFrom="paragraph">
              <wp:posOffset>85725</wp:posOffset>
            </wp:positionV>
            <wp:extent cx="702310" cy="1017270"/>
            <wp:effectExtent l="0" t="0" r="2540" b="11430"/>
            <wp:wrapNone/>
            <wp:docPr id="1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8"/>
                    <pic:cNvPicPr>
                      <a:picLocks noChangeAspect="1"/>
                    </pic:cNvPicPr>
                  </pic:nvPicPr>
                  <pic:blipFill>
                    <a:blip r:embed="rId79"/>
                    <a:stretch>
                      <a:fillRect/>
                    </a:stretch>
                  </pic:blipFill>
                  <pic:spPr>
                    <a:xfrm>
                      <a:off x="0" y="0"/>
                      <a:ext cx="702310" cy="1017270"/>
                    </a:xfrm>
                    <a:prstGeom prst="rect">
                      <a:avLst/>
                    </a:prstGeom>
                    <a:noFill/>
                    <a:ln>
                      <a:noFill/>
                    </a:ln>
                  </pic:spPr>
                </pic:pic>
              </a:graphicData>
            </a:graphic>
          </wp:anchor>
        </w:drawing>
      </w:r>
      <w:r>
        <w:rPr>
          <w:color w:val="FF0000"/>
          <w:sz w:val="21"/>
        </w:rPr>
        <mc:AlternateContent>
          <mc:Choice Requires="wps">
            <w:drawing>
              <wp:anchor distT="0" distB="0" distL="114300" distR="114300" simplePos="0" relativeHeight="251666432" behindDoc="0" locked="0" layoutInCell="1" allowOverlap="1">
                <wp:simplePos x="0" y="0"/>
                <wp:positionH relativeFrom="column">
                  <wp:posOffset>368300</wp:posOffset>
                </wp:positionH>
                <wp:positionV relativeFrom="paragraph">
                  <wp:posOffset>1040130</wp:posOffset>
                </wp:positionV>
                <wp:extent cx="219075" cy="142875"/>
                <wp:effectExtent l="12700" t="12700" r="15875" b="15875"/>
                <wp:wrapNone/>
                <wp:docPr id="52" name="矩形 52"/>
                <wp:cNvGraphicFramePr/>
                <a:graphic xmlns:a="http://schemas.openxmlformats.org/drawingml/2006/main">
                  <a:graphicData uri="http://schemas.microsoft.com/office/word/2010/wordprocessingShape">
                    <wps:wsp>
                      <wps:cNvSpPr/>
                      <wps:spPr>
                        <a:xfrm>
                          <a:off x="0" y="0"/>
                          <a:ext cx="219075" cy="142875"/>
                        </a:xfrm>
                        <a:prstGeom prst="rect">
                          <a:avLst/>
                        </a:prstGeom>
                        <a:solidFill>
                          <a:srgbClr val="92D050">
                            <a:alpha val="35000"/>
                          </a:srgbClr>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pt;margin-top:81.9pt;height:11.25pt;width:17.25pt;z-index:251666432;v-text-anchor:middle;mso-width-relative:page;mso-height-relative:page;" fillcolor="#92D050" filled="t" stroked="t" coordsize="21600,21600" o:gfxdata="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GhTWrHYAAAACQEAAA8AAAAAAAAAAQAgAAAAIgAAAGRy&#10;cy9kb3ducmV2LnhtbFBLAQIUABQAAAAIAIdO4kAWfYLLdwIAAP8EAAAOAAAAAAAAAAEAIAAAACcB&#10;AABkcnMvZTJvRG9jLnhtbFBLBQYAAAAABgAGAFkBAAAQBgAAAAA=&#10;">
                <v:fill on="t" opacity="22937f" focussize="0,0"/>
                <v:stroke weight="2pt" color="#00B050 [2404]" joinstyle="round"/>
                <v:imagedata o:title=""/>
                <o:lock v:ext="edit" aspectratio="f"/>
              </v:rect>
            </w:pict>
          </mc:Fallback>
        </mc:AlternateContent>
      </w:r>
      <w:r>
        <w:rPr>
          <w:color w:val="FF0000"/>
          <w:sz w:val="21"/>
        </w:rPr>
        <mc:AlternateContent>
          <mc:Choice Requires="wps">
            <w:drawing>
              <wp:anchor distT="0" distB="0" distL="114300" distR="114300" simplePos="0" relativeHeight="251665408" behindDoc="0" locked="0" layoutInCell="1" allowOverlap="1">
                <wp:simplePos x="0" y="0"/>
                <wp:positionH relativeFrom="column">
                  <wp:posOffset>389890</wp:posOffset>
                </wp:positionH>
                <wp:positionV relativeFrom="paragraph">
                  <wp:posOffset>730885</wp:posOffset>
                </wp:positionV>
                <wp:extent cx="190500" cy="180975"/>
                <wp:effectExtent l="12700" t="12700" r="25400" b="15875"/>
                <wp:wrapNone/>
                <wp:docPr id="51" name="椭圆 51"/>
                <wp:cNvGraphicFramePr/>
                <a:graphic xmlns:a="http://schemas.openxmlformats.org/drawingml/2006/main">
                  <a:graphicData uri="http://schemas.microsoft.com/office/word/2010/wordprocessingShape">
                    <wps:wsp>
                      <wps:cNvSpPr/>
                      <wps:spPr>
                        <a:xfrm>
                          <a:off x="1969135" y="1974850"/>
                          <a:ext cx="190500" cy="180975"/>
                        </a:xfrm>
                        <a:prstGeom prst="ellipse">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7pt;margin-top:57.55pt;height:14.25pt;width:15pt;z-index:251665408;v-text-anchor:middle;mso-width-relative:page;mso-height-relative:page;" fillcolor="#FFFFFF [3212]" filled="t" stroked="t" coordsize="21600,21600" o:gfxdata="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iRCYk1wAAAAkBAAAPAAAAAAAAAAEAIAAAACIAAABkcnMvZG93bnJldi54&#10;bWxQSwECFAAUAAAACACHTuJANI4LSW0CAADtBAAADgAAAAAAAAABACAAAAAmAQAAZHJzL2Uyb0Rv&#10;Yy54bWxQSwUGAAAAAAYABgBZAQAABQYAAAAA&#10;">
                <v:fill on="t" focussize="0,0"/>
                <v:stroke weight="2pt" color="#FF0000 [2404]" joinstyle="round"/>
                <v:imagedata o:title=""/>
                <o:lock v:ext="edit" aspectratio="f"/>
              </v:shape>
            </w:pict>
          </mc:Fallback>
        </mc:AlternateContent>
      </w:r>
      <w:r>
        <w:rPr>
          <w:color w:val="FF0000"/>
          <w:sz w:val="21"/>
        </w:rPr>
        <mc:AlternateContent>
          <mc:Choice Requires="wps">
            <w:drawing>
              <wp:anchor distT="0" distB="0" distL="114300" distR="114300" simplePos="0" relativeHeight="251664384" behindDoc="0" locked="0" layoutInCell="1" allowOverlap="1">
                <wp:simplePos x="0" y="0"/>
                <wp:positionH relativeFrom="column">
                  <wp:posOffset>388620</wp:posOffset>
                </wp:positionH>
                <wp:positionV relativeFrom="paragraph">
                  <wp:posOffset>421005</wp:posOffset>
                </wp:positionV>
                <wp:extent cx="219075" cy="142875"/>
                <wp:effectExtent l="12700" t="12700" r="15875" b="15875"/>
                <wp:wrapNone/>
                <wp:docPr id="50" name="矩形 50"/>
                <wp:cNvGraphicFramePr/>
                <a:graphic xmlns:a="http://schemas.openxmlformats.org/drawingml/2006/main">
                  <a:graphicData uri="http://schemas.microsoft.com/office/word/2010/wordprocessingShape">
                    <wps:wsp>
                      <wps:cNvSpPr/>
                      <wps:spPr>
                        <a:xfrm>
                          <a:off x="1892935" y="1651000"/>
                          <a:ext cx="219075" cy="14287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pt;margin-top:33.15pt;height:11.25pt;width:17.25pt;z-index:251664384;v-text-anchor:middle;mso-width-relative:page;mso-height-relative:page;" filled="f" stroked="t" coordsize="21600,21600" o:gfxdata="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byV9W1gAAAAcBAAAPAAAAAAAAAAEAIAAAACIAAABkcnMvZG93bnJldi54bWxQSwEC&#10;FAAUAAAACACHTuJA0WWQ0mgCAADBBAAADgAAAAAAAAABACAAAAAlAQAAZHJzL2Uyb0RvYy54bWxQ&#10;SwUGAAAAAAYABgBZAQAA/wUAAAAA&#10;">
                <v:fill on="f" focussize="0,0"/>
                <v:stroke weight="2pt" color="#FFFF00 [2404]" joinstyle="round"/>
                <v:imagedata o:title=""/>
                <o:lock v:ext="edit" aspectratio="f"/>
              </v:rect>
            </w:pict>
          </mc:Fallback>
        </mc:AlternateContent>
      </w:r>
      <w:r>
        <w:rPr>
          <w:color w:val="FF0000"/>
          <w:sz w:val="21"/>
        </w:rPr>
        <mc:AlternateContent>
          <mc:Choice Requires="wps">
            <w:drawing>
              <wp:anchor distT="0" distB="0" distL="114300" distR="114300" simplePos="0" relativeHeight="251663360" behindDoc="0" locked="0" layoutInCell="1" allowOverlap="1">
                <wp:simplePos x="0" y="0"/>
                <wp:positionH relativeFrom="column">
                  <wp:posOffset>284480</wp:posOffset>
                </wp:positionH>
                <wp:positionV relativeFrom="paragraph">
                  <wp:posOffset>58420</wp:posOffset>
                </wp:positionV>
                <wp:extent cx="1085850" cy="1314450"/>
                <wp:effectExtent l="0" t="0" r="0" b="0"/>
                <wp:wrapNone/>
                <wp:docPr id="49" name="矩形 49"/>
                <wp:cNvGraphicFramePr/>
                <a:graphic xmlns:a="http://schemas.openxmlformats.org/drawingml/2006/main">
                  <a:graphicData uri="http://schemas.microsoft.com/office/word/2010/wordprocessingShape">
                    <wps:wsp>
                      <wps:cNvSpPr/>
                      <wps:spPr>
                        <a:xfrm>
                          <a:off x="1835785" y="1279525"/>
                          <a:ext cx="1085850" cy="131445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EDBD0E9">
                            <w:pPr>
                              <w:jc w:val="center"/>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图例</w:t>
                            </w:r>
                          </w:p>
                          <w:p w14:paraId="0E506C5D">
                            <w:pPr>
                              <w:jc w:val="center"/>
                              <w:rPr>
                                <w:rFonts w:hint="eastAsia"/>
                                <w:b/>
                                <w:bCs/>
                                <w:color w:val="000000" w:themeColor="text1"/>
                                <w:lang w:val="en-US" w:eastAsia="zh-CN"/>
                                <w14:textFill>
                                  <w14:solidFill>
                                    <w14:schemeClr w14:val="tx1"/>
                                  </w14:solidFill>
                                </w14:textFill>
                              </w:rPr>
                            </w:pPr>
                          </w:p>
                          <w:p w14:paraId="329DCAA0">
                            <w:pPr>
                              <w:ind w:firstLine="630" w:firstLineChars="300"/>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50米范围</w:t>
                            </w:r>
                          </w:p>
                          <w:p w14:paraId="21EEC216">
                            <w:pPr>
                              <w:jc w:val="both"/>
                              <w:rPr>
                                <w:rFonts w:hint="default"/>
                                <w:color w:val="000000" w:themeColor="text1"/>
                                <w:lang w:val="en-US" w:eastAsia="zh-CN"/>
                                <w14:textFill>
                                  <w14:solidFill>
                                    <w14:schemeClr w14:val="tx1"/>
                                  </w14:solidFill>
                                </w14:textFill>
                              </w:rPr>
                            </w:pPr>
                          </w:p>
                          <w:p w14:paraId="66BEFB62">
                            <w:pPr>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500米范围</w:t>
                            </w:r>
                          </w:p>
                          <w:p w14:paraId="59764FAA">
                            <w:pPr>
                              <w:jc w:val="both"/>
                              <w:rPr>
                                <w:rFonts w:hint="default"/>
                                <w:color w:val="000000" w:themeColor="text1"/>
                                <w:lang w:val="en-US" w:eastAsia="zh-CN"/>
                                <w14:textFill>
                                  <w14:solidFill>
                                    <w14:schemeClr w14:val="tx1"/>
                                  </w14:solidFill>
                                </w14:textFill>
                              </w:rPr>
                            </w:pPr>
                          </w:p>
                          <w:p w14:paraId="1EE106CB">
                            <w:pPr>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保护目标</w:t>
                            </w:r>
                          </w:p>
                          <w:p w14:paraId="6BCD2B41">
                            <w:pPr>
                              <w:jc w:val="both"/>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36000" tIns="0" rIns="36000" bIns="0" numCol="1" spcCol="0" rtlCol="0" fromWordArt="0" anchor="ctr" anchorCtr="0" forceAA="0" compatLnSpc="1">
                        <a:noAutofit/>
                      </wps:bodyPr>
                    </wps:wsp>
                  </a:graphicData>
                </a:graphic>
              </wp:anchor>
            </w:drawing>
          </mc:Choice>
          <mc:Fallback>
            <w:pict>
              <v:rect id="_x0000_s1026" o:spid="_x0000_s1026" o:spt="1" style="position:absolute;left:0pt;margin-left:22.4pt;margin-top:4.6pt;height:103.5pt;width:85.5pt;z-index:251663360;v-text-anchor:middle;mso-width-relative:page;mso-height-relative:page;" fillcolor="#FFFFFF [3212]" filled="t" stroked="f" coordsize="21600,21600" o:gfxdata="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J83v1wAAAAgBAAAPAAAAAAAAAAEAIAAAACIAAABkcnMvZG93bnJldi54&#10;bWxQSwECFAAUAAAACACHTuJAP4wJ/m0CAADGBAAADgAAAAAAAAABACAAAAAmAQAAZHJzL2Uyb0Rv&#10;Yy54bWxQSwUGAAAAAAYABgBZAQAABQYAAAAA&#10;">
                <v:fill on="t" focussize="0,0"/>
                <v:stroke on="f" weight="2pt"/>
                <v:imagedata o:title=""/>
                <o:lock v:ext="edit" aspectratio="f"/>
                <v:textbox inset="1mm,0mm,1mm,0mm">
                  <w:txbxContent>
                    <w:p w14:paraId="1EDBD0E9">
                      <w:pPr>
                        <w:jc w:val="center"/>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图例</w:t>
                      </w:r>
                    </w:p>
                    <w:p w14:paraId="0E506C5D">
                      <w:pPr>
                        <w:jc w:val="center"/>
                        <w:rPr>
                          <w:rFonts w:hint="eastAsia"/>
                          <w:b/>
                          <w:bCs/>
                          <w:color w:val="000000" w:themeColor="text1"/>
                          <w:lang w:val="en-US" w:eastAsia="zh-CN"/>
                          <w14:textFill>
                            <w14:solidFill>
                              <w14:schemeClr w14:val="tx1"/>
                            </w14:solidFill>
                          </w14:textFill>
                        </w:rPr>
                      </w:pPr>
                    </w:p>
                    <w:p w14:paraId="329DCAA0">
                      <w:pPr>
                        <w:ind w:firstLine="630" w:firstLineChars="300"/>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50米范围</w:t>
                      </w:r>
                    </w:p>
                    <w:p w14:paraId="21EEC216">
                      <w:pPr>
                        <w:jc w:val="both"/>
                        <w:rPr>
                          <w:rFonts w:hint="default"/>
                          <w:color w:val="000000" w:themeColor="text1"/>
                          <w:lang w:val="en-US" w:eastAsia="zh-CN"/>
                          <w14:textFill>
                            <w14:solidFill>
                              <w14:schemeClr w14:val="tx1"/>
                            </w14:solidFill>
                          </w14:textFill>
                        </w:rPr>
                      </w:pPr>
                    </w:p>
                    <w:p w14:paraId="66BEFB62">
                      <w:pPr>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500米范围</w:t>
                      </w:r>
                    </w:p>
                    <w:p w14:paraId="59764FAA">
                      <w:pPr>
                        <w:jc w:val="both"/>
                        <w:rPr>
                          <w:rFonts w:hint="default"/>
                          <w:color w:val="000000" w:themeColor="text1"/>
                          <w:lang w:val="en-US" w:eastAsia="zh-CN"/>
                          <w14:textFill>
                            <w14:solidFill>
                              <w14:schemeClr w14:val="tx1"/>
                            </w14:solidFill>
                          </w14:textFill>
                        </w:rPr>
                      </w:pPr>
                    </w:p>
                    <w:p w14:paraId="1EE106CB">
                      <w:pPr>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保护目标</w:t>
                      </w:r>
                    </w:p>
                    <w:p w14:paraId="6BCD2B41">
                      <w:pPr>
                        <w:jc w:val="both"/>
                        <w:rPr>
                          <w:rFonts w:hint="default"/>
                          <w:color w:val="000000" w:themeColor="text1"/>
                          <w:lang w:val="en-US" w:eastAsia="zh-CN"/>
                          <w14:textFill>
                            <w14:solidFill>
                              <w14:schemeClr w14:val="tx1"/>
                            </w14:solidFill>
                          </w14:textFill>
                        </w:rPr>
                      </w:pPr>
                    </w:p>
                  </w:txbxContent>
                </v:textbox>
              </v:rect>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184785</wp:posOffset>
                </wp:positionH>
                <wp:positionV relativeFrom="paragraph">
                  <wp:posOffset>38100</wp:posOffset>
                </wp:positionV>
                <wp:extent cx="8108950" cy="5125085"/>
                <wp:effectExtent l="13970" t="13970" r="30480" b="23495"/>
                <wp:wrapNone/>
                <wp:docPr id="180" name="矩形 180"/>
                <wp:cNvGraphicFramePr/>
                <a:graphic xmlns:a="http://schemas.openxmlformats.org/drawingml/2006/main">
                  <a:graphicData uri="http://schemas.microsoft.com/office/word/2010/wordprocessingShape">
                    <wps:wsp>
                      <wps:cNvSpPr/>
                      <wps:spPr>
                        <a:xfrm>
                          <a:off x="0" y="0"/>
                          <a:ext cx="8108950" cy="5125085"/>
                        </a:xfrm>
                        <a:prstGeom prst="rect">
                          <a:avLst/>
                        </a:prstGeom>
                        <a:noFill/>
                        <a:ln w="28575"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3pt;height:403.55pt;width:638.5pt;z-index:251704320;v-text-anchor:middle;mso-width-relative:page;mso-height-relative:page;" filled="f" stroked="t" coordsize="21600,21600" o:gfxdata="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HmRsNgAAAAJAQAADwAAAAAAAAABACAAAAAiAAAAZHJzL2Rvd25yZXYueG1sUEsBAhQAFAAAAAgA&#10;h07iQBbf1f5eAgAAuQQAAA4AAAAAAAAAAQAgAAAAJwEAAGRycy9lMm9Eb2MueG1sUEsFBgAAAAAG&#10;AAYAWQEAAPcFAAAAAA==&#10;">
                <v:fill on="f" focussize="0,0"/>
                <v:stroke weight="2.25pt" color="#000000 [3213]" joinstyle="round"/>
                <v:imagedata o:title=""/>
                <o:lock v:ext="edit" aspectratio="f"/>
              </v:rect>
            </w:pict>
          </mc:Fallback>
        </mc:AlternateContent>
      </w:r>
      <w:r>
        <w:drawing>
          <wp:inline distT="0" distB="0" distL="114300" distR="114300">
            <wp:extent cx="7943850" cy="5073015"/>
            <wp:effectExtent l="0" t="0" r="0" b="13335"/>
            <wp:docPr id="15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9"/>
                    <pic:cNvPicPr>
                      <a:picLocks noChangeAspect="1"/>
                    </pic:cNvPicPr>
                  </pic:nvPicPr>
                  <pic:blipFill>
                    <a:blip r:embed="rId82"/>
                    <a:stretch>
                      <a:fillRect/>
                    </a:stretch>
                  </pic:blipFill>
                  <pic:spPr>
                    <a:xfrm>
                      <a:off x="0" y="0"/>
                      <a:ext cx="7943850" cy="5073015"/>
                    </a:xfrm>
                    <a:prstGeom prst="rect">
                      <a:avLst/>
                    </a:prstGeom>
                    <a:noFill/>
                    <a:ln>
                      <a:noFill/>
                    </a:ln>
                  </pic:spPr>
                </pic:pic>
              </a:graphicData>
            </a:graphic>
          </wp:inline>
        </w:drawing>
      </w:r>
    </w:p>
    <w:p w14:paraId="0755D8A2">
      <w:pPr>
        <w:pStyle w:val="31"/>
        <w:bidi w:val="0"/>
        <w:rPr>
          <w:rFonts w:hint="default" w:ascii="Times New Roman" w:hAnsi="Times New Roman" w:cs="Times New Roman"/>
          <w:color w:val="FF0000"/>
        </w:rPr>
      </w:pPr>
    </w:p>
    <w:p w14:paraId="618307FF">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000000" w:themeColor="text1"/>
          <w:lang w:val="en-US" w:eastAsia="zh-CN"/>
          <w14:textFill>
            <w14:solidFill>
              <w14:schemeClr w14:val="tx1"/>
            </w14:solidFill>
          </w14:textFill>
        </w:rPr>
      </w:pPr>
      <w:r>
        <w:rPr>
          <w:sz w:val="21"/>
        </w:rPr>
        <mc:AlternateContent>
          <mc:Choice Requires="wps">
            <w:drawing>
              <wp:anchor distT="0" distB="0" distL="114300" distR="114300" simplePos="0" relativeHeight="251705344" behindDoc="0" locked="0" layoutInCell="1" allowOverlap="1">
                <wp:simplePos x="0" y="0"/>
                <wp:positionH relativeFrom="column">
                  <wp:posOffset>184785</wp:posOffset>
                </wp:positionH>
                <wp:positionV relativeFrom="paragraph">
                  <wp:posOffset>238760</wp:posOffset>
                </wp:positionV>
                <wp:extent cx="8270875" cy="5001260"/>
                <wp:effectExtent l="13970" t="13970" r="20955" b="33020"/>
                <wp:wrapNone/>
                <wp:docPr id="181" name="矩形 181"/>
                <wp:cNvGraphicFramePr/>
                <a:graphic xmlns:a="http://schemas.openxmlformats.org/drawingml/2006/main">
                  <a:graphicData uri="http://schemas.microsoft.com/office/word/2010/wordprocessingShape">
                    <wps:wsp>
                      <wps:cNvSpPr/>
                      <wps:spPr>
                        <a:xfrm>
                          <a:off x="0" y="0"/>
                          <a:ext cx="8270875" cy="5001260"/>
                        </a:xfrm>
                        <a:prstGeom prst="rect">
                          <a:avLst/>
                        </a:prstGeom>
                        <a:noFill/>
                        <a:ln w="28575"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18.8pt;height:393.8pt;width:651.25pt;z-index:251705344;v-text-anchor:middle;mso-width-relative:page;mso-height-relative:page;" filled="f" stroked="t" coordsize="21600,21600" o:gfxdata="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syvi12gAAAAoBAAAPAAAAAAAAAAEAIAAAACIAAABkcnMvZG93bnJldi54bWxQSwECFAAUAAAA&#10;CACHTuJAzzISUF4CAAC5BAAADgAAAAAAAAABACAAAAApAQAAZHJzL2Uyb0RvYy54bWxQSwUGAAAA&#10;AAYABgBZAQAA+QUAAAAA&#10;">
                <v:fill on="f" focussize="0,0"/>
                <v:stroke weight="2.25pt" color="#000000 [3213]" joinstyle="round"/>
                <v:imagedata o:title=""/>
                <o:lock v:ext="edit" aspectratio="f"/>
              </v:rect>
            </w:pict>
          </mc:Fallback>
        </mc:AlternateContent>
      </w:r>
      <w:r>
        <w:rPr>
          <w:rFonts w:hint="eastAsia" w:ascii="Times New Roman" w:hAnsi="Times New Roman" w:cs="Times New Roman"/>
          <w:color w:val="000000" w:themeColor="text1"/>
          <w:lang w:val="en-US" w:eastAsia="zh-CN"/>
          <w14:textFill>
            <w14:solidFill>
              <w14:schemeClr w14:val="tx1"/>
            </w14:solidFill>
          </w14:textFill>
        </w:rPr>
        <w:t>附图3  项目总平面布置图</w:t>
      </w:r>
    </w:p>
    <w:p w14:paraId="4E4DDD16">
      <w:pPr>
        <w:rPr>
          <w:rFonts w:hint="eastAsia" w:ascii="Times New Roman" w:hAnsi="Times New Roman" w:cs="Times New Roman"/>
          <w:color w:val="FF0000"/>
          <w:lang w:val="en-US" w:eastAsia="zh-CN"/>
        </w:rPr>
      </w:pPr>
      <w:r>
        <w:drawing>
          <wp:anchor distT="0" distB="0" distL="114300" distR="114300" simplePos="0" relativeHeight="251706368" behindDoc="0" locked="0" layoutInCell="1" allowOverlap="1">
            <wp:simplePos x="0" y="0"/>
            <wp:positionH relativeFrom="column">
              <wp:posOffset>7698105</wp:posOffset>
            </wp:positionH>
            <wp:positionV relativeFrom="paragraph">
              <wp:posOffset>8890</wp:posOffset>
            </wp:positionV>
            <wp:extent cx="702310" cy="1017270"/>
            <wp:effectExtent l="0" t="0" r="2540" b="11430"/>
            <wp:wrapNone/>
            <wp:docPr id="1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8"/>
                    <pic:cNvPicPr>
                      <a:picLocks noChangeAspect="1"/>
                    </pic:cNvPicPr>
                  </pic:nvPicPr>
                  <pic:blipFill>
                    <a:blip r:embed="rId79"/>
                    <a:stretch>
                      <a:fillRect/>
                    </a:stretch>
                  </pic:blipFill>
                  <pic:spPr>
                    <a:xfrm>
                      <a:off x="0" y="0"/>
                      <a:ext cx="702310" cy="1017270"/>
                    </a:xfrm>
                    <a:prstGeom prst="rect">
                      <a:avLst/>
                    </a:prstGeom>
                    <a:noFill/>
                    <a:ln>
                      <a:noFill/>
                    </a:ln>
                  </pic:spPr>
                </pic:pic>
              </a:graphicData>
            </a:graphic>
          </wp:anchor>
        </w:drawing>
      </w:r>
    </w:p>
    <w:p w14:paraId="4C236E3D">
      <w:pPr>
        <w:rPr>
          <w:rFonts w:hint="eastAsia" w:ascii="Times New Roman" w:hAnsi="Times New Roman" w:cs="Times New Roman"/>
          <w:color w:val="FF0000"/>
          <w:lang w:val="en-US" w:eastAsia="zh-CN"/>
        </w:rPr>
      </w:pPr>
      <w:r>
        <w:rPr>
          <w:sz w:val="21"/>
        </w:rPr>
        <mc:AlternateContent>
          <mc:Choice Requires="wps">
            <w:drawing>
              <wp:anchor distT="0" distB="0" distL="114300" distR="114300" simplePos="0" relativeHeight="251716608" behindDoc="0" locked="0" layoutInCell="1" allowOverlap="1">
                <wp:simplePos x="0" y="0"/>
                <wp:positionH relativeFrom="column">
                  <wp:posOffset>3871595</wp:posOffset>
                </wp:positionH>
                <wp:positionV relativeFrom="paragraph">
                  <wp:posOffset>203835</wp:posOffset>
                </wp:positionV>
                <wp:extent cx="563245" cy="705485"/>
                <wp:effectExtent l="6350" t="6350" r="20955" b="12065"/>
                <wp:wrapNone/>
                <wp:docPr id="20" name="矩形 20"/>
                <wp:cNvGraphicFramePr/>
                <a:graphic xmlns:a="http://schemas.openxmlformats.org/drawingml/2006/main">
                  <a:graphicData uri="http://schemas.microsoft.com/office/word/2010/wordprocessingShape">
                    <wps:wsp>
                      <wps:cNvSpPr/>
                      <wps:spPr>
                        <a:xfrm>
                          <a:off x="0" y="0"/>
                          <a:ext cx="563245" cy="705485"/>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0CB81FD0">
                            <w:pPr>
                              <w:jc w:val="center"/>
                              <w:rPr>
                                <w:rFonts w:hint="default" w:eastAsia="宋体"/>
                                <w:b/>
                                <w:bCs/>
                                <w:color w:val="000000" w:themeColor="text1"/>
                                <w:sz w:val="24"/>
                                <w:szCs w:val="24"/>
                                <w:lang w:val="en-US" w:eastAsia="zh-CN"/>
                                <w14:textFill>
                                  <w14:solidFill>
                                    <w14:schemeClr w14:val="tx1"/>
                                  </w14:solidFill>
                                </w14:textFill>
                              </w:rPr>
                            </w:pPr>
                            <w:r>
                              <w:rPr>
                                <w:rFonts w:hint="eastAsia" w:eastAsia="宋体"/>
                                <w:b/>
                                <w:bCs/>
                                <w:color w:val="000000" w:themeColor="text1"/>
                                <w:sz w:val="24"/>
                                <w:szCs w:val="24"/>
                                <w:lang w:val="en-US" w:eastAsia="zh-CN"/>
                                <w14:textFill>
                                  <w14:solidFill>
                                    <w14:schemeClr w14:val="tx1"/>
                                  </w14:solidFill>
                                </w14:textFill>
                              </w:rPr>
                              <w:t>一般固废暂存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85pt;margin-top:16.05pt;height:55.55pt;width:44.35pt;z-index:251716608;v-text-anchor:middle;mso-width-relative:page;mso-height-relative:page;" filled="f" stroked="t" coordsize="21600,21600" o:gfxdata="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3PRZ+2QAAAAoBAAAPAAAAAAAAAAEAIAAAACIAAABkcnMvZG93bnJldi54bWxQSwEC&#10;FAAUAAAACACHTuJAzOEtK2UCAADCBAAADgAAAAAAAAABACAAAAAoAQAAZHJzL2Uyb0RvYy54bWxQ&#10;SwUGAAAAAAYABgBZAQAA/wUAAAAA&#10;">
                <v:fill on="f" focussize="0,0"/>
                <v:stroke weight="1pt" color="#000000 [3213]" joinstyle="round" dashstyle="dashDot"/>
                <v:imagedata o:title=""/>
                <o:lock v:ext="edit" aspectratio="f"/>
                <v:textbox>
                  <w:txbxContent>
                    <w:p w14:paraId="0CB81FD0">
                      <w:pPr>
                        <w:jc w:val="center"/>
                        <w:rPr>
                          <w:rFonts w:hint="default" w:eastAsia="宋体"/>
                          <w:b/>
                          <w:bCs/>
                          <w:color w:val="000000" w:themeColor="text1"/>
                          <w:sz w:val="24"/>
                          <w:szCs w:val="24"/>
                          <w:lang w:val="en-US" w:eastAsia="zh-CN"/>
                          <w14:textFill>
                            <w14:solidFill>
                              <w14:schemeClr w14:val="tx1"/>
                            </w14:solidFill>
                          </w14:textFill>
                        </w:rPr>
                      </w:pPr>
                      <w:r>
                        <w:rPr>
                          <w:rFonts w:hint="eastAsia" w:eastAsia="宋体"/>
                          <w:b/>
                          <w:bCs/>
                          <w:color w:val="000000" w:themeColor="text1"/>
                          <w:sz w:val="24"/>
                          <w:szCs w:val="24"/>
                          <w:lang w:val="en-US" w:eastAsia="zh-CN"/>
                          <w14:textFill>
                            <w14:solidFill>
                              <w14:schemeClr w14:val="tx1"/>
                            </w14:solidFill>
                          </w14:textFill>
                        </w:rPr>
                        <w:t>一般固废暂存</w:t>
                      </w:r>
                    </w:p>
                  </w:txbxContent>
                </v:textbox>
              </v:rect>
            </w:pict>
          </mc:Fallback>
        </mc:AlternateContent>
      </w:r>
      <w:r>
        <w:rPr>
          <w:color w:val="FF0000"/>
          <w:sz w:val="21"/>
        </w:rPr>
        <mc:AlternateContent>
          <mc:Choice Requires="wps">
            <w:drawing>
              <wp:anchor distT="0" distB="0" distL="114300" distR="114300" simplePos="0" relativeHeight="251670528" behindDoc="0" locked="0" layoutInCell="1" allowOverlap="1">
                <wp:simplePos x="0" y="0"/>
                <wp:positionH relativeFrom="column">
                  <wp:posOffset>7049770</wp:posOffset>
                </wp:positionH>
                <wp:positionV relativeFrom="paragraph">
                  <wp:posOffset>118745</wp:posOffset>
                </wp:positionV>
                <wp:extent cx="676275" cy="266700"/>
                <wp:effectExtent l="0" t="0" r="0" b="0"/>
                <wp:wrapNone/>
                <wp:docPr id="158" name="矩形 158"/>
                <wp:cNvGraphicFramePr/>
                <a:graphic xmlns:a="http://schemas.openxmlformats.org/drawingml/2006/main">
                  <a:graphicData uri="http://schemas.microsoft.com/office/word/2010/wordprocessingShape">
                    <wps:wsp>
                      <wps:cNvSpPr/>
                      <wps:spPr>
                        <a:xfrm>
                          <a:off x="0" y="0"/>
                          <a:ext cx="676275" cy="266700"/>
                        </a:xfrm>
                        <a:prstGeom prst="rect">
                          <a:avLst/>
                        </a:prstGeom>
                        <a:noFill/>
                        <a:ln w="12700">
                          <a:noFill/>
                        </a:ln>
                      </wps:spPr>
                      <wps:style>
                        <a:lnRef idx="2">
                          <a:schemeClr val="accent1">
                            <a:lumMod val="75000"/>
                          </a:schemeClr>
                        </a:lnRef>
                        <a:fillRef idx="1">
                          <a:schemeClr val="accent1"/>
                        </a:fillRef>
                        <a:effectRef idx="0">
                          <a:srgbClr val="FFFFFF"/>
                        </a:effectRef>
                        <a:fontRef idx="minor">
                          <a:schemeClr val="lt1"/>
                        </a:fontRef>
                      </wps:style>
                      <wps:txbx>
                        <w:txbxContent>
                          <w:p w14:paraId="0CFEF587">
                            <w:pPr>
                              <w:jc w:val="center"/>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DA001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555.1pt;margin-top:9.35pt;height:21pt;width:53.25pt;z-index:251670528;v-text-anchor:middle;mso-width-relative:page;mso-height-relative:page;" filled="f" stroked="f" coordsize="21600,21600" o:gfxdata="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SgDPNkAAAALAQAADwAAAAAAAAAB&#10;ACAAAAAiAAAAZHJzL2Rvd25yZXYueG1sUEsBAhQAFAAAAAgAh07iQAmKclRIAgAAiQQAAA4AAAAA&#10;AAAAAQAgAAAAKAEAAGRycy9lMm9Eb2MueG1sUEsFBgAAAAAGAAYAWQEAAOIFAAAAAA==&#10;">
                <v:fill on="f" focussize="0,0"/>
                <v:stroke on="f" weight="1pt"/>
                <v:imagedata o:title=""/>
                <o:lock v:ext="edit" aspectratio="f"/>
                <v:textbox inset="0mm,0mm,0mm,0mm">
                  <w:txbxContent>
                    <w:p w14:paraId="0CFEF587">
                      <w:pPr>
                        <w:jc w:val="center"/>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DA001</w:t>
                      </w:r>
                    </w:p>
                  </w:txbxContent>
                </v:textbox>
              </v:rect>
            </w:pict>
          </mc:Fallback>
        </mc:AlternateContent>
      </w:r>
      <w:r>
        <w:rPr>
          <w:color w:val="FF0000"/>
          <w:sz w:val="21"/>
        </w:rPr>
        <mc:AlternateContent>
          <mc:Choice Requires="wps">
            <w:drawing>
              <wp:anchor distT="0" distB="0" distL="114300" distR="114300" simplePos="0" relativeHeight="251669504" behindDoc="0" locked="0" layoutInCell="1" allowOverlap="1">
                <wp:simplePos x="0" y="0"/>
                <wp:positionH relativeFrom="column">
                  <wp:posOffset>6958965</wp:posOffset>
                </wp:positionH>
                <wp:positionV relativeFrom="paragraph">
                  <wp:posOffset>149860</wp:posOffset>
                </wp:positionV>
                <wp:extent cx="113030" cy="267335"/>
                <wp:effectExtent l="12700" t="12700" r="13970" b="24765"/>
                <wp:wrapNone/>
                <wp:docPr id="155" name="流程图: 磁盘 155"/>
                <wp:cNvGraphicFramePr/>
                <a:graphic xmlns:a="http://schemas.openxmlformats.org/drawingml/2006/main">
                  <a:graphicData uri="http://schemas.microsoft.com/office/word/2010/wordprocessingShape">
                    <wps:wsp>
                      <wps:cNvSpPr/>
                      <wps:spPr>
                        <a:xfrm>
                          <a:off x="2011680" y="5928995"/>
                          <a:ext cx="113030" cy="267335"/>
                        </a:xfrm>
                        <a:prstGeom prst="flowChartMagneticDisk">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2" type="#_x0000_t132" style="position:absolute;left:0pt;margin-left:547.95pt;margin-top:11.8pt;height:21.05pt;width:8.9pt;z-index:251669504;v-text-anchor:middle;mso-width-relative:page;mso-height-relative:page;" fillcolor="#FFFFFF [3212]" filled="t" stroked="t" coordsize="21600,21600" o:gfxdata="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6rkMn2AAA&#10;AAsBAAAPAAAAAAAAAAEAIAAAACIAAABkcnMvZG93bnJldi54bWxQSwECFAAUAAAACACHTuJAAkbb&#10;IZACAAAIBQAADgAAAAAAAAABACAAAAAnAQAAZHJzL2Uyb0RvYy54bWxQSwUGAAAAAAYABgBZAQAA&#10;KQYAAAAA&#1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6866890</wp:posOffset>
                </wp:positionH>
                <wp:positionV relativeFrom="paragraph">
                  <wp:posOffset>327660</wp:posOffset>
                </wp:positionV>
                <wp:extent cx="291465" cy="803910"/>
                <wp:effectExtent l="6350" t="6350" r="6985" b="8890"/>
                <wp:wrapNone/>
                <wp:docPr id="19" name="矩形 19"/>
                <wp:cNvGraphicFramePr/>
                <a:graphic xmlns:a="http://schemas.openxmlformats.org/drawingml/2006/main">
                  <a:graphicData uri="http://schemas.microsoft.com/office/word/2010/wordprocessingShape">
                    <wps:wsp>
                      <wps:cNvSpPr/>
                      <wps:spPr>
                        <a:xfrm>
                          <a:off x="0" y="0"/>
                          <a:ext cx="291465" cy="80391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20F94E34">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有机废气处理系统</w:t>
                            </w:r>
                          </w:p>
                        </w:txbxContent>
                      </wps:txbx>
                      <wps:bodyPr rot="0" spcFirstLastPara="0" vertOverflow="overflow" horzOverflow="overflow" vert="horz" wrap="square" lIns="0" tIns="45720" rIns="0" bIns="45720" numCol="1" spcCol="0" rtlCol="0" fromWordArt="0" anchor="ctr" anchorCtr="0" forceAA="0" compatLnSpc="1">
                        <a:noAutofit/>
                      </wps:bodyPr>
                    </wps:wsp>
                  </a:graphicData>
                </a:graphic>
              </wp:anchor>
            </w:drawing>
          </mc:Choice>
          <mc:Fallback>
            <w:pict>
              <v:rect id="_x0000_s1026" o:spid="_x0000_s1026" o:spt="1" style="position:absolute;left:0pt;margin-left:540.7pt;margin-top:25.8pt;height:63.3pt;width:22.95pt;z-index:251715584;v-text-anchor:middle;mso-width-relative:page;mso-height-relative:page;" filled="f" stroked="t" coordsize="21600,21600" o:gfxdata="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B9q2doAAAAMAQAADwAAAAAAAAABACAAAAAiAAAAZHJzL2Rvd25yZXYueG1sUEsBAhQA&#10;FAAAAAgAh07iQNSGBDxiAgAAugQAAA4AAAAAAAAAAQAgAAAAKQEAAGRycy9lMm9Eb2MueG1sUEsF&#10;BgAAAAAGAAYAWQEAAP0FAAAAAA==&#10;">
                <v:fill on="f" focussize="0,0"/>
                <v:stroke weight="1pt" color="#000000 [3213]" joinstyle="round" dashstyle="dashDot"/>
                <v:imagedata o:title=""/>
                <o:lock v:ext="edit" aspectratio="f"/>
                <v:textbox inset="0mm,1.27mm,0mm,1.27mm">
                  <w:txbxContent>
                    <w:p w14:paraId="20F94E34">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有机废气处理系统</w:t>
                      </w:r>
                    </w:p>
                  </w:txbxContent>
                </v:textbox>
              </v:rect>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6049010</wp:posOffset>
                </wp:positionH>
                <wp:positionV relativeFrom="paragraph">
                  <wp:posOffset>274955</wp:posOffset>
                </wp:positionV>
                <wp:extent cx="557530" cy="355600"/>
                <wp:effectExtent l="6350" t="6350" r="7620" b="19050"/>
                <wp:wrapNone/>
                <wp:docPr id="82" name="矩形 82"/>
                <wp:cNvGraphicFramePr/>
                <a:graphic xmlns:a="http://schemas.openxmlformats.org/drawingml/2006/main">
                  <a:graphicData uri="http://schemas.microsoft.com/office/word/2010/wordprocessingShape">
                    <wps:wsp>
                      <wps:cNvSpPr/>
                      <wps:spPr>
                        <a:xfrm>
                          <a:off x="0" y="0"/>
                          <a:ext cx="557530" cy="35560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7823A6BC">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调漆房</w:t>
                            </w:r>
                          </w:p>
                        </w:txbxContent>
                      </wps:txbx>
                      <wps:bodyPr rot="0" spcFirstLastPara="0" vertOverflow="overflow" horzOverflow="overflow" vert="horz" wrap="square" lIns="0" tIns="45720" rIns="0" bIns="45720" numCol="1" spcCol="0" rtlCol="0" fromWordArt="0" anchor="ctr" anchorCtr="0" forceAA="0" compatLnSpc="1">
                        <a:noAutofit/>
                      </wps:bodyPr>
                    </wps:wsp>
                  </a:graphicData>
                </a:graphic>
              </wp:anchor>
            </w:drawing>
          </mc:Choice>
          <mc:Fallback>
            <w:pict>
              <v:rect id="_x0000_s1026" o:spid="_x0000_s1026" o:spt="1" style="position:absolute;left:0pt;margin-left:476.3pt;margin-top:21.65pt;height:28pt;width:43.9pt;z-index:251681792;v-text-anchor:middle;mso-width-relative:page;mso-height-relative:page;" filled="f" stroked="t" coordsize="21600,21600" o:gfxdata="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fdg1bYAAAACgEAAA8AAAAAAAAAAQAgAAAAIgAAAGRycy9kb3ducmV2LnhtbFBLAQIUABQA&#10;AAAIAIdO4kAdHl2yYgIAALoEAAAOAAAAAAAAAAEAIAAAACcBAABkcnMvZTJvRG9jLnhtbFBLBQYA&#10;AAAABgAGAFkBAAD7BQAAAAA=&#10;">
                <v:fill on="f" focussize="0,0"/>
                <v:stroke weight="1pt" color="#000000 [3213]" joinstyle="round" dashstyle="dashDot"/>
                <v:imagedata o:title=""/>
                <o:lock v:ext="edit" aspectratio="f"/>
                <v:textbox inset="0mm,1.27mm,0mm,1.27mm">
                  <w:txbxContent>
                    <w:p w14:paraId="7823A6BC">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调漆房</w:t>
                      </w:r>
                    </w:p>
                  </w:txbxContent>
                </v:textbox>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4761230</wp:posOffset>
                </wp:positionH>
                <wp:positionV relativeFrom="paragraph">
                  <wp:posOffset>782955</wp:posOffset>
                </wp:positionV>
                <wp:extent cx="911860" cy="561975"/>
                <wp:effectExtent l="6350" t="6350" r="15240" b="22225"/>
                <wp:wrapNone/>
                <wp:docPr id="81" name="矩形 81"/>
                <wp:cNvGraphicFramePr/>
                <a:graphic xmlns:a="http://schemas.openxmlformats.org/drawingml/2006/main">
                  <a:graphicData uri="http://schemas.microsoft.com/office/word/2010/wordprocessingShape">
                    <wps:wsp>
                      <wps:cNvSpPr/>
                      <wps:spPr>
                        <a:xfrm>
                          <a:off x="0" y="0"/>
                          <a:ext cx="911860" cy="561975"/>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037E5245">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喷漆房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9pt;margin-top:61.65pt;height:44.25pt;width:71.8pt;z-index:251680768;v-text-anchor:middle;mso-width-relative:page;mso-height-relative:page;" filled="f" stroked="t" coordsize="21600,21600" o:gfxdata="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CF2KbZAAAACwEAAA8AAAAAAAAAAQAgAAAAIgAAAGRycy9kb3ducmV2LnhtbFBLAQIU&#10;ABQAAAAIAIdO4kBzRuOiZAIAAMIEAAAOAAAAAAAAAAEAIAAAACgBAABkcnMvZTJvRG9jLnhtbFBL&#10;BQYAAAAABgAGAFkBAAD+BQAAAAA=&#10;">
                <v:fill on="f" focussize="0,0"/>
                <v:stroke weight="1pt" color="#000000 [3213]" joinstyle="round" dashstyle="dashDot"/>
                <v:imagedata o:title=""/>
                <o:lock v:ext="edit" aspectratio="f"/>
                <v:textbox>
                  <w:txbxContent>
                    <w:p w14:paraId="037E5245">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喷漆房</w:t>
                      </w:r>
                    </w:p>
                  </w:txbxContent>
                </v:textbox>
              </v:rect>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6184900</wp:posOffset>
                </wp:positionH>
                <wp:positionV relativeFrom="paragraph">
                  <wp:posOffset>2031365</wp:posOffset>
                </wp:positionV>
                <wp:extent cx="415290" cy="715010"/>
                <wp:effectExtent l="6350" t="6350" r="16510" b="21590"/>
                <wp:wrapNone/>
                <wp:docPr id="18" name="矩形 18"/>
                <wp:cNvGraphicFramePr/>
                <a:graphic xmlns:a="http://schemas.openxmlformats.org/drawingml/2006/main">
                  <a:graphicData uri="http://schemas.microsoft.com/office/word/2010/wordprocessingShape">
                    <wps:wsp>
                      <wps:cNvSpPr/>
                      <wps:spPr>
                        <a:xfrm>
                          <a:off x="0" y="0"/>
                          <a:ext cx="415290" cy="71501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48FA8B61">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水帘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7pt;margin-top:159.95pt;height:56.3pt;width:32.7pt;z-index:251714560;v-text-anchor:middle;mso-width-relative:page;mso-height-relative:page;" filled="f" stroked="t" coordsize="21600,21600" o:gfxdata="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pkbVtoAAAAMAQAADwAAAAAAAAABACAAAAAiAAAAZHJzL2Rvd25yZXYueG1sUEsBAhQA&#10;FAAAAAgAh07iQKuLO69iAgAAwgQAAA4AAAAAAAAAAQAgAAAAKQEAAGRycy9lMm9Eb2MueG1sUEsF&#10;BgAAAAAGAAYAWQEAAP0FAAAAAA==&#10;">
                <v:fill on="f" focussize="0,0"/>
                <v:stroke weight="1pt" color="#000000 [3213]" joinstyle="round" dashstyle="dashDot"/>
                <v:imagedata o:title=""/>
                <o:lock v:ext="edit" aspectratio="f"/>
                <v:textbox>
                  <w:txbxContent>
                    <w:p w14:paraId="48FA8B61">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水帘</w:t>
                      </w:r>
                    </w:p>
                  </w:txbxContent>
                </v:textbox>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5001895</wp:posOffset>
                </wp:positionH>
                <wp:positionV relativeFrom="paragraph">
                  <wp:posOffset>268605</wp:posOffset>
                </wp:positionV>
                <wp:extent cx="706755" cy="439420"/>
                <wp:effectExtent l="6350" t="6350" r="10795" b="11430"/>
                <wp:wrapNone/>
                <wp:docPr id="14" name="矩形 14"/>
                <wp:cNvGraphicFramePr/>
                <a:graphic xmlns:a="http://schemas.openxmlformats.org/drawingml/2006/main">
                  <a:graphicData uri="http://schemas.microsoft.com/office/word/2010/wordprocessingShape">
                    <wps:wsp>
                      <wps:cNvSpPr/>
                      <wps:spPr>
                        <a:xfrm>
                          <a:off x="0" y="0"/>
                          <a:ext cx="706755" cy="43942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45D3C2CB">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烤漆房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3.85pt;margin-top:21.15pt;height:34.6pt;width:55.65pt;z-index:251713536;v-text-anchor:middle;mso-width-relative:page;mso-height-relative:page;" filled="f" stroked="t" coordsize="21600,21600" o:gfxdata="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NdtT82AAAAAoBAAAPAAAAAAAAAAEAIAAAACIAAABkcnMvZG93bnJldi54bWxQSwEC&#10;FAAUAAAACACHTuJADxtpYWYCAADCBAAADgAAAAAAAAABACAAAAAnAQAAZHJzL2Uyb0RvYy54bWxQ&#10;SwUGAAAAAAYABgBZAQAA/wUAAAAA&#10;">
                <v:fill on="f" focussize="0,0"/>
                <v:stroke weight="1pt" color="#000000 [3213]" joinstyle="round" dashstyle="dashDot"/>
                <v:imagedata o:title=""/>
                <o:lock v:ext="edit" aspectratio="f"/>
                <v:textbox>
                  <w:txbxContent>
                    <w:p w14:paraId="45D3C2CB">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烤漆房</w:t>
                      </w:r>
                    </w:p>
                  </w:txbxContent>
                </v:textbox>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5612765</wp:posOffset>
                </wp:positionH>
                <wp:positionV relativeFrom="paragraph">
                  <wp:posOffset>2042795</wp:posOffset>
                </wp:positionV>
                <wp:extent cx="988695" cy="715010"/>
                <wp:effectExtent l="6350" t="6350" r="8255" b="15240"/>
                <wp:wrapNone/>
                <wp:docPr id="83" name="矩形 83"/>
                <wp:cNvGraphicFramePr/>
                <a:graphic xmlns:a="http://schemas.openxmlformats.org/drawingml/2006/main">
                  <a:graphicData uri="http://schemas.microsoft.com/office/word/2010/wordprocessingShape">
                    <wps:wsp>
                      <wps:cNvSpPr/>
                      <wps:spPr>
                        <a:xfrm>
                          <a:off x="0" y="0"/>
                          <a:ext cx="988695" cy="71501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76094108">
                            <w:pPr>
                              <w:jc w:val="both"/>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打磨房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1.95pt;margin-top:160.85pt;height:56.3pt;width:77.85pt;z-index:251682816;v-text-anchor:middle;mso-width-relative:page;mso-height-relative:page;" filled="f" stroked="t" coordsize="21600,21600" o:gfxdata="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aHo0jaAAAADAEAAA8AAAAAAAAAAQAgAAAAIgAAAGRycy9kb3ducmV2LnhtbFBL&#10;AQIUABQAAAAIAIdO4kBfCGj7ZgIAAMIEAAAOAAAAAAAAAAEAIAAAACkBAABkcnMvZTJvRG9jLnht&#10;bFBLBQYAAAAABgAGAFkBAAABBgAAAAA=&#10;">
                <v:fill on="f" focussize="0,0"/>
                <v:stroke weight="1pt" color="#000000 [3213]" joinstyle="round" dashstyle="dashDot"/>
                <v:imagedata o:title=""/>
                <o:lock v:ext="edit" aspectratio="f"/>
                <v:textbox>
                  <w:txbxContent>
                    <w:p w14:paraId="76094108">
                      <w:pPr>
                        <w:jc w:val="both"/>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打磨房</w:t>
                      </w:r>
                    </w:p>
                  </w:txbxContent>
                </v:textbox>
              </v:rect>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5757545</wp:posOffset>
                </wp:positionH>
                <wp:positionV relativeFrom="paragraph">
                  <wp:posOffset>768350</wp:posOffset>
                </wp:positionV>
                <wp:extent cx="860425" cy="562610"/>
                <wp:effectExtent l="6350" t="6350" r="9525" b="15240"/>
                <wp:wrapNone/>
                <wp:docPr id="80" name="矩形 80"/>
                <wp:cNvGraphicFramePr/>
                <a:graphic xmlns:a="http://schemas.openxmlformats.org/drawingml/2006/main">
                  <a:graphicData uri="http://schemas.microsoft.com/office/word/2010/wordprocessingShape">
                    <wps:wsp>
                      <wps:cNvSpPr/>
                      <wps:spPr>
                        <a:xfrm>
                          <a:off x="0" y="0"/>
                          <a:ext cx="860425" cy="56261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67E1FC68">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喷漆房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3.35pt;margin-top:60.5pt;height:44.3pt;width:67.75pt;z-index:251679744;v-text-anchor:middle;mso-width-relative:page;mso-height-relative:page;" filled="f" stroked="t" coordsize="21600,21600" o:gfxdata="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ZvF3T2AAAAAwBAAAPAAAAAAAAAAEAIAAAACIAAABkcnMvZG93bnJldi54bWxQSwEC&#10;FAAUAAAACACHTuJA1xtLk2YCAADCBAAADgAAAAAAAAABACAAAAAnAQAAZHJzL2Uyb0RvYy54bWxQ&#10;SwUGAAAAAAYABgBZAQAA/wUAAAAA&#10;">
                <v:fill on="f" focussize="0,0"/>
                <v:stroke weight="1pt" color="#000000 [3213]" joinstyle="round" dashstyle="dashDot"/>
                <v:imagedata o:title=""/>
                <o:lock v:ext="edit" aspectratio="f"/>
                <v:textbox>
                  <w:txbxContent>
                    <w:p w14:paraId="67E1FC68">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喷漆房</w:t>
                      </w:r>
                    </w:p>
                  </w:txbxContent>
                </v:textbox>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6902450</wp:posOffset>
                </wp:positionH>
                <wp:positionV relativeFrom="paragraph">
                  <wp:posOffset>1620520</wp:posOffset>
                </wp:positionV>
                <wp:extent cx="187325" cy="182880"/>
                <wp:effectExtent l="12700" t="12700" r="20320" b="15875"/>
                <wp:wrapNone/>
                <wp:docPr id="90" name="流程图: 合并 90"/>
                <wp:cNvGraphicFramePr/>
                <a:graphic xmlns:a="http://schemas.openxmlformats.org/drawingml/2006/main">
                  <a:graphicData uri="http://schemas.microsoft.com/office/word/2010/wordprocessingShape">
                    <wps:wsp>
                      <wps:cNvSpPr/>
                      <wps:spPr>
                        <a:xfrm rot="16200000" flipH="1" flipV="1">
                          <a:off x="0" y="0"/>
                          <a:ext cx="187325" cy="182880"/>
                        </a:xfrm>
                        <a:prstGeom prst="flowChartMerge">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8" type="#_x0000_t128" style="position:absolute;left:0pt;flip:x y;margin-left:543.5pt;margin-top:127.6pt;height:14.4pt;width:14.75pt;rotation:-5898240f;z-index:251689984;v-text-anchor:middle;mso-width-relative:page;mso-height-relative:page;" fillcolor="#000000 [3213]" filled="t" stroked="t" coordsize="21600,21600" o:gfxdata="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jCIbrcAAAADQEAAA8AAAAAAAAAAQAgAAAAIgAAAGRycy9kb3ducmV2&#10;LnhtbFBLAQIUABQAAAAIAIdO4kArfKmQowIAADgFAAAOAAAAAAAAAAEAIAAAACsBAABkcnMvZTJv&#10;RG9jLnhtbFBLBQYAAAAABgAGAFkBAABABgAAAAA=&#10;">
                <v:fill on="t" focussize="0,0"/>
                <v:stroke weight="2pt" color="#376092 [2404]" joinstyle="round"/>
                <v:imagedata o:title=""/>
                <o:lock v:ext="edit" aspectratio="f"/>
              </v:shape>
            </w:pict>
          </mc:Fallback>
        </mc:AlternateContent>
      </w:r>
      <w:r>
        <w:rPr>
          <w:color w:val="FF0000"/>
          <w:sz w:val="21"/>
        </w:rPr>
        <mc:AlternateContent>
          <mc:Choice Requires="wps">
            <w:drawing>
              <wp:anchor distT="0" distB="0" distL="114300" distR="114300" simplePos="0" relativeHeight="251711488" behindDoc="0" locked="0" layoutInCell="1" allowOverlap="1">
                <wp:simplePos x="0" y="0"/>
                <wp:positionH relativeFrom="column">
                  <wp:posOffset>6911975</wp:posOffset>
                </wp:positionH>
                <wp:positionV relativeFrom="paragraph">
                  <wp:posOffset>3488055</wp:posOffset>
                </wp:positionV>
                <wp:extent cx="813435" cy="309880"/>
                <wp:effectExtent l="0" t="0" r="0" b="0"/>
                <wp:wrapNone/>
                <wp:docPr id="205" name="矩形 205"/>
                <wp:cNvGraphicFramePr/>
                <a:graphic xmlns:a="http://schemas.openxmlformats.org/drawingml/2006/main">
                  <a:graphicData uri="http://schemas.microsoft.com/office/word/2010/wordprocessingShape">
                    <wps:wsp>
                      <wps:cNvSpPr/>
                      <wps:spPr>
                        <a:xfrm>
                          <a:off x="0" y="0"/>
                          <a:ext cx="813435" cy="309880"/>
                        </a:xfrm>
                        <a:prstGeom prst="rect">
                          <a:avLst/>
                        </a:prstGeom>
                        <a:noFill/>
                        <a:ln w="12700">
                          <a:noFill/>
                        </a:ln>
                      </wps:spPr>
                      <wps:style>
                        <a:lnRef idx="2">
                          <a:schemeClr val="accent1">
                            <a:lumMod val="75000"/>
                          </a:schemeClr>
                        </a:lnRef>
                        <a:fillRef idx="1">
                          <a:schemeClr val="accent1"/>
                        </a:fillRef>
                        <a:effectRef idx="0">
                          <a:srgbClr val="FFFFFF"/>
                        </a:effectRef>
                        <a:fontRef idx="minor">
                          <a:schemeClr val="lt1"/>
                        </a:fontRef>
                      </wps:style>
                      <wps:txbx>
                        <w:txbxContent>
                          <w:p w14:paraId="3F14DC13">
                            <w:pPr>
                              <w:jc w:val="center"/>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污水接管口</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544.25pt;margin-top:274.65pt;height:24.4pt;width:64.05pt;z-index:251711488;v-text-anchor:middle;mso-width-relative:page;mso-height-relative:page;" filled="f" stroked="f" coordsize="21600,21600" o:gfxdata="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GRqXNwAAAANAQAADwAA&#10;AAAAAAABACAAAAAiAAAAZHJzL2Rvd25yZXYueG1sUEsBAhQAFAAAAAgAh07iQE6jpSdLAgAAiQQA&#10;AA4AAAAAAAAAAQAgAAAAKwEAAGRycy9lMm9Eb2MueG1sUEsFBgAAAAAGAAYAWQEAAOgFAAAAAA==&#10;">
                <v:fill on="f" focussize="0,0"/>
                <v:stroke on="f" weight="1pt"/>
                <v:imagedata o:title=""/>
                <o:lock v:ext="edit" aspectratio="f"/>
                <v:textbox inset="0mm,0mm,0mm,0mm">
                  <w:txbxContent>
                    <w:p w14:paraId="3F14DC13">
                      <w:pPr>
                        <w:jc w:val="center"/>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污水接管口</w:t>
                      </w:r>
                    </w:p>
                  </w:txbxContent>
                </v:textbox>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6882130</wp:posOffset>
                </wp:positionH>
                <wp:positionV relativeFrom="paragraph">
                  <wp:posOffset>3832225</wp:posOffset>
                </wp:positionV>
                <wp:extent cx="138430" cy="147320"/>
                <wp:effectExtent l="12700" t="12700" r="20320" b="30480"/>
                <wp:wrapNone/>
                <wp:docPr id="204" name="流程图: 汇总连接 204"/>
                <wp:cNvGraphicFramePr/>
                <a:graphic xmlns:a="http://schemas.openxmlformats.org/drawingml/2006/main">
                  <a:graphicData uri="http://schemas.microsoft.com/office/word/2010/wordprocessingShape">
                    <wps:wsp>
                      <wps:cNvSpPr/>
                      <wps:spPr>
                        <a:xfrm>
                          <a:off x="7962265" y="5360035"/>
                          <a:ext cx="138430" cy="147320"/>
                        </a:xfrm>
                        <a:prstGeom prst="flowChartSummingJunction">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541.9pt;margin-top:301.75pt;height:11.6pt;width:10.9pt;z-index:251710464;v-text-anchor:middle;mso-width-relative:page;mso-height-relative:page;" fillcolor="#4F81BD [3204]" filled="t" stroked="t" coordsize="21600,21600" o:gfxdata="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uqV2XtoAAAANAQAADwAAAAAAAAABACAA&#10;AAAiAAAAZHJzL2Rvd25yZXYueG1sUEsBAhQAFAAAAAgAh07iQG0x0/y2AgAAMwUAAA4AAAAAAAAA&#10;AQAgAAAAKQEAAGRycy9lMm9Eb2MueG1sUEsFBgAAAAAGAAYAWQEAAFEGA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6388735</wp:posOffset>
                </wp:positionH>
                <wp:positionV relativeFrom="paragraph">
                  <wp:posOffset>3528695</wp:posOffset>
                </wp:positionV>
                <wp:extent cx="467360" cy="456565"/>
                <wp:effectExtent l="12700" t="12700" r="15240" b="26035"/>
                <wp:wrapNone/>
                <wp:docPr id="183" name="矩形 183"/>
                <wp:cNvGraphicFramePr/>
                <a:graphic xmlns:a="http://schemas.openxmlformats.org/drawingml/2006/main">
                  <a:graphicData uri="http://schemas.microsoft.com/office/word/2010/wordprocessingShape">
                    <wps:wsp>
                      <wps:cNvSpPr/>
                      <wps:spPr>
                        <a:xfrm>
                          <a:off x="0" y="0"/>
                          <a:ext cx="467360" cy="45656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3FFB2E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化粪池</w:t>
                            </w:r>
                          </w:p>
                        </w:txbxContent>
                      </wps:txbx>
                      <wps:bodyPr rot="0" spcFirstLastPara="0" vertOverflow="overflow" horzOverflow="overflow" vert="horz" wrap="square" lIns="36000" tIns="45720" rIns="36000" bIns="45720" numCol="1" spcCol="0" rtlCol="0" fromWordArt="0" anchor="ctr" anchorCtr="0" forceAA="0" compatLnSpc="1">
                        <a:noAutofit/>
                      </wps:bodyPr>
                    </wps:wsp>
                  </a:graphicData>
                </a:graphic>
              </wp:anchor>
            </w:drawing>
          </mc:Choice>
          <mc:Fallback>
            <w:pict>
              <v:rect id="_x0000_s1026" o:spid="_x0000_s1026" o:spt="1" style="position:absolute;left:0pt;margin-left:503.05pt;margin-top:277.85pt;height:35.95pt;width:36.8pt;z-index:251707392;v-text-anchor:middle;mso-width-relative:page;mso-height-relative:page;" filled="f" stroked="t" coordsize="21600,21600" o:gfxdata="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ozTS21wAAAA0BAAAPAAAAAAAAAAEAIAAAACIAAABkcnMvZG93bnJldi54bWxQSwECFAAUAAAA&#10;CACHTuJAefxiUGECAADCBAAADgAAAAAAAAABACAAAAAmAQAAZHJzL2Uyb0RvYy54bWxQSwUGAAAA&#10;AAYABgBZAQAA+QUAAAAA&#10;">
                <v:fill on="f" focussize="0,0"/>
                <v:stroke weight="2pt" color="#000000 [3213]" joinstyle="round"/>
                <v:imagedata o:title=""/>
                <o:lock v:ext="edit" aspectratio="f"/>
                <v:textbox inset="1mm,1.27mm,1mm,1.27mm">
                  <w:txbxContent>
                    <w:p w14:paraId="43FFB2E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化粪池</w:t>
                      </w:r>
                    </w:p>
                  </w:txbxContent>
                </v:textbox>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3851910</wp:posOffset>
                </wp:positionH>
                <wp:positionV relativeFrom="paragraph">
                  <wp:posOffset>1823085</wp:posOffset>
                </wp:positionV>
                <wp:extent cx="187325" cy="182880"/>
                <wp:effectExtent l="12700" t="12700" r="20320" b="15875"/>
                <wp:wrapNone/>
                <wp:docPr id="91" name="流程图: 合并 91"/>
                <wp:cNvGraphicFramePr/>
                <a:graphic xmlns:a="http://schemas.openxmlformats.org/drawingml/2006/main">
                  <a:graphicData uri="http://schemas.microsoft.com/office/word/2010/wordprocessingShape">
                    <wps:wsp>
                      <wps:cNvSpPr/>
                      <wps:spPr>
                        <a:xfrm rot="16200000" flipH="1" flipV="1">
                          <a:off x="0" y="0"/>
                          <a:ext cx="187325" cy="182880"/>
                        </a:xfrm>
                        <a:prstGeom prst="flowChartMerge">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8" type="#_x0000_t128" style="position:absolute;left:0pt;flip:x y;margin-left:303.3pt;margin-top:143.55pt;height:14.4pt;width:14.75pt;rotation:-5898240f;z-index:251691008;v-text-anchor:middle;mso-width-relative:page;mso-height-relative:page;" fillcolor="#000000 [3213]" filled="t" stroked="t" coordsize="21600,21600" o:gfxdata="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c16w7cAAAACwEAAA8AAAAAAAAAAQAgAAAAIgAAAGRycy9kb3ducmV2&#10;LnhtbFBLAQIUABQAAAAIAIdO4kBCgGMrowIAADgFAAAOAAAAAAAAAAEAIAAAACsBAABkcnMvZTJv&#10;RG9jLnhtbFBLBQYAAAAABgAGAFkBAABABg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6874510</wp:posOffset>
                </wp:positionH>
                <wp:positionV relativeFrom="paragraph">
                  <wp:posOffset>2185670</wp:posOffset>
                </wp:positionV>
                <wp:extent cx="334010" cy="704215"/>
                <wp:effectExtent l="12700" t="12700" r="15240" b="26035"/>
                <wp:wrapNone/>
                <wp:docPr id="88" name="矩形 88"/>
                <wp:cNvGraphicFramePr/>
                <a:graphic xmlns:a="http://schemas.openxmlformats.org/drawingml/2006/main">
                  <a:graphicData uri="http://schemas.microsoft.com/office/word/2010/wordprocessingShape">
                    <wps:wsp>
                      <wps:cNvSpPr/>
                      <wps:spPr>
                        <a:xfrm>
                          <a:off x="0" y="0"/>
                          <a:ext cx="334010" cy="7042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776312">
                            <w:pPr>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危废间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3pt;margin-top:172.1pt;height:55.45pt;width:26.3pt;z-index:251687936;v-text-anchor:middle;mso-width-relative:page;mso-height-relative:page;" filled="f" stroked="t" coordsize="21600,21600" o:gfxdata="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nF4tLbAAAADQEAAA8AAAAAAAAAAQAgAAAAIgAAAGRycy9kb3ducmV2LnhtbFBLAQIU&#10;ABQAAAAIAIdO4kBwM/U9YgIAAMAEAAAOAAAAAAAAAAEAIAAAACoBAABkcnMvZTJvRG9jLnhtbFBL&#10;BQYAAAAABgAGAFkBAAD+BQAAAAA=&#10;">
                <v:fill on="f" focussize="0,0"/>
                <v:stroke weight="2pt" color="#000000 [3213]" joinstyle="round"/>
                <v:imagedata o:title=""/>
                <o:lock v:ext="edit" aspectratio="f"/>
                <v:textbox>
                  <w:txbxContent>
                    <w:p w14:paraId="3F776312">
                      <w:pPr>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危废间</w:t>
                      </w:r>
                    </w:p>
                  </w:txbxContent>
                </v:textbox>
              </v:rect>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447040</wp:posOffset>
                </wp:positionH>
                <wp:positionV relativeFrom="paragraph">
                  <wp:posOffset>1794510</wp:posOffset>
                </wp:positionV>
                <wp:extent cx="187325" cy="152400"/>
                <wp:effectExtent l="0" t="1270" r="43815" b="62230"/>
                <wp:wrapNone/>
                <wp:docPr id="89" name="流程图: 合并 89"/>
                <wp:cNvGraphicFramePr/>
                <a:graphic xmlns:a="http://schemas.openxmlformats.org/drawingml/2006/main">
                  <a:graphicData uri="http://schemas.microsoft.com/office/word/2010/wordprocessingShape">
                    <wps:wsp>
                      <wps:cNvSpPr/>
                      <wps:spPr>
                        <a:xfrm rot="8880000">
                          <a:off x="1136015" y="3218815"/>
                          <a:ext cx="187325" cy="152400"/>
                        </a:xfrm>
                        <a:prstGeom prst="flowChartMerge">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8" type="#_x0000_t128" style="position:absolute;left:0pt;margin-left:35.2pt;margin-top:141.3pt;height:12pt;width:14.75pt;rotation:9699328f;z-index:251688960;v-text-anchor:middle;mso-width-relative:page;mso-height-relative:page;" fillcolor="#000000 [3213]" filled="t" stroked="t" coordsize="21600,21600" o:gfxdata="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DXuU+fXAAAACQEAAA8AAAAAAAAAAQAgAAAAIgAAAGRycy9kb3ducmV2Lnht&#10;bFBLAQIUABQAAAAIAIdO4kDkWubBpQIAAC8FAAAOAAAAAAAAAAEAIAAAACYBAABkcnMvZTJvRG9j&#10;LnhtbFBLBQYAAAAABgAGAFkBAAA9Bg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7313930</wp:posOffset>
                </wp:positionH>
                <wp:positionV relativeFrom="paragraph">
                  <wp:posOffset>3906520</wp:posOffset>
                </wp:positionV>
                <wp:extent cx="860425" cy="526415"/>
                <wp:effectExtent l="0" t="0" r="0" b="0"/>
                <wp:wrapNone/>
                <wp:docPr id="86" name="矩形 86"/>
                <wp:cNvGraphicFramePr/>
                <a:graphic xmlns:a="http://schemas.openxmlformats.org/drawingml/2006/main">
                  <a:graphicData uri="http://schemas.microsoft.com/office/word/2010/wordprocessingShape">
                    <wps:wsp>
                      <wps:cNvSpPr/>
                      <wps:spPr>
                        <a:xfrm>
                          <a:off x="0" y="0"/>
                          <a:ext cx="860425" cy="526415"/>
                        </a:xfrm>
                        <a:prstGeom prst="rect">
                          <a:avLst/>
                        </a:prstGeom>
                        <a:noFill/>
                        <a:ln w="12700">
                          <a:no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587B31D1">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比例尺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5.9pt;margin-top:307.6pt;height:41.45pt;width:67.75pt;z-index:251685888;v-text-anchor:middle;mso-width-relative:page;mso-height-relative:page;" filled="f" stroked="f" coordsize="21600,21600" o:gfxdata="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5QK1dkAAAAN&#10;AQAADwAAAAAAAAABACAAAAAiAAAAZHJzL2Rvd25yZXYueG1sUEsBAhQAFAAAAAgAh07iQFrry9pU&#10;AgAAmQQAAA4AAAAAAAAAAQAgAAAAKAEAAGRycy9lMm9Eb2MueG1sUEsFBgAAAAAGAAYAWQEAAO4F&#10;AAAAAA==&#10;">
                <v:fill on="f" focussize="0,0"/>
                <v:stroke on="f" weight="1pt" dashstyle="dashDot"/>
                <v:imagedata o:title=""/>
                <o:lock v:ext="edit" aspectratio="f"/>
                <v:textbox>
                  <w:txbxContent>
                    <w:p w14:paraId="587B31D1">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比例尺</w:t>
                      </w:r>
                    </w:p>
                  </w:txbxContent>
                </v:textbox>
              </v:rect>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6742430</wp:posOffset>
                </wp:positionH>
                <wp:positionV relativeFrom="paragraph">
                  <wp:posOffset>4236720</wp:posOffset>
                </wp:positionV>
                <wp:extent cx="2042795" cy="387350"/>
                <wp:effectExtent l="0" t="0" r="0" b="0"/>
                <wp:wrapNone/>
                <wp:docPr id="87" name="矩形 87"/>
                <wp:cNvGraphicFramePr/>
                <a:graphic xmlns:a="http://schemas.openxmlformats.org/drawingml/2006/main">
                  <a:graphicData uri="http://schemas.microsoft.com/office/word/2010/wordprocessingShape">
                    <wps:wsp>
                      <wps:cNvSpPr/>
                      <wps:spPr>
                        <a:xfrm>
                          <a:off x="0" y="0"/>
                          <a:ext cx="2042795" cy="387350"/>
                        </a:xfrm>
                        <a:prstGeom prst="rect">
                          <a:avLst/>
                        </a:prstGeom>
                        <a:noFill/>
                        <a:ln w="12700">
                          <a:no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67023331">
                            <w:pPr>
                              <w:ind w:firstLine="241" w:firstLineChars="100"/>
                              <w:jc w:val="both"/>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0        5     10m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0.9pt;margin-top:333.6pt;height:30.5pt;width:160.85pt;z-index:251686912;v-text-anchor:middle;mso-width-relative:page;mso-height-relative:page;" filled="f" stroked="f" coordsize="21600,21600" o:gfxdata="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x8yrK2QAA&#10;AA0BAAAPAAAAAAAAAAEAIAAAACIAAABkcnMvZG93bnJldi54bWxQSwECFAAUAAAACACHTuJAR67m&#10;9FYCAACaBAAADgAAAAAAAAABACAAAAAoAQAAZHJzL2Uyb0RvYy54bWxQSwUGAAAAAAYABgBZAQAA&#10;8AUAAAAA&#10;">
                <v:fill on="f" focussize="0,0"/>
                <v:stroke on="f" weight="1pt" dashstyle="dashDot"/>
                <v:imagedata o:title=""/>
                <o:lock v:ext="edit" aspectratio="f"/>
                <v:textbox>
                  <w:txbxContent>
                    <w:p w14:paraId="67023331">
                      <w:pPr>
                        <w:ind w:firstLine="241" w:firstLineChars="100"/>
                        <w:jc w:val="both"/>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0        5     10m</w:t>
                      </w:r>
                    </w:p>
                  </w:txbxContent>
                </v:textbox>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7116445</wp:posOffset>
                </wp:positionH>
                <wp:positionV relativeFrom="paragraph">
                  <wp:posOffset>4583430</wp:posOffset>
                </wp:positionV>
                <wp:extent cx="634365" cy="139700"/>
                <wp:effectExtent l="12700" t="12700" r="13335" b="12700"/>
                <wp:wrapNone/>
                <wp:docPr id="84" name="矩形 84"/>
                <wp:cNvGraphicFramePr/>
                <a:graphic xmlns:a="http://schemas.openxmlformats.org/drawingml/2006/main">
                  <a:graphicData uri="http://schemas.microsoft.com/office/word/2010/wordprocessingShape">
                    <wps:wsp>
                      <wps:cNvSpPr/>
                      <wps:spPr>
                        <a:xfrm>
                          <a:off x="0" y="0"/>
                          <a:ext cx="634365" cy="139700"/>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35pt;margin-top:360.9pt;height:11pt;width:49.95pt;z-index:251683840;v-text-anchor:middle;mso-width-relative:page;mso-height-relative:page;" fillcolor="#000000 [3213]" filled="t" stroked="t" coordsize="21600,21600" o:gfxdata="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cQLgfaAAAADQEAAA8AAAAAAAAAAQAgAAAAIgAAAGRycy9kb3ducmV2LnhtbFBLAQIUABQA&#10;AAAIAIdO4kDo1o0YYAIAAN4EAAAOAAAAAAAAAAEAIAAAACkBAABkcnMvZTJvRG9jLnhtbFBLBQYA&#10;AAAABgAGAFkBAAD7BQAAAAA=&#10;">
                <v:fill on="t"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7750175</wp:posOffset>
                </wp:positionH>
                <wp:positionV relativeFrom="paragraph">
                  <wp:posOffset>4581525</wp:posOffset>
                </wp:positionV>
                <wp:extent cx="634365" cy="144145"/>
                <wp:effectExtent l="12700" t="12700" r="13335" b="20955"/>
                <wp:wrapNone/>
                <wp:docPr id="85" name="矩形 85"/>
                <wp:cNvGraphicFramePr/>
                <a:graphic xmlns:a="http://schemas.openxmlformats.org/drawingml/2006/main">
                  <a:graphicData uri="http://schemas.microsoft.com/office/word/2010/wordprocessingShape">
                    <wps:wsp>
                      <wps:cNvSpPr/>
                      <wps:spPr>
                        <a:xfrm>
                          <a:off x="0" y="0"/>
                          <a:ext cx="634365" cy="1441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0.25pt;margin-top:360.75pt;height:11.35pt;width:49.95pt;z-index:251684864;v-text-anchor:middle;mso-width-relative:page;mso-height-relative:page;" filled="f" stroked="t" coordsize="21600,21600" o:gfxdata="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uSXL9oAAAANAQAADwAAAAAAAAABACAAAAAiAAAAZHJzL2Rvd25yZXYueG1sUEsBAhQAFAAAAAgA&#10;h07iQHiBWKJcAgAAtQQAAA4AAAAAAAAAAQAgAAAAKQEAAGRycy9lMm9Eb2MueG1sUEsFBgAAAAAG&#10;AAYAWQEAAPcFAAAAAA==&#10;">
                <v:fill on="f"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688975</wp:posOffset>
                </wp:positionH>
                <wp:positionV relativeFrom="paragraph">
                  <wp:posOffset>47625</wp:posOffset>
                </wp:positionV>
                <wp:extent cx="3173095" cy="1868170"/>
                <wp:effectExtent l="6350" t="6350" r="8255" b="17780"/>
                <wp:wrapNone/>
                <wp:docPr id="79" name="矩形 79"/>
                <wp:cNvGraphicFramePr/>
                <a:graphic xmlns:a="http://schemas.openxmlformats.org/drawingml/2006/main">
                  <a:graphicData uri="http://schemas.microsoft.com/office/word/2010/wordprocessingShape">
                    <wps:wsp>
                      <wps:cNvSpPr/>
                      <wps:spPr>
                        <a:xfrm>
                          <a:off x="0" y="0"/>
                          <a:ext cx="3173095" cy="1868170"/>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76A9E753">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原料仓库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25pt;margin-top:3.75pt;height:147.1pt;width:249.85pt;z-index:251678720;v-text-anchor:middle;mso-width-relative:page;mso-height-relative:page;" filled="f" stroked="t" coordsize="21600,21600" o:gfxdata="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G2qZTXAAAACQEAAA8AAAAAAAAAAQAgAAAAIgAAAGRycy9kb3ducmV2LnhtbFBL&#10;AQIUABQAAAAIAIdO4kC6GM3aaQIAAMQEAAAOAAAAAAAAAAEAIAAAACYBAABkcnMvZTJvRG9jLnht&#10;bFBLBQYAAAAABgAGAFkBAAABBgAAAAA=&#10;">
                <v:fill on="f" focussize="0,0"/>
                <v:stroke weight="1pt" color="#000000 [3213]" joinstyle="round" dashstyle="dashDot"/>
                <v:imagedata o:title=""/>
                <o:lock v:ext="edit" aspectratio="f"/>
                <v:textbox>
                  <w:txbxContent>
                    <w:p w14:paraId="76A9E753">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原料仓库</w:t>
                      </w:r>
                    </w:p>
                  </w:txbxContent>
                </v:textbox>
              </v:rect>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681990</wp:posOffset>
                </wp:positionH>
                <wp:positionV relativeFrom="paragraph">
                  <wp:posOffset>1917065</wp:posOffset>
                </wp:positionV>
                <wp:extent cx="3173095" cy="2041525"/>
                <wp:effectExtent l="6350" t="6350" r="8255" b="9525"/>
                <wp:wrapNone/>
                <wp:docPr id="78" name="矩形 78"/>
                <wp:cNvGraphicFramePr/>
                <a:graphic xmlns:a="http://schemas.openxmlformats.org/drawingml/2006/main">
                  <a:graphicData uri="http://schemas.microsoft.com/office/word/2010/wordprocessingShape">
                    <wps:wsp>
                      <wps:cNvSpPr/>
                      <wps:spPr>
                        <a:xfrm>
                          <a:off x="0" y="0"/>
                          <a:ext cx="3173095" cy="2041525"/>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194E7A82">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成品仓库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7pt;margin-top:150.95pt;height:160.75pt;width:249.85pt;z-index:251677696;v-text-anchor:middle;mso-width-relative:page;mso-height-relative:page;" filled="f" stroked="t" coordsize="21600,21600" o:gfxdata="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SS6S7YAAAACwEAAA8AAAAAAAAAAQAgAAAAIgAAAGRycy9kb3ducmV2LnhtbFBL&#10;AQIUABQAAAAIAIdO4kBgjPa2aAIAAMQEAAAOAAAAAAAAAAEAIAAAACcBAABkcnMvZTJvRG9jLnht&#10;bFBLBQYAAAAABgAGAFkBAAABBgAAAAA=&#10;">
                <v:fill on="f" focussize="0,0"/>
                <v:stroke weight="1pt" color="#000000 [3213]" joinstyle="round" dashstyle="dashDot"/>
                <v:imagedata o:title=""/>
                <o:lock v:ext="edit" aspectratio="f"/>
                <v:textbox>
                  <w:txbxContent>
                    <w:p w14:paraId="194E7A82">
                      <w:pPr>
                        <w:jc w:val="center"/>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成品仓库</w:t>
                      </w:r>
                    </w:p>
                  </w:txbxContent>
                </v:textbox>
              </v:rect>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3841115</wp:posOffset>
                </wp:positionH>
                <wp:positionV relativeFrom="paragraph">
                  <wp:posOffset>3187700</wp:posOffset>
                </wp:positionV>
                <wp:extent cx="3019425" cy="790575"/>
                <wp:effectExtent l="6350" t="6350" r="9525" b="15875"/>
                <wp:wrapNone/>
                <wp:docPr id="76" name="矩形 76"/>
                <wp:cNvGraphicFramePr/>
                <a:graphic xmlns:a="http://schemas.openxmlformats.org/drawingml/2006/main">
                  <a:graphicData uri="http://schemas.microsoft.com/office/word/2010/wordprocessingShape">
                    <wps:wsp>
                      <wps:cNvSpPr/>
                      <wps:spPr>
                        <a:xfrm>
                          <a:off x="0" y="0"/>
                          <a:ext cx="3019425" cy="790575"/>
                        </a:xfrm>
                        <a:prstGeom prst="rect">
                          <a:avLst/>
                        </a:prstGeom>
                        <a:noFill/>
                        <a:ln w="12700">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txbx>
                        <w:txbxContent>
                          <w:p w14:paraId="37B18BFE">
                            <w:pPr>
                              <w:jc w:val="center"/>
                              <w:rPr>
                                <w:rFonts w:hint="eastAsia"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45pt;margin-top:251pt;height:62.25pt;width:237.75pt;z-index:251676672;v-text-anchor:middle;mso-width-relative:page;mso-height-relative:page;" filled="f" stroked="t" coordsize="21600,21600" o:gfxdata="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vrp0E2QAAAAwBAAAPAAAAAAAAAAEAIAAAACIAAABkcnMvZG93bnJldi54bWxQ&#10;SwECFAAUAAAACACHTuJAkZgX5WgCAADDBAAADgAAAAAAAAABACAAAAAoAQAAZHJzL2Uyb0RvYy54&#10;bWxQSwUGAAAAAAYABgBZAQAAAgYAAAAA&#10;">
                <v:fill on="f" focussize="0,0"/>
                <v:stroke weight="1pt" color="#000000 [3213]" joinstyle="round" dashstyle="dashDot"/>
                <v:imagedata o:title=""/>
                <o:lock v:ext="edit" aspectratio="f"/>
                <v:textbox>
                  <w:txbxContent>
                    <w:p w14:paraId="37B18BFE">
                      <w:pPr>
                        <w:jc w:val="center"/>
                        <w:rPr>
                          <w:rFonts w:hint="eastAsia"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办公区</w:t>
                      </w:r>
                    </w:p>
                  </w:txbxContent>
                </v:textbox>
              </v:rect>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687705</wp:posOffset>
                </wp:positionH>
                <wp:positionV relativeFrom="paragraph">
                  <wp:posOffset>45085</wp:posOffset>
                </wp:positionV>
                <wp:extent cx="3138170" cy="3918585"/>
                <wp:effectExtent l="12700" t="12700" r="24130" b="18415"/>
                <wp:wrapNone/>
                <wp:docPr id="42" name="矩形 42"/>
                <wp:cNvGraphicFramePr/>
                <a:graphic xmlns:a="http://schemas.openxmlformats.org/drawingml/2006/main">
                  <a:graphicData uri="http://schemas.microsoft.com/office/word/2010/wordprocessingShape">
                    <wps:wsp>
                      <wps:cNvSpPr/>
                      <wps:spPr>
                        <a:xfrm>
                          <a:off x="1433830" y="1726565"/>
                          <a:ext cx="3138170" cy="391858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5pt;margin-top:3.55pt;height:308.55pt;width:247.1pt;z-index:251674624;v-text-anchor:middle;mso-width-relative:page;mso-height-relative:page;" filled="f" stroked="t" coordsize="21600,21600" o:gfxdata="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pMz3jYAAAACQEAAA8AAAAAAAAAAQAgAAAAIgAAAGRycy9kb3ducmV2Lnht&#10;bFBLAQIUABQAAAAIAIdO4kBs5cTlawIAAMMEAAAOAAAAAAAAAAEAIAAAACcBAABkcnMvZTJvRG9j&#10;LnhtbFBLBQYAAAAABgAGAFkBAAAEBgAAAAA=&#10;">
                <v:fill on="f"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3843020</wp:posOffset>
                </wp:positionH>
                <wp:positionV relativeFrom="paragraph">
                  <wp:posOffset>41275</wp:posOffset>
                </wp:positionV>
                <wp:extent cx="3019425" cy="3929380"/>
                <wp:effectExtent l="12700" t="12700" r="15875" b="20320"/>
                <wp:wrapNone/>
                <wp:docPr id="63" name="矩形 63"/>
                <wp:cNvGraphicFramePr/>
                <a:graphic xmlns:a="http://schemas.openxmlformats.org/drawingml/2006/main">
                  <a:graphicData uri="http://schemas.microsoft.com/office/word/2010/wordprocessingShape">
                    <wps:wsp>
                      <wps:cNvSpPr/>
                      <wps:spPr>
                        <a:xfrm>
                          <a:off x="0" y="0"/>
                          <a:ext cx="3019425" cy="39293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6pt;margin-top:3.25pt;height:309.4pt;width:237.75pt;z-index:251675648;v-text-anchor:middle;mso-width-relative:page;mso-height-relative:page;" filled="f" stroked="t" coordsize="21600,21600" o:gfxdata="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H6F3e2QAAAAoBAAAPAAAAAAAAAAEAIAAAACIAAABkcnMvZG93bnJldi54bWxQSwECFAAUAAAA&#10;CACHTuJAcgwAa18CAAC3BAAADgAAAAAAAAABACAAAAAoAQAAZHJzL2Uyb0RvYy54bWxQSwUGAAAA&#10;AAYABgBZAQAA+QUAAAAA&#10;">
                <v:fill on="f" focussize="0,0"/>
                <v:stroke weight="2pt" color="#000000 [3213]" joinstyle="round"/>
                <v:imagedata o:title=""/>
                <o:lock v:ext="edit" aspectratio="f"/>
              </v:rect>
            </w:pict>
          </mc:Fallback>
        </mc:AlternateContent>
      </w:r>
      <w:r>
        <w:rPr>
          <w:rFonts w:hint="eastAsia" w:ascii="Times New Roman" w:hAnsi="Times New Roman" w:cs="Times New Roman"/>
          <w:color w:val="FF0000"/>
          <w:lang w:val="en-US" w:eastAsia="zh-CN"/>
        </w:rPr>
        <w:br w:type="page"/>
      </w:r>
    </w:p>
    <w:p w14:paraId="442AA556">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附图4  项目与衡阳市生态环境管控单元图（2023年版）关系</w:t>
      </w:r>
    </w:p>
    <w:p w14:paraId="241EC5B4">
      <w:pPr>
        <w:pStyle w:val="31"/>
        <w:bidi w:val="0"/>
        <w:rPr>
          <w:rFonts w:hint="default" w:ascii="Times New Roman" w:hAnsi="Times New Roman" w:cs="Times New Roman"/>
          <w:color w:val="FF0000"/>
        </w:rPr>
      </w:pPr>
      <w:r>
        <w:rPr>
          <w:color w:val="FF0000"/>
        </w:rPr>
        <w:drawing>
          <wp:anchor distT="0" distB="0" distL="114300" distR="114300" simplePos="0" relativeHeight="251667456" behindDoc="0" locked="0" layoutInCell="1" allowOverlap="1">
            <wp:simplePos x="0" y="0"/>
            <wp:positionH relativeFrom="column">
              <wp:posOffset>749300</wp:posOffset>
            </wp:positionH>
            <wp:positionV relativeFrom="paragraph">
              <wp:posOffset>66675</wp:posOffset>
            </wp:positionV>
            <wp:extent cx="7509510" cy="5576570"/>
            <wp:effectExtent l="0" t="0" r="8890" b="11430"/>
            <wp:wrapNone/>
            <wp:docPr id="160" name="图片 160" descr="衡阳市生态环境管控单元图（2023年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衡阳市生态环境管控单元图（2023年版）"/>
                    <pic:cNvPicPr>
                      <a:picLocks noChangeAspect="1"/>
                    </pic:cNvPicPr>
                  </pic:nvPicPr>
                  <pic:blipFill>
                    <a:blip r:embed="rId83"/>
                    <a:stretch>
                      <a:fillRect/>
                    </a:stretch>
                  </pic:blipFill>
                  <pic:spPr>
                    <a:xfrm>
                      <a:off x="0" y="0"/>
                      <a:ext cx="7509510" cy="5576570"/>
                    </a:xfrm>
                    <a:prstGeom prst="rect">
                      <a:avLst/>
                    </a:prstGeom>
                  </pic:spPr>
                </pic:pic>
              </a:graphicData>
            </a:graphic>
          </wp:anchor>
        </w:drawing>
      </w:r>
    </w:p>
    <w:p w14:paraId="4BDD6807">
      <w:pPr>
        <w:pStyle w:val="31"/>
        <w:bidi w:val="0"/>
        <w:rPr>
          <w:rFonts w:hint="default" w:ascii="Times New Roman" w:hAnsi="Times New Roman" w:cs="Times New Roman"/>
          <w:color w:val="FF0000"/>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FF0000"/>
        </w:rPr>
        <mc:AlternateContent>
          <mc:Choice Requires="wps">
            <w:drawing>
              <wp:anchor distT="0" distB="0" distL="114300" distR="114300" simplePos="0" relativeHeight="251668480" behindDoc="0" locked="0" layoutInCell="1" allowOverlap="1">
                <wp:simplePos x="0" y="0"/>
                <wp:positionH relativeFrom="column">
                  <wp:posOffset>3698875</wp:posOffset>
                </wp:positionH>
                <wp:positionV relativeFrom="paragraph">
                  <wp:posOffset>2406015</wp:posOffset>
                </wp:positionV>
                <wp:extent cx="792480" cy="272415"/>
                <wp:effectExtent l="12700" t="12700" r="375920" b="19685"/>
                <wp:wrapNone/>
                <wp:docPr id="189" name="矩形标注 189"/>
                <wp:cNvGraphicFramePr/>
                <a:graphic xmlns:a="http://schemas.openxmlformats.org/drawingml/2006/main">
                  <a:graphicData uri="http://schemas.microsoft.com/office/word/2010/wordprocessingShape">
                    <wps:wsp>
                      <wps:cNvSpPr/>
                      <wps:spPr>
                        <a:xfrm>
                          <a:off x="0" y="0"/>
                          <a:ext cx="792480" cy="272415"/>
                        </a:xfrm>
                        <a:prstGeom prst="wedgeRectCallout">
                          <a:avLst>
                            <a:gd name="adj1" fmla="val 94551"/>
                            <a:gd name="adj2" fmla="val -2878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E88391B">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1.25pt;margin-top:189.45pt;height:21.45pt;width:62.4pt;z-index:251668480;v-text-anchor:middle;mso-width-relative:page;mso-height-relative:page;" filled="f" stroked="t" coordsize="21600,21600" o:gfxdata="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4Lgv+2wAAAAsBAAAPAAAAAAAAAAEAIAAAACIAAABkcnMvZG93bnJldi54bWxQSwEC&#10;FAAUAAAACACHTuJAdeagh5wCAAAmBQAADgAAAAAAAAABACAAAAAqAQAAZHJzL2Uyb0RvYy54bWxQ&#10;SwUGAAAAAAYABgBZAQAAOAYAAAAA&#10;" adj="31223,4582">
                <v:fill on="f" focussize="0,0"/>
                <v:stroke weight="2pt" color="#FF0000 [2404]" joinstyle="round"/>
                <v:imagedata o:title=""/>
                <o:lock v:ext="edit" aspectratio="f"/>
                <v:textbox>
                  <w:txbxContent>
                    <w:p w14:paraId="4E88391B">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v:textbox>
              </v:shape>
            </w:pict>
          </mc:Fallback>
        </mc:AlternateContent>
      </w:r>
    </w:p>
    <w:p w14:paraId="675AD33E">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附图5  项目与《衡阳高新技术产业开发区(白沙片)控制性详细规划》关系</w:t>
      </w:r>
    </w:p>
    <w:p w14:paraId="1B06972C">
      <w:pPr>
        <w:pStyle w:val="31"/>
        <w:bidi w:val="0"/>
        <w:rPr>
          <w:rFonts w:hint="default" w:ascii="Times New Roman" w:hAnsi="Times New Roman" w:cs="Times New Roman"/>
          <w:color w:val="FF0000"/>
        </w:rPr>
      </w:pPr>
      <w:r>
        <w:rPr>
          <w:color w:val="FF0000"/>
        </w:rPr>
        <mc:AlternateContent>
          <mc:Choice Requires="wps">
            <w:drawing>
              <wp:anchor distT="0" distB="0" distL="114300" distR="114300" simplePos="0" relativeHeight="251709440" behindDoc="0" locked="0" layoutInCell="1" allowOverlap="1">
                <wp:simplePos x="0" y="0"/>
                <wp:positionH relativeFrom="column">
                  <wp:posOffset>2734310</wp:posOffset>
                </wp:positionH>
                <wp:positionV relativeFrom="paragraph">
                  <wp:posOffset>1857375</wp:posOffset>
                </wp:positionV>
                <wp:extent cx="792480" cy="272415"/>
                <wp:effectExtent l="12700" t="12700" r="13970" b="1505585"/>
                <wp:wrapNone/>
                <wp:docPr id="187" name="矩形标注 187"/>
                <wp:cNvGraphicFramePr/>
                <a:graphic xmlns:a="http://schemas.openxmlformats.org/drawingml/2006/main">
                  <a:graphicData uri="http://schemas.microsoft.com/office/word/2010/wordprocessingShape">
                    <wps:wsp>
                      <wps:cNvSpPr/>
                      <wps:spPr>
                        <a:xfrm>
                          <a:off x="0" y="0"/>
                          <a:ext cx="792480" cy="272415"/>
                        </a:xfrm>
                        <a:prstGeom prst="wedgeRectCallout">
                          <a:avLst>
                            <a:gd name="adj1" fmla="val -13701"/>
                            <a:gd name="adj2" fmla="val 59219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830B91">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5.3pt;margin-top:146.25pt;height:21.45pt;width:62.4pt;z-index:251709440;v-text-anchor:middle;mso-width-relative:page;mso-height-relative:page;" filled="f" stroked="t" coordsize="21600,21600" o:gfxdata="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pwfcB9oAAAALAQAADwAAAAAAAAABACAAAAAiAAAAZHJzL2Rvd25yZXYueG1sUEsB&#10;AhQAFAAAAAgAh07iQL51RDieAgAAJwUAAA4AAAAAAAAAAQAgAAAAKQEAAGRycy9lMm9Eb2MueG1s&#10;UEsFBgAAAAAGAAYAWQEAADkGAAAAAA==&#10;" adj="7841,138713">
                <v:fill on="f" focussize="0,0"/>
                <v:stroke weight="2pt" color="#FF0000 [2404]" joinstyle="round"/>
                <v:imagedata o:title=""/>
                <o:lock v:ext="edit" aspectratio="f"/>
                <v:textbox>
                  <w:txbxContent>
                    <w:p w14:paraId="67830B91">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v:textbox>
              </v:shape>
            </w:pict>
          </mc:Fallback>
        </mc:AlternateContent>
      </w:r>
      <w:r>
        <w:drawing>
          <wp:inline distT="0" distB="0" distL="114300" distR="114300">
            <wp:extent cx="8172450" cy="5144770"/>
            <wp:effectExtent l="25400" t="25400" r="31750" b="30480"/>
            <wp:docPr id="18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2"/>
                    <pic:cNvPicPr>
                      <a:picLocks noChangeAspect="1"/>
                    </pic:cNvPicPr>
                  </pic:nvPicPr>
                  <pic:blipFill>
                    <a:blip r:embed="rId84"/>
                    <a:stretch>
                      <a:fillRect/>
                    </a:stretch>
                  </pic:blipFill>
                  <pic:spPr>
                    <a:xfrm>
                      <a:off x="0" y="0"/>
                      <a:ext cx="8172450" cy="5144770"/>
                    </a:xfrm>
                    <a:prstGeom prst="rect">
                      <a:avLst/>
                    </a:prstGeom>
                    <a:noFill/>
                    <a:ln w="25400">
                      <a:solidFill>
                        <a:schemeClr val="tx1"/>
                      </a:solidFill>
                    </a:ln>
                  </pic:spPr>
                </pic:pic>
              </a:graphicData>
            </a:graphic>
          </wp:inline>
        </w:drawing>
      </w:r>
    </w:p>
    <w:p w14:paraId="5B6E8A31">
      <w:pPr>
        <w:pStyle w:val="31"/>
        <w:bidi w:val="0"/>
        <w:rPr>
          <w:rFonts w:hint="default" w:ascii="Times New Roman" w:hAnsi="Times New Roman" w:cs="Times New Roman"/>
          <w:color w:val="FF0000"/>
        </w:rPr>
        <w:sectPr>
          <w:pgSz w:w="16838" w:h="11906" w:orient="landscape"/>
          <w:pgMar w:top="1474" w:right="1701" w:bottom="1474"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33522F5">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eastAsia="宋体"/>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附图6  </w:t>
      </w:r>
      <w:r>
        <w:rPr>
          <w:rFonts w:hint="default" w:ascii="Times New Roman" w:hAnsi="Times New Roman" w:cs="Times New Roman"/>
          <w:color w:val="000000" w:themeColor="text1"/>
          <w:lang w:val="en-US" w:eastAsia="zh-CN"/>
          <w14:textFill>
            <w14:solidFill>
              <w14:schemeClr w14:val="tx1"/>
            </w14:solidFill>
          </w14:textFill>
        </w:rPr>
        <w:t xml:space="preserve"> 项目与</w:t>
      </w:r>
      <w:r>
        <w:rPr>
          <w:rFonts w:hint="eastAsia" w:ascii="Times New Roman" w:hAnsi="Times New Roman" w:cs="Times New Roman"/>
          <w:color w:val="000000" w:themeColor="text1"/>
          <w:lang w:val="en-US" w:eastAsia="zh-CN"/>
          <w14:textFill>
            <w14:solidFill>
              <w14:schemeClr w14:val="tx1"/>
            </w14:solidFill>
          </w14:textFill>
        </w:rPr>
        <w:t>铜桥港污水处理厂</w:t>
      </w:r>
      <w:r>
        <w:rPr>
          <w:rFonts w:hint="default" w:ascii="Times New Roman" w:hAnsi="Times New Roman" w:cs="Times New Roman"/>
          <w:color w:val="000000" w:themeColor="text1"/>
          <w:lang w:val="en-US" w:eastAsia="zh-CN"/>
          <w14:textFill>
            <w14:solidFill>
              <w14:schemeClr w14:val="tx1"/>
            </w14:solidFill>
          </w14:textFill>
        </w:rPr>
        <w:t>位置</w:t>
      </w:r>
      <w:r>
        <w:rPr>
          <w:rFonts w:hint="eastAsia" w:ascii="Times New Roman" w:hAnsi="Times New Roman" w:cs="Times New Roman"/>
          <w:color w:val="000000" w:themeColor="text1"/>
          <w:lang w:val="en-US" w:eastAsia="zh-CN"/>
          <w14:textFill>
            <w14:solidFill>
              <w14:schemeClr w14:val="tx1"/>
            </w14:solidFill>
          </w14:textFill>
        </w:rPr>
        <w:t>及水系图</w:t>
      </w:r>
    </w:p>
    <w:p w14:paraId="585F89D1">
      <w:pPr>
        <w:pStyle w:val="31"/>
        <w:bidi w:val="0"/>
        <w:rPr>
          <w:color w:val="FF0000"/>
        </w:rPr>
      </w:pPr>
      <w:r>
        <w:drawing>
          <wp:inline distT="0" distB="0" distL="114300" distR="114300">
            <wp:extent cx="8528685" cy="5319395"/>
            <wp:effectExtent l="22225" t="22225" r="40640" b="30480"/>
            <wp:docPr id="1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1"/>
                    <pic:cNvPicPr>
                      <a:picLocks noChangeAspect="1"/>
                    </pic:cNvPicPr>
                  </pic:nvPicPr>
                  <pic:blipFill>
                    <a:blip r:embed="rId85"/>
                    <a:stretch>
                      <a:fillRect/>
                    </a:stretch>
                  </pic:blipFill>
                  <pic:spPr>
                    <a:xfrm>
                      <a:off x="0" y="0"/>
                      <a:ext cx="8528685" cy="5319395"/>
                    </a:xfrm>
                    <a:prstGeom prst="rect">
                      <a:avLst/>
                    </a:prstGeom>
                    <a:noFill/>
                    <a:ln w="22225">
                      <a:solidFill>
                        <a:schemeClr val="tx1"/>
                      </a:solidFill>
                    </a:ln>
                  </pic:spPr>
                </pic:pic>
              </a:graphicData>
            </a:graphic>
          </wp:inline>
        </w:drawing>
      </w:r>
      <w:r>
        <w:rPr>
          <w:color w:val="FF0000"/>
        </w:rPr>
        <mc:AlternateContent>
          <mc:Choice Requires="wps">
            <w:drawing>
              <wp:anchor distT="0" distB="0" distL="114300" distR="114300" simplePos="0" relativeHeight="251708416" behindDoc="0" locked="0" layoutInCell="1" allowOverlap="1">
                <wp:simplePos x="0" y="0"/>
                <wp:positionH relativeFrom="column">
                  <wp:posOffset>1198880</wp:posOffset>
                </wp:positionH>
                <wp:positionV relativeFrom="paragraph">
                  <wp:posOffset>3726815</wp:posOffset>
                </wp:positionV>
                <wp:extent cx="792480" cy="272415"/>
                <wp:effectExtent l="12700" t="12700" r="756920" b="19685"/>
                <wp:wrapNone/>
                <wp:docPr id="185" name="矩形标注 185"/>
                <wp:cNvGraphicFramePr/>
                <a:graphic xmlns:a="http://schemas.openxmlformats.org/drawingml/2006/main">
                  <a:graphicData uri="http://schemas.microsoft.com/office/word/2010/wordprocessingShape">
                    <wps:wsp>
                      <wps:cNvSpPr/>
                      <wps:spPr>
                        <a:xfrm>
                          <a:off x="0" y="0"/>
                          <a:ext cx="792480" cy="272415"/>
                        </a:xfrm>
                        <a:prstGeom prst="wedgeRectCallout">
                          <a:avLst>
                            <a:gd name="adj1" fmla="val 142628"/>
                            <a:gd name="adj2" fmla="val -32983"/>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0610ADC">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4.4pt;margin-top:293.45pt;height:21.45pt;width:62.4pt;z-index:251708416;v-text-anchor:middle;mso-width-relative:page;mso-height-relative:page;" filled="f" stroked="t" coordsize="21600,21600" o:gfxdata="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qgH4EdoAAAALAQAADwAAAAAAAAABACAAAAAiAAAAZHJzL2Rvd25yZXYueG1sUEsB&#10;AhQAFAAAAAgAh07iQCNggaCeAgAAJwUAAA4AAAAAAAAAAQAgAAAAKQEAAGRycy9lMm9Eb2MueG1s&#10;UEsFBgAAAAAGAAYAWQEAADkGAAAAAA==&#10;" adj="41608,3676">
                <v:fill on="f" focussize="0,0"/>
                <v:stroke weight="2pt" color="#FF0000 [2404]" joinstyle="round"/>
                <v:imagedata o:title=""/>
                <o:lock v:ext="edit" aspectratio="f"/>
                <v:textbox>
                  <w:txbxContent>
                    <w:p w14:paraId="40610ADC">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v:textbox>
              </v:shape>
            </w:pict>
          </mc:Fallback>
        </mc:AlternateContent>
      </w:r>
    </w:p>
    <w:p w14:paraId="3836A19E">
      <w:pPr>
        <w:rPr>
          <w:color w:val="FF0000"/>
        </w:rPr>
      </w:pPr>
      <w:r>
        <w:rPr>
          <w:color w:val="FF0000"/>
        </w:rPr>
        <w:br w:type="page"/>
      </w:r>
    </w:p>
    <w:p w14:paraId="2B67D94D">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eastAsia="宋体"/>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附图7  </w:t>
      </w:r>
      <w:r>
        <w:rPr>
          <w:rFonts w:hint="default" w:ascii="Times New Roman" w:hAnsi="Times New Roman" w:cs="Times New Roman"/>
          <w:color w:val="000000" w:themeColor="text1"/>
          <w:lang w:val="en-US" w:eastAsia="zh-CN"/>
          <w14:textFill>
            <w14:solidFill>
              <w14:schemeClr w14:val="tx1"/>
            </w14:solidFill>
          </w14:textFill>
        </w:rPr>
        <w:t xml:space="preserve"> 项目</w:t>
      </w:r>
      <w:r>
        <w:rPr>
          <w:rFonts w:hint="eastAsia" w:ascii="Times New Roman" w:hAnsi="Times New Roman" w:cs="Times New Roman"/>
          <w:color w:val="000000" w:themeColor="text1"/>
          <w:lang w:val="en-US" w:eastAsia="zh-CN"/>
          <w14:textFill>
            <w14:solidFill>
              <w14:schemeClr w14:val="tx1"/>
            </w14:solidFill>
          </w14:textFill>
        </w:rPr>
        <w:t>与衡阳高新技术产业开发区白沙片配套污水管网图</w:t>
      </w:r>
    </w:p>
    <w:p w14:paraId="3AA3FEAA">
      <w:pPr>
        <w:jc w:val="center"/>
      </w:pPr>
    </w:p>
    <w:p w14:paraId="297A9203">
      <w:pPr>
        <w:jc w:val="center"/>
        <w:rPr>
          <w:rFonts w:hint="default" w:ascii="Times New Roman" w:hAnsi="Times New Roman" w:cs="Times New Roman"/>
          <w:color w:val="FF0000"/>
          <w:lang w:val="en-US" w:eastAsia="zh-CN"/>
        </w:rPr>
      </w:pPr>
      <w:r>
        <w:rPr>
          <w:color w:val="FF0000"/>
        </w:rPr>
        <mc:AlternateContent>
          <mc:Choice Requires="wps">
            <w:drawing>
              <wp:anchor distT="0" distB="0" distL="114300" distR="114300" simplePos="0" relativeHeight="251712512" behindDoc="0" locked="0" layoutInCell="1" allowOverlap="1">
                <wp:simplePos x="0" y="0"/>
                <wp:positionH relativeFrom="column">
                  <wp:posOffset>2575560</wp:posOffset>
                </wp:positionH>
                <wp:positionV relativeFrom="paragraph">
                  <wp:posOffset>1233805</wp:posOffset>
                </wp:positionV>
                <wp:extent cx="792480" cy="272415"/>
                <wp:effectExtent l="12700" t="12700" r="13970" b="2172335"/>
                <wp:wrapNone/>
                <wp:docPr id="207" name="矩形标注 207"/>
                <wp:cNvGraphicFramePr/>
                <a:graphic xmlns:a="http://schemas.openxmlformats.org/drawingml/2006/main">
                  <a:graphicData uri="http://schemas.microsoft.com/office/word/2010/wordprocessingShape">
                    <wps:wsp>
                      <wps:cNvSpPr/>
                      <wps:spPr>
                        <a:xfrm>
                          <a:off x="0" y="0"/>
                          <a:ext cx="792480" cy="272415"/>
                        </a:xfrm>
                        <a:prstGeom prst="wedgeRectCallout">
                          <a:avLst>
                            <a:gd name="adj1" fmla="val -24519"/>
                            <a:gd name="adj2" fmla="val 83811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BD27F35">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2.8pt;margin-top:97.15pt;height:21.45pt;width:62.4pt;z-index:251712512;v-text-anchor:middle;mso-width-relative:page;mso-height-relative:page;" filled="f" stroked="t" coordsize="21600,21600" o:gfxdata="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kQqlU2QAAAAsBAAAPAAAAAAAAAAEAIAAAACIAAABkcnMvZG93bnJldi54bWxQSwEC&#10;FAAUAAAACACHTuJAZc4yG54CAAAnBQAADgAAAAAAAAABACAAAAAoAQAAZHJzL2Uyb0RvYy54bWxQ&#10;SwUGAAAAAAYABgBZAQAAOAYAAAAA&#10;" adj="5504,191832">
                <v:fill on="f" focussize="0,0"/>
                <v:stroke weight="2pt" color="#FF0000 [2404]" joinstyle="round"/>
                <v:imagedata o:title=""/>
                <o:lock v:ext="edit" aspectratio="f"/>
                <v:textbox>
                  <w:txbxContent>
                    <w:p w14:paraId="7BD27F35">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lang w:val="en-US" w:eastAsia="zh-CN"/>
                        </w:rPr>
                      </w:pPr>
                      <w:r>
                        <w:rPr>
                          <w:rFonts w:hint="eastAsia" w:ascii="Times New Roman" w:hAnsi="Times New Roman" w:cs="Times New Roman"/>
                          <w:color w:val="FF0000"/>
                          <w:sz w:val="18"/>
                          <w:szCs w:val="18"/>
                          <w:lang w:val="en-US" w:eastAsia="zh-CN"/>
                        </w:rPr>
                        <w:t>项目所在地</w:t>
                      </w:r>
                    </w:p>
                  </w:txbxContent>
                </v:textbox>
              </v:shape>
            </w:pict>
          </mc:Fallback>
        </mc:AlternateContent>
      </w:r>
      <w:r>
        <w:drawing>
          <wp:inline distT="0" distB="0" distL="114300" distR="114300">
            <wp:extent cx="8009255" cy="5307330"/>
            <wp:effectExtent l="19050" t="19050" r="29845" b="26670"/>
            <wp:docPr id="1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3"/>
                    <pic:cNvPicPr>
                      <a:picLocks noChangeAspect="1"/>
                    </pic:cNvPicPr>
                  </pic:nvPicPr>
                  <pic:blipFill>
                    <a:blip r:embed="rId86"/>
                    <a:stretch>
                      <a:fillRect/>
                    </a:stretch>
                  </pic:blipFill>
                  <pic:spPr>
                    <a:xfrm>
                      <a:off x="0" y="0"/>
                      <a:ext cx="8009255" cy="5307330"/>
                    </a:xfrm>
                    <a:prstGeom prst="rect">
                      <a:avLst/>
                    </a:prstGeom>
                    <a:noFill/>
                    <a:ln w="19050">
                      <a:solidFill>
                        <a:schemeClr val="tx1"/>
                      </a:solidFill>
                    </a:ln>
                  </pic:spPr>
                </pic:pic>
              </a:graphicData>
            </a:graphic>
          </wp:inline>
        </w:drawing>
      </w:r>
      <w:r>
        <w:rPr>
          <w:rFonts w:hint="default" w:ascii="Times New Roman" w:hAnsi="Times New Roman" w:cs="Times New Roman"/>
          <w:color w:val="FF0000"/>
          <w:lang w:val="en-US" w:eastAsia="zh-CN"/>
        </w:rPr>
        <w:br w:type="page"/>
      </w:r>
    </w:p>
    <w:p w14:paraId="50FC58B4">
      <w:pPr>
        <w:pStyle w:val="31"/>
        <w:bidi w:val="0"/>
        <w:jc w:val="left"/>
        <w:rPr>
          <w:rFonts w:hint="default"/>
          <w:color w:val="000000" w:themeColor="text1"/>
          <w:lang w:val="en-US"/>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附图</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eastAsia" w:ascii="Times New Roman" w:hAnsi="Times New Roman" w:cs="Times New Roman"/>
          <w:color w:val="000000" w:themeColor="text1"/>
          <w:lang w:val="en-US" w:eastAsia="zh-CN"/>
          <w14:textFill>
            <w14:solidFill>
              <w14:schemeClr w14:val="tx1"/>
            </w14:solidFill>
          </w14:textFill>
        </w:rPr>
        <w:t>项目监测点位及引用监测点位相对位置图</w:t>
      </w:r>
    </w:p>
    <w:p w14:paraId="7FE27DDD">
      <w:pPr>
        <w:pStyle w:val="31"/>
        <w:bidi w:val="0"/>
        <w:rPr>
          <w:color w:val="FF0000"/>
        </w:rPr>
      </w:pPr>
      <w:r>
        <w:rPr>
          <w:color w:val="FF0000"/>
        </w:rPr>
        <mc:AlternateContent>
          <mc:Choice Requires="wps">
            <w:drawing>
              <wp:anchor distT="0" distB="0" distL="114300" distR="114300" simplePos="0" relativeHeight="251672576" behindDoc="0" locked="0" layoutInCell="1" allowOverlap="1">
                <wp:simplePos x="0" y="0"/>
                <wp:positionH relativeFrom="column">
                  <wp:posOffset>6023610</wp:posOffset>
                </wp:positionH>
                <wp:positionV relativeFrom="paragraph">
                  <wp:posOffset>2476500</wp:posOffset>
                </wp:positionV>
                <wp:extent cx="2211070" cy="349250"/>
                <wp:effectExtent l="303530" t="12700" r="19050" b="285750"/>
                <wp:wrapNone/>
                <wp:docPr id="171" name="矩形标注 171"/>
                <wp:cNvGraphicFramePr/>
                <a:graphic xmlns:a="http://schemas.openxmlformats.org/drawingml/2006/main">
                  <a:graphicData uri="http://schemas.microsoft.com/office/word/2010/wordprocessingShape">
                    <wps:wsp>
                      <wps:cNvSpPr/>
                      <wps:spPr>
                        <a:xfrm>
                          <a:off x="0" y="0"/>
                          <a:ext cx="2211070" cy="349250"/>
                        </a:xfrm>
                        <a:prstGeom prst="wedgeRectCallout">
                          <a:avLst>
                            <a:gd name="adj1" fmla="val -63153"/>
                            <a:gd name="adj2" fmla="val 125636"/>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809425">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color w:val="FFFF00"/>
                                <w:lang w:val="en-US" w:eastAsia="zh-CN"/>
                              </w:rPr>
                            </w:pPr>
                            <w:r>
                              <w:rPr>
                                <w:rFonts w:hint="eastAsia" w:ascii="Times New Roman" w:hAnsi="Times New Roman" w:cs="Times New Roman"/>
                                <w:color w:val="FFFF00"/>
                                <w:sz w:val="18"/>
                                <w:szCs w:val="18"/>
                                <w:lang w:val="en-US" w:eastAsia="zh-CN"/>
                              </w:rPr>
                              <w:t>大气环境质量监测数据引用监测点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74.3pt;margin-top:195pt;height:27.5pt;width:174.1pt;z-index:251672576;v-text-anchor:middle;mso-width-relative:page;mso-height-relative:page;" filled="f" stroked="t" coordsize="21600,21600" o:gfxdata="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TYaoStkAAAAMAQAADwAAAAAAAAABACAAAAAiAAAAZHJzL2Rvd25yZXYueG1sUEsB&#10;AhQAFAAAAAgAh07iQExlr2yfAgAAKAUAAA4AAAAAAAAAAQAgAAAAKAEAAGRycy9lMm9Eb2MueG1s&#10;UEsFBgAAAAAGAAYAWQEAADkGAAAAAA==&#10;" adj="-2841,37937">
                <v:fill on="f" focussize="0,0"/>
                <v:stroke weight="2pt" color="#FF0000 [2404]" joinstyle="round"/>
                <v:imagedata o:title=""/>
                <o:lock v:ext="edit" aspectratio="f"/>
                <v:textbox>
                  <w:txbxContent>
                    <w:p w14:paraId="1E809425">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color w:val="FFFF00"/>
                          <w:lang w:val="en-US" w:eastAsia="zh-CN"/>
                        </w:rPr>
                      </w:pPr>
                      <w:r>
                        <w:rPr>
                          <w:rFonts w:hint="eastAsia" w:ascii="Times New Roman" w:hAnsi="Times New Roman" w:cs="Times New Roman"/>
                          <w:color w:val="FFFF00"/>
                          <w:sz w:val="18"/>
                          <w:szCs w:val="18"/>
                          <w:lang w:val="en-US" w:eastAsia="zh-CN"/>
                        </w:rPr>
                        <w:t>大气环境质量监测数据引用监测点</w:t>
                      </w:r>
                    </w:p>
                  </w:txbxContent>
                </v:textbox>
              </v:shape>
            </w:pict>
          </mc:Fallback>
        </mc:AlternateContent>
      </w:r>
      <w:r>
        <w:rPr>
          <w:color w:val="FF0000"/>
        </w:rPr>
        <mc:AlternateContent>
          <mc:Choice Requires="wps">
            <w:drawing>
              <wp:anchor distT="0" distB="0" distL="114300" distR="114300" simplePos="0" relativeHeight="251671552" behindDoc="0" locked="0" layoutInCell="1" allowOverlap="1">
                <wp:simplePos x="0" y="0"/>
                <wp:positionH relativeFrom="column">
                  <wp:posOffset>823595</wp:posOffset>
                </wp:positionH>
                <wp:positionV relativeFrom="paragraph">
                  <wp:posOffset>1530985</wp:posOffset>
                </wp:positionV>
                <wp:extent cx="792480" cy="349250"/>
                <wp:effectExtent l="12700" t="12700" r="585470" b="419100"/>
                <wp:wrapNone/>
                <wp:docPr id="169" name="矩形标注 169"/>
                <wp:cNvGraphicFramePr/>
                <a:graphic xmlns:a="http://schemas.openxmlformats.org/drawingml/2006/main">
                  <a:graphicData uri="http://schemas.microsoft.com/office/word/2010/wordprocessingShape">
                    <wps:wsp>
                      <wps:cNvSpPr/>
                      <wps:spPr>
                        <a:xfrm>
                          <a:off x="0" y="0"/>
                          <a:ext cx="792480" cy="349250"/>
                        </a:xfrm>
                        <a:prstGeom prst="wedgeRectCallout">
                          <a:avLst>
                            <a:gd name="adj1" fmla="val 121394"/>
                            <a:gd name="adj2" fmla="val 16109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B1A443F">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color w:val="FFFF00"/>
                                <w:lang w:val="en-US" w:eastAsia="zh-CN"/>
                              </w:rPr>
                            </w:pPr>
                            <w:r>
                              <w:rPr>
                                <w:rFonts w:hint="eastAsia" w:ascii="Times New Roman" w:hAnsi="Times New Roman" w:cs="Times New Roman"/>
                                <w:color w:val="FFFF00"/>
                                <w:sz w:val="18"/>
                                <w:szCs w:val="18"/>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4.85pt;margin-top:120.55pt;height:27.5pt;width:62.4pt;z-index:251671552;v-text-anchor:middle;mso-width-relative:page;mso-height-relative:page;" filled="f" stroked="t" coordsize="21600,21600" o:gfxdata="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B+N+uHYAAAACwEAAA8AAAAAAAAAAQAgAAAAIgAAAGRycy9kb3ducmV2LnhtbFBLAQIU&#10;ABQAAAAIAIdO4kATwINingIAACcFAAAOAAAAAAAAAAEAIAAAACcBAABkcnMvZTJvRG9jLnhtbFBL&#10;BQYAAAAABgAGAFkBAAA3BgAAAAA=&#10;" adj="37021,45595">
                <v:fill on="f" focussize="0,0"/>
                <v:stroke weight="2pt" color="#FF0000 [2404]" joinstyle="round"/>
                <v:imagedata o:title=""/>
                <o:lock v:ext="edit" aspectratio="f"/>
                <v:textbox>
                  <w:txbxContent>
                    <w:p w14:paraId="2B1A443F">
                      <w:pPr>
                        <w:pStyle w:val="31"/>
                        <w:keepNext w:val="0"/>
                        <w:keepLines w:val="0"/>
                        <w:pageBreakBefore w:val="0"/>
                        <w:widowControl w:val="0"/>
                        <w:kinsoku/>
                        <w:wordWrap/>
                        <w:overflowPunct/>
                        <w:topLinePunct w:val="0"/>
                        <w:bidi w:val="0"/>
                        <w:adjustRightInd/>
                        <w:snapToGrid/>
                        <w:spacing w:before="0" w:beforeLines="0" w:line="240" w:lineRule="exact"/>
                        <w:textAlignment w:val="auto"/>
                        <w:rPr>
                          <w:rFonts w:hint="default" w:ascii="Times New Roman" w:hAnsi="Times New Roman" w:cs="Times New Roman"/>
                          <w:color w:val="FFFF00"/>
                          <w:lang w:val="en-US" w:eastAsia="zh-CN"/>
                        </w:rPr>
                      </w:pPr>
                      <w:r>
                        <w:rPr>
                          <w:rFonts w:hint="eastAsia" w:ascii="Times New Roman" w:hAnsi="Times New Roman" w:cs="Times New Roman"/>
                          <w:color w:val="FFFF00"/>
                          <w:sz w:val="18"/>
                          <w:szCs w:val="18"/>
                          <w:lang w:val="en-US" w:eastAsia="zh-CN"/>
                        </w:rPr>
                        <w:t>本项目</w:t>
                      </w:r>
                    </w:p>
                  </w:txbxContent>
                </v:textbox>
              </v:shape>
            </w:pict>
          </mc:Fallback>
        </mc:AlternateContent>
      </w:r>
      <w:r>
        <w:rPr>
          <w:color w:val="FF0000"/>
        </w:rPr>
        <w:drawing>
          <wp:anchor distT="0" distB="0" distL="114300" distR="114300" simplePos="0" relativeHeight="251673600" behindDoc="0" locked="0" layoutInCell="1" allowOverlap="1">
            <wp:simplePos x="0" y="0"/>
            <wp:positionH relativeFrom="column">
              <wp:posOffset>8174990</wp:posOffset>
            </wp:positionH>
            <wp:positionV relativeFrom="paragraph">
              <wp:posOffset>87630</wp:posOffset>
            </wp:positionV>
            <wp:extent cx="615950" cy="844550"/>
            <wp:effectExtent l="0" t="0" r="12700" b="12700"/>
            <wp:wrapNone/>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87"/>
                    <a:stretch>
                      <a:fillRect/>
                    </a:stretch>
                  </pic:blipFill>
                  <pic:spPr>
                    <a:xfrm>
                      <a:off x="0" y="0"/>
                      <a:ext cx="615950" cy="844550"/>
                    </a:xfrm>
                    <a:prstGeom prst="rect">
                      <a:avLst/>
                    </a:prstGeom>
                    <a:noFill/>
                    <a:ln>
                      <a:noFill/>
                    </a:ln>
                  </pic:spPr>
                </pic:pic>
              </a:graphicData>
            </a:graphic>
          </wp:anchor>
        </w:drawing>
      </w:r>
      <w:r>
        <w:drawing>
          <wp:inline distT="0" distB="0" distL="114300" distR="114300">
            <wp:extent cx="8523605" cy="4543425"/>
            <wp:effectExtent l="0" t="0" r="10795" b="9525"/>
            <wp:docPr id="19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4"/>
                    <pic:cNvPicPr>
                      <a:picLocks noChangeAspect="1"/>
                    </pic:cNvPicPr>
                  </pic:nvPicPr>
                  <pic:blipFill>
                    <a:blip r:embed="rId88"/>
                    <a:stretch>
                      <a:fillRect/>
                    </a:stretch>
                  </pic:blipFill>
                  <pic:spPr>
                    <a:xfrm>
                      <a:off x="0" y="0"/>
                      <a:ext cx="8523605" cy="4543425"/>
                    </a:xfrm>
                    <a:prstGeom prst="rect">
                      <a:avLst/>
                    </a:prstGeom>
                    <a:noFill/>
                    <a:ln>
                      <a:noFill/>
                    </a:ln>
                  </pic:spPr>
                </pic:pic>
              </a:graphicData>
            </a:graphic>
          </wp:inline>
        </w:drawing>
      </w:r>
    </w:p>
    <w:p w14:paraId="0ED8BB2C">
      <w:pPr>
        <w:pStyle w:val="31"/>
        <w:bidi w:val="0"/>
        <w:rPr>
          <w:rFonts w:hint="default"/>
          <w:color w:val="FF0000"/>
        </w:rPr>
      </w:pPr>
    </w:p>
    <w:p w14:paraId="6813C78D">
      <w:pPr>
        <w:pStyle w:val="31"/>
        <w:bidi w:val="0"/>
        <w:rPr>
          <w:rFonts w:hint="default" w:ascii="Times New Roman" w:hAnsi="Times New Roman" w:cs="Times New Roman"/>
          <w:color w:val="FF0000"/>
        </w:rPr>
        <w:sectPr>
          <w:pgSz w:w="16838" w:h="11906" w:orient="landscape"/>
          <w:pgMar w:top="1361" w:right="1701" w:bottom="136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C6B08E6">
      <w:pPr>
        <w:pStyle w:val="31"/>
        <w:keepNext w:val="0"/>
        <w:keepLines w:val="0"/>
        <w:pageBreakBefore w:val="0"/>
        <w:widowControl w:val="0"/>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附图</w:t>
      </w:r>
      <w:r>
        <w:rPr>
          <w:rFonts w:hint="eastAsia" w:cs="Times New Roman"/>
          <w:b/>
          <w:bCs/>
          <w:color w:val="000000" w:themeColor="text1"/>
          <w:lang w:val="en-US" w:eastAsia="zh-CN"/>
          <w14:textFill>
            <w14:solidFill>
              <w14:schemeClr w14:val="tx1"/>
            </w14:solidFill>
          </w14:textFill>
        </w:rPr>
        <w:t xml:space="preserve">9  </w:t>
      </w:r>
      <w:r>
        <w:rPr>
          <w:rFonts w:hint="eastAsia" w:ascii="Times New Roman" w:hAnsi="Times New Roman" w:cs="Times New Roman"/>
          <w:color w:val="000000" w:themeColor="text1"/>
          <w:lang w:val="en-US" w:eastAsia="zh-CN"/>
          <w14:textFill>
            <w14:solidFill>
              <w14:schemeClr w14:val="tx1"/>
            </w14:solidFill>
          </w14:textFill>
        </w:rPr>
        <w:t xml:space="preserve">  项目周边情况</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0"/>
        <w:gridCol w:w="4350"/>
      </w:tblGrid>
      <w:tr w14:paraId="73A9C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3B171D7C">
            <w:pPr>
              <w:pStyle w:val="30"/>
              <w:bidi w:val="0"/>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2809240" cy="2044065"/>
                  <wp:effectExtent l="0" t="0" r="10160" b="13335"/>
                  <wp:docPr id="191" name="图片 191" descr="IMG2025071014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IMG20250710141358"/>
                          <pic:cNvPicPr>
                            <a:picLocks noChangeAspect="1"/>
                          </pic:cNvPicPr>
                        </pic:nvPicPr>
                        <pic:blipFill>
                          <a:blip r:embed="rId89"/>
                          <a:stretch>
                            <a:fillRect/>
                          </a:stretch>
                        </pic:blipFill>
                        <pic:spPr>
                          <a:xfrm>
                            <a:off x="0" y="0"/>
                            <a:ext cx="2809240" cy="2044065"/>
                          </a:xfrm>
                          <a:prstGeom prst="rect">
                            <a:avLst/>
                          </a:prstGeom>
                        </pic:spPr>
                      </pic:pic>
                    </a:graphicData>
                  </a:graphic>
                </wp:inline>
              </w:drawing>
            </w:r>
          </w:p>
        </w:tc>
        <w:tc>
          <w:tcPr>
            <w:tcW w:w="4350" w:type="dxa"/>
            <w:noWrap w:val="0"/>
            <w:vAlign w:val="center"/>
          </w:tcPr>
          <w:p w14:paraId="5F44D87C">
            <w:pPr>
              <w:pStyle w:val="30"/>
              <w:bidi w:val="0"/>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2600960" cy="1866900"/>
                  <wp:effectExtent l="0" t="0" r="8890" b="0"/>
                  <wp:docPr id="192" name="图片 192" descr="IMG2025071014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IMG20250710141953"/>
                          <pic:cNvPicPr>
                            <a:picLocks noChangeAspect="1"/>
                          </pic:cNvPicPr>
                        </pic:nvPicPr>
                        <pic:blipFill>
                          <a:blip r:embed="rId90"/>
                          <a:stretch>
                            <a:fillRect/>
                          </a:stretch>
                        </pic:blipFill>
                        <pic:spPr>
                          <a:xfrm>
                            <a:off x="0" y="0"/>
                            <a:ext cx="2600960" cy="1866900"/>
                          </a:xfrm>
                          <a:prstGeom prst="rect">
                            <a:avLst/>
                          </a:prstGeom>
                        </pic:spPr>
                      </pic:pic>
                    </a:graphicData>
                  </a:graphic>
                </wp:inline>
              </w:drawing>
            </w:r>
          </w:p>
        </w:tc>
      </w:tr>
      <w:tr w14:paraId="48997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65709FC0">
            <w:pPr>
              <w:pStyle w:val="30"/>
              <w:bidi w:val="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项目租赁厂房</w:t>
            </w:r>
          </w:p>
        </w:tc>
        <w:tc>
          <w:tcPr>
            <w:tcW w:w="4350" w:type="dxa"/>
            <w:noWrap w:val="0"/>
            <w:vAlign w:val="center"/>
          </w:tcPr>
          <w:p w14:paraId="057BE543">
            <w:pPr>
              <w:pStyle w:val="30"/>
              <w:bidi w:val="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项目东侧（空地）</w:t>
            </w:r>
          </w:p>
        </w:tc>
      </w:tr>
      <w:tr w14:paraId="558E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0E5AE7A8">
            <w:pPr>
              <w:pStyle w:val="30"/>
              <w:bidi w:val="0"/>
              <w:jc w:val="center"/>
              <w:rPr>
                <w:rFonts w:hint="eastAsia" w:ascii="Times New Roman" w:hAnsi="Times New Roman" w:eastAsia="宋体" w:cs="Times New Roman"/>
                <w:color w:val="000000" w:themeColor="text1"/>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2828290" cy="2032000"/>
                  <wp:effectExtent l="0" t="0" r="10160" b="6350"/>
                  <wp:docPr id="1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5"/>
                          <pic:cNvPicPr>
                            <a:picLocks noChangeAspect="1"/>
                          </pic:cNvPicPr>
                        </pic:nvPicPr>
                        <pic:blipFill>
                          <a:blip r:embed="rId91"/>
                          <a:stretch>
                            <a:fillRect/>
                          </a:stretch>
                        </pic:blipFill>
                        <pic:spPr>
                          <a:xfrm>
                            <a:off x="0" y="0"/>
                            <a:ext cx="2828290" cy="2032000"/>
                          </a:xfrm>
                          <a:prstGeom prst="rect">
                            <a:avLst/>
                          </a:prstGeom>
                          <a:noFill/>
                          <a:ln>
                            <a:noFill/>
                          </a:ln>
                        </pic:spPr>
                      </pic:pic>
                    </a:graphicData>
                  </a:graphic>
                </wp:inline>
              </w:drawing>
            </w:r>
          </w:p>
        </w:tc>
        <w:tc>
          <w:tcPr>
            <w:tcW w:w="4350" w:type="dxa"/>
            <w:noWrap w:val="0"/>
            <w:vAlign w:val="center"/>
          </w:tcPr>
          <w:p w14:paraId="123DF3EE">
            <w:pPr>
              <w:pStyle w:val="30"/>
              <w:bidi w:val="0"/>
              <w:jc w:val="center"/>
              <w:rPr>
                <w:rFonts w:hint="eastAsia" w:ascii="Times New Roman" w:hAnsi="Times New Roman" w:eastAsia="宋体" w:cs="Times New Roman"/>
                <w:color w:val="000000" w:themeColor="text1"/>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2192020" cy="2061845"/>
                  <wp:effectExtent l="0" t="0" r="17780" b="14605"/>
                  <wp:docPr id="19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6"/>
                          <pic:cNvPicPr>
                            <a:picLocks noChangeAspect="1"/>
                          </pic:cNvPicPr>
                        </pic:nvPicPr>
                        <pic:blipFill>
                          <a:blip r:embed="rId92"/>
                          <a:stretch>
                            <a:fillRect/>
                          </a:stretch>
                        </pic:blipFill>
                        <pic:spPr>
                          <a:xfrm>
                            <a:off x="0" y="0"/>
                            <a:ext cx="2192020" cy="2061845"/>
                          </a:xfrm>
                          <a:prstGeom prst="rect">
                            <a:avLst/>
                          </a:prstGeom>
                          <a:noFill/>
                          <a:ln>
                            <a:noFill/>
                          </a:ln>
                        </pic:spPr>
                      </pic:pic>
                    </a:graphicData>
                  </a:graphic>
                </wp:inline>
              </w:drawing>
            </w:r>
          </w:p>
        </w:tc>
      </w:tr>
      <w:tr w14:paraId="3FC89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34B33D41">
            <w:pPr>
              <w:pStyle w:val="30"/>
              <w:bidi w:val="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西侧道路</w:t>
            </w:r>
          </w:p>
        </w:tc>
        <w:tc>
          <w:tcPr>
            <w:tcW w:w="4350" w:type="dxa"/>
            <w:noWrap w:val="0"/>
            <w:vAlign w:val="center"/>
          </w:tcPr>
          <w:p w14:paraId="7B036AA7">
            <w:pPr>
              <w:pStyle w:val="30"/>
              <w:bidi w:val="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租赁厂房内部</w:t>
            </w:r>
          </w:p>
        </w:tc>
      </w:tr>
      <w:tr w14:paraId="5F0C3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3E9C905F">
            <w:pPr>
              <w:pStyle w:val="30"/>
              <w:bidi w:val="0"/>
              <w:jc w:val="center"/>
              <w:rPr>
                <w:rFonts w:hint="eastAsia" w:ascii="Times New Roman" w:hAnsi="Times New Roman" w:cs="Times New Roman"/>
                <w:color w:val="000000" w:themeColor="text1"/>
                <w:lang w:val="en-US" w:eastAsia="zh-CN"/>
                <w14:textFill>
                  <w14:solidFill>
                    <w14:schemeClr w14:val="tx1"/>
                  </w14:solidFill>
                </w14:textFill>
              </w:rPr>
            </w:pPr>
            <w:r>
              <w:drawing>
                <wp:inline distT="0" distB="0" distL="114300" distR="114300">
                  <wp:extent cx="2820035" cy="1756410"/>
                  <wp:effectExtent l="0" t="0" r="18415" b="15240"/>
                  <wp:docPr id="19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7"/>
                          <pic:cNvPicPr>
                            <a:picLocks noChangeAspect="1"/>
                          </pic:cNvPicPr>
                        </pic:nvPicPr>
                        <pic:blipFill>
                          <a:blip r:embed="rId93"/>
                          <a:stretch>
                            <a:fillRect/>
                          </a:stretch>
                        </pic:blipFill>
                        <pic:spPr>
                          <a:xfrm>
                            <a:off x="0" y="0"/>
                            <a:ext cx="2820035" cy="1756410"/>
                          </a:xfrm>
                          <a:prstGeom prst="rect">
                            <a:avLst/>
                          </a:prstGeom>
                          <a:noFill/>
                          <a:ln>
                            <a:noFill/>
                          </a:ln>
                        </pic:spPr>
                      </pic:pic>
                    </a:graphicData>
                  </a:graphic>
                </wp:inline>
              </w:drawing>
            </w:r>
          </w:p>
        </w:tc>
        <w:tc>
          <w:tcPr>
            <w:tcW w:w="4350" w:type="dxa"/>
            <w:noWrap w:val="0"/>
            <w:vAlign w:val="center"/>
          </w:tcPr>
          <w:p w14:paraId="67EFE918">
            <w:pPr>
              <w:pStyle w:val="30"/>
              <w:bidi w:val="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drawing>
                <wp:inline distT="0" distB="0" distL="114300" distR="114300">
                  <wp:extent cx="2449830" cy="1837055"/>
                  <wp:effectExtent l="0" t="0" r="7620" b="10795"/>
                  <wp:docPr id="203" name="图片 203" descr="61090fcf3ff7bf378419f7f1b431e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61090fcf3ff7bf378419f7f1b431e695"/>
                          <pic:cNvPicPr>
                            <a:picLocks noChangeAspect="1"/>
                          </pic:cNvPicPr>
                        </pic:nvPicPr>
                        <pic:blipFill>
                          <a:blip r:embed="rId94"/>
                          <a:stretch>
                            <a:fillRect/>
                          </a:stretch>
                        </pic:blipFill>
                        <pic:spPr>
                          <a:xfrm>
                            <a:off x="0" y="0"/>
                            <a:ext cx="2449830" cy="1837055"/>
                          </a:xfrm>
                          <a:prstGeom prst="rect">
                            <a:avLst/>
                          </a:prstGeom>
                        </pic:spPr>
                      </pic:pic>
                    </a:graphicData>
                  </a:graphic>
                </wp:inline>
              </w:drawing>
            </w:r>
          </w:p>
        </w:tc>
      </w:tr>
      <w:tr w14:paraId="62BE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0" w:type="dxa"/>
            <w:noWrap w:val="0"/>
            <w:vAlign w:val="center"/>
          </w:tcPr>
          <w:p w14:paraId="13926A5F">
            <w:pPr>
              <w:pStyle w:val="30"/>
              <w:bidi w:val="0"/>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北侧空地</w:t>
            </w:r>
          </w:p>
        </w:tc>
        <w:tc>
          <w:tcPr>
            <w:tcW w:w="4350" w:type="dxa"/>
            <w:noWrap w:val="0"/>
            <w:vAlign w:val="center"/>
          </w:tcPr>
          <w:p w14:paraId="349C31EA">
            <w:pPr>
              <w:pStyle w:val="30"/>
              <w:bidi w:val="0"/>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厂房东侧</w:t>
            </w:r>
          </w:p>
        </w:tc>
      </w:tr>
    </w:tbl>
    <w:p w14:paraId="35057A80">
      <w:pPr>
        <w:pStyle w:val="31"/>
        <w:bidi w:val="0"/>
        <w:rPr>
          <w:rFonts w:hint="default" w:ascii="Times New Roman" w:hAnsi="Times New Roman" w:cs="Times New Roman"/>
          <w:color w:val="FF0000"/>
        </w:rPr>
      </w:pPr>
    </w:p>
    <w:p w14:paraId="6F00B9ED">
      <w:pPr>
        <w:pStyle w:val="31"/>
        <w:bidi w:val="0"/>
        <w:rPr>
          <w:rFonts w:hint="default" w:ascii="Times New Roman" w:hAnsi="Times New Roman" w:cs="Times New Roman"/>
          <w:color w:val="FF0000"/>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86"/>
    <w:family w:val="auto"/>
    <w:pitch w:val="default"/>
    <w:sig w:usb0="00000000" w:usb1="00000000" w:usb2="0000003F" w:usb3="00000000" w:csb0="603F01FF" w:csb1="FFFF0000"/>
  </w:font>
  <w:font w:name="微软雅黑">
    <w:panose1 w:val="020B0503020204020204"/>
    <w:charset w:val="86"/>
    <w:family w:val="auto"/>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398A9D">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5EA7C8">
    <w:pPr>
      <w:pStyle w:val="11"/>
      <w:framePr w:wrap="around" w:vAnchor="text" w:hAnchor="margin" w:xAlign="center" w:y="1"/>
      <w:rPr>
        <w:rStyle w:val="22"/>
      </w:rPr>
    </w:pPr>
    <w:r>
      <w:fldChar w:fldCharType="begin"/>
    </w:r>
    <w:r>
      <w:rPr>
        <w:rStyle w:val="22"/>
      </w:rPr>
      <w:instrText xml:space="preserve">PAGE  </w:instrText>
    </w:r>
    <w:r>
      <w:fldChar w:fldCharType="end"/>
    </w:r>
  </w:p>
  <w:p w14:paraId="5FDD40EC">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37617C">
    <w:pPr>
      <w:pStyle w:val="11"/>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C8EF7">
    <w:pPr>
      <w:pStyle w:val="11"/>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2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D012E8">
                          <w:pPr>
                            <w:pStyle w:val="11"/>
                          </w:pPr>
                          <w:r>
                            <w:t xml:space="preserve">第 </w:t>
                          </w: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t xml:space="preserve"> 页</w:t>
                          </w:r>
                        </w:p>
                      </w:txbxContent>
                    </wps:txbx>
                    <wps:bodyPr wrap="none" lIns="0" tIns="0" rIns="0" bIns="0" upright="0">
                      <a:spAutoFit/>
                    </wps:bodyPr>
                  </wps:wsp>
                </a:graphicData>
              </a:graphic>
            </wp:anchor>
          </w:drawing>
        </mc:Choice>
        <mc:Fallback>
          <w:pict>
            <v:shape id="文本框 205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E6x7zAEAAJ0DAAAOAAAAAAAAAAEAIAAAAB4BAABkcnMvZTJv&#10;RG9jLnhtbFBLBQYAAAAABgAGAFkBAABcBQAAAAA=&#10;">
              <v:fill on="f" focussize="0,0"/>
              <v:stroke on="f"/>
              <v:imagedata o:title=""/>
              <o:lock v:ext="edit" aspectratio="f"/>
              <v:textbox inset="0mm,0mm,0mm,0mm" style="mso-fit-shape-to-text:t;">
                <w:txbxContent>
                  <w:p w14:paraId="43D012E8">
                    <w:pPr>
                      <w:pStyle w:val="11"/>
                    </w:pPr>
                    <w:r>
                      <w:t xml:space="preserve">第 </w:t>
                    </w: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52AA12">
    <w:pPr>
      <w:pStyle w:val="11"/>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20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52F8B2">
                          <w:pPr>
                            <w:pStyle w:val="11"/>
                          </w:pPr>
                          <w:r>
                            <w:t xml:space="preserve">第 </w:t>
                          </w:r>
                          <w:r>
                            <w:fldChar w:fldCharType="begin"/>
                          </w:r>
                          <w:r>
                            <w:instrText xml:space="preserve"> PAGE  \* MERGEFORMAT </w:instrText>
                          </w:r>
                          <w:r>
                            <w:fldChar w:fldCharType="separate"/>
                          </w:r>
                          <w:r>
                            <w:t>18</w:t>
                          </w:r>
                          <w:r>
                            <w:fldChar w:fldCharType="end"/>
                          </w:r>
                          <w:r>
                            <w:t xml:space="preserve"> 页</w:t>
                          </w:r>
                        </w:p>
                      </w:txbxContent>
                    </wps:txbx>
                    <wps:bodyPr vert="horz" wrap="none" lIns="0" tIns="0" rIns="0" bIns="0" anchor="t" anchorCtr="0" upright="0">
                      <a:spAutoFit/>
                    </wps:bodyPr>
                  </wps:wsp>
                </a:graphicData>
              </a:graphic>
            </wp:anchor>
          </w:drawing>
        </mc:Choice>
        <mc:Fallback>
          <w:pict>
            <v:shape id="文本框 205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g2X3tOIBAADCAwAADgAA&#10;AAAAAAABACAAAAAeAQAAZHJzL2Uyb0RvYy54bWxQSwUGAAAAAAYABgBZAQAAcgUAAAAA&#10;">
              <v:fill on="f" focussize="0,0"/>
              <v:stroke on="f"/>
              <v:imagedata o:title=""/>
              <o:lock v:ext="edit" aspectratio="f"/>
              <v:textbox inset="0mm,0mm,0mm,0mm" style="mso-fit-shape-to-text:t;">
                <w:txbxContent>
                  <w:p w14:paraId="4B52F8B2">
                    <w:pPr>
                      <w:pStyle w:val="11"/>
                    </w:pPr>
                    <w:r>
                      <w:t xml:space="preserve">第 </w:t>
                    </w:r>
                    <w:r>
                      <w:fldChar w:fldCharType="begin"/>
                    </w:r>
                    <w:r>
                      <w:instrText xml:space="preserve"> PAGE  \* MERGEFORMAT </w:instrText>
                    </w:r>
                    <w:r>
                      <w:fldChar w:fldCharType="separate"/>
                    </w:r>
                    <w:r>
                      <w:t>18</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9A686A">
    <w:pPr>
      <w:pStyle w:val="1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4E47C7">
                          <w:pPr>
                            <w:pStyle w:val="11"/>
                          </w:pPr>
                          <w:r>
                            <w:t xml:space="preserve">第 </w:t>
                          </w:r>
                          <w:r>
                            <w:fldChar w:fldCharType="begin"/>
                          </w:r>
                          <w:r>
                            <w:instrText xml:space="preserve"> PAGE  \* MERGEFORMAT </w:instrText>
                          </w:r>
                          <w:r>
                            <w:fldChar w:fldCharType="separate"/>
                          </w:r>
                          <w:r>
                            <w:t>79</w:t>
                          </w:r>
                          <w:r>
                            <w:fldChar w:fldCharType="end"/>
                          </w:r>
                          <w:r>
                            <w:t xml:space="preserve"> 页</w:t>
                          </w:r>
                        </w:p>
                      </w:txbxContent>
                    </wps:txbx>
                    <wps:bodyPr vert="horz" wrap="none" lIns="0" tIns="0" rIns="0" bIns="0" anchor="t" anchorCtr="0" upright="0">
                      <a:spAutoFit/>
                    </wps:bodyPr>
                  </wps:wsp>
                </a:graphicData>
              </a:graphic>
            </wp:anchor>
          </w:drawing>
        </mc:Choice>
        <mc:Fallback>
          <w:pict>
            <v:shape id="文本框 2058"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G9y6q4QEAAMIDAAAOAAAA&#10;AAAAAAEAIAAAAB4BAABkcnMvZTJvRG9jLnhtbFBLBQYAAAAABgAGAFkBAABxBQAAAAA=&#10;">
              <v:fill on="f" focussize="0,0"/>
              <v:stroke on="f"/>
              <v:imagedata o:title=""/>
              <o:lock v:ext="edit" aspectratio="f"/>
              <v:textbox inset="0mm,0mm,0mm,0mm" style="mso-fit-shape-to-text:t;">
                <w:txbxContent>
                  <w:p w14:paraId="774E47C7">
                    <w:pPr>
                      <w:pStyle w:val="11"/>
                    </w:pPr>
                    <w:r>
                      <w:t xml:space="preserve">第 </w:t>
                    </w:r>
                    <w:r>
                      <w:fldChar w:fldCharType="begin"/>
                    </w:r>
                    <w:r>
                      <w:instrText xml:space="preserve"> PAGE  \* MERGEFORMAT </w:instrText>
                    </w:r>
                    <w:r>
                      <w:fldChar w:fldCharType="separate"/>
                    </w:r>
                    <w:r>
                      <w:t>79</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07F80">
    <w:pPr>
      <w:pStyle w:val="11"/>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A0E4DF5"/>
    <w:multiLevelType w:val="singleLevel"/>
    <w:tmpl w:val="7A0E4DF5"/>
    <w:lvl w:ilvl="0" w:tentative="0">
      <w:start w:val="10"/>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ZiNTI4MDljZmFkMzNjMjg4NjJiNjg4OTJiNWY4MzgifQ=="/>
  </w:docVars>
  <w:rsids>
    <w:rsidRoot w:val="00172A27"/>
    <w:rsid w:val="000060B3"/>
    <w:rsid w:val="0004364B"/>
    <w:rsid w:val="00052A18"/>
    <w:rsid w:val="00061B1F"/>
    <w:rsid w:val="000733C4"/>
    <w:rsid w:val="00074783"/>
    <w:rsid w:val="0008070B"/>
    <w:rsid w:val="000810AC"/>
    <w:rsid w:val="00081A02"/>
    <w:rsid w:val="00082231"/>
    <w:rsid w:val="00092D38"/>
    <w:rsid w:val="0009377B"/>
    <w:rsid w:val="000A20C9"/>
    <w:rsid w:val="000B058F"/>
    <w:rsid w:val="000B4467"/>
    <w:rsid w:val="000B4DB9"/>
    <w:rsid w:val="000B79F8"/>
    <w:rsid w:val="000C09AC"/>
    <w:rsid w:val="000C767F"/>
    <w:rsid w:val="000D5A44"/>
    <w:rsid w:val="000E3ED2"/>
    <w:rsid w:val="000E5D71"/>
    <w:rsid w:val="00131F42"/>
    <w:rsid w:val="001357F1"/>
    <w:rsid w:val="00140FA8"/>
    <w:rsid w:val="00142FEB"/>
    <w:rsid w:val="00143A2D"/>
    <w:rsid w:val="00145A41"/>
    <w:rsid w:val="00150EAD"/>
    <w:rsid w:val="00151675"/>
    <w:rsid w:val="001570FF"/>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3CF6"/>
    <w:rsid w:val="002155B8"/>
    <w:rsid w:val="00224839"/>
    <w:rsid w:val="002249B2"/>
    <w:rsid w:val="00226574"/>
    <w:rsid w:val="002278EC"/>
    <w:rsid w:val="0023280E"/>
    <w:rsid w:val="002377D1"/>
    <w:rsid w:val="002506BC"/>
    <w:rsid w:val="00254345"/>
    <w:rsid w:val="00264557"/>
    <w:rsid w:val="00276E33"/>
    <w:rsid w:val="002805AB"/>
    <w:rsid w:val="00284204"/>
    <w:rsid w:val="00285085"/>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417C"/>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94FFB"/>
    <w:rsid w:val="004A3823"/>
    <w:rsid w:val="004E616D"/>
    <w:rsid w:val="004E6946"/>
    <w:rsid w:val="004F1AD8"/>
    <w:rsid w:val="0050013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61709"/>
    <w:rsid w:val="006748B8"/>
    <w:rsid w:val="006775C3"/>
    <w:rsid w:val="0069290A"/>
    <w:rsid w:val="00692E11"/>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0AC7"/>
    <w:rsid w:val="00732922"/>
    <w:rsid w:val="00733E26"/>
    <w:rsid w:val="0075162E"/>
    <w:rsid w:val="00754034"/>
    <w:rsid w:val="00756556"/>
    <w:rsid w:val="007618C4"/>
    <w:rsid w:val="00767980"/>
    <w:rsid w:val="00770B19"/>
    <w:rsid w:val="0077463F"/>
    <w:rsid w:val="007836EA"/>
    <w:rsid w:val="00784CDA"/>
    <w:rsid w:val="00786989"/>
    <w:rsid w:val="007906C4"/>
    <w:rsid w:val="007940EA"/>
    <w:rsid w:val="007958E0"/>
    <w:rsid w:val="007967E8"/>
    <w:rsid w:val="007A2170"/>
    <w:rsid w:val="007A22BF"/>
    <w:rsid w:val="007A3323"/>
    <w:rsid w:val="007B72B8"/>
    <w:rsid w:val="007B7A58"/>
    <w:rsid w:val="007C21B5"/>
    <w:rsid w:val="007E4BD2"/>
    <w:rsid w:val="00801393"/>
    <w:rsid w:val="00802F88"/>
    <w:rsid w:val="0081293E"/>
    <w:rsid w:val="00815465"/>
    <w:rsid w:val="00816543"/>
    <w:rsid w:val="00817E9A"/>
    <w:rsid w:val="008306BD"/>
    <w:rsid w:val="00831A80"/>
    <w:rsid w:val="008322BB"/>
    <w:rsid w:val="00833743"/>
    <w:rsid w:val="008340A4"/>
    <w:rsid w:val="00846033"/>
    <w:rsid w:val="0087135F"/>
    <w:rsid w:val="00872D94"/>
    <w:rsid w:val="00880364"/>
    <w:rsid w:val="00891592"/>
    <w:rsid w:val="00891E9E"/>
    <w:rsid w:val="008A2F68"/>
    <w:rsid w:val="008B1170"/>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444C8"/>
    <w:rsid w:val="0095155F"/>
    <w:rsid w:val="00954429"/>
    <w:rsid w:val="009563CE"/>
    <w:rsid w:val="00976328"/>
    <w:rsid w:val="0097680D"/>
    <w:rsid w:val="00977B14"/>
    <w:rsid w:val="00982438"/>
    <w:rsid w:val="0098404C"/>
    <w:rsid w:val="00985283"/>
    <w:rsid w:val="00995992"/>
    <w:rsid w:val="009A03E5"/>
    <w:rsid w:val="009A0F3B"/>
    <w:rsid w:val="009A1BB4"/>
    <w:rsid w:val="009A2628"/>
    <w:rsid w:val="009A3200"/>
    <w:rsid w:val="009B0897"/>
    <w:rsid w:val="009B7BD9"/>
    <w:rsid w:val="009C7DD5"/>
    <w:rsid w:val="009E227D"/>
    <w:rsid w:val="009E5019"/>
    <w:rsid w:val="009F4C1B"/>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026"/>
    <w:rsid w:val="00D0364F"/>
    <w:rsid w:val="00D06834"/>
    <w:rsid w:val="00D308ED"/>
    <w:rsid w:val="00D36D86"/>
    <w:rsid w:val="00D428AA"/>
    <w:rsid w:val="00D50A34"/>
    <w:rsid w:val="00D53EFA"/>
    <w:rsid w:val="00D94A7C"/>
    <w:rsid w:val="00D95896"/>
    <w:rsid w:val="00DA5C53"/>
    <w:rsid w:val="00DB20F7"/>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EF7950"/>
    <w:rsid w:val="00F027DB"/>
    <w:rsid w:val="00F14A7A"/>
    <w:rsid w:val="00F22985"/>
    <w:rsid w:val="00F3383E"/>
    <w:rsid w:val="00F42D70"/>
    <w:rsid w:val="00F431B9"/>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158D6"/>
    <w:rsid w:val="010F48F2"/>
    <w:rsid w:val="01140146"/>
    <w:rsid w:val="012810B4"/>
    <w:rsid w:val="01290F7E"/>
    <w:rsid w:val="012C2953"/>
    <w:rsid w:val="01323CE1"/>
    <w:rsid w:val="013438C9"/>
    <w:rsid w:val="013712F7"/>
    <w:rsid w:val="01423F24"/>
    <w:rsid w:val="014557C2"/>
    <w:rsid w:val="01527921"/>
    <w:rsid w:val="01543C57"/>
    <w:rsid w:val="015D1E09"/>
    <w:rsid w:val="01611507"/>
    <w:rsid w:val="01695955"/>
    <w:rsid w:val="016E346F"/>
    <w:rsid w:val="016F45ED"/>
    <w:rsid w:val="017936BE"/>
    <w:rsid w:val="017B11E4"/>
    <w:rsid w:val="01867BA3"/>
    <w:rsid w:val="01877B89"/>
    <w:rsid w:val="0194674A"/>
    <w:rsid w:val="019B53E2"/>
    <w:rsid w:val="01A96179"/>
    <w:rsid w:val="01B06B29"/>
    <w:rsid w:val="01B6046E"/>
    <w:rsid w:val="01C0569A"/>
    <w:rsid w:val="01C506B1"/>
    <w:rsid w:val="01CC1A40"/>
    <w:rsid w:val="01CC5EE4"/>
    <w:rsid w:val="01D050E9"/>
    <w:rsid w:val="01D408F4"/>
    <w:rsid w:val="01D46B46"/>
    <w:rsid w:val="01D60B10"/>
    <w:rsid w:val="01D63C01"/>
    <w:rsid w:val="01D85164"/>
    <w:rsid w:val="01E054EB"/>
    <w:rsid w:val="01E925F2"/>
    <w:rsid w:val="01EA0118"/>
    <w:rsid w:val="01EC3E90"/>
    <w:rsid w:val="021A09FD"/>
    <w:rsid w:val="022E31E6"/>
    <w:rsid w:val="023870D5"/>
    <w:rsid w:val="023A2E4D"/>
    <w:rsid w:val="023C4E17"/>
    <w:rsid w:val="0241242E"/>
    <w:rsid w:val="024737BC"/>
    <w:rsid w:val="024E68F9"/>
    <w:rsid w:val="02555ED9"/>
    <w:rsid w:val="025F28B4"/>
    <w:rsid w:val="0269266D"/>
    <w:rsid w:val="026956E5"/>
    <w:rsid w:val="02697903"/>
    <w:rsid w:val="026D3223"/>
    <w:rsid w:val="02714395"/>
    <w:rsid w:val="02883D06"/>
    <w:rsid w:val="02897931"/>
    <w:rsid w:val="028B38C4"/>
    <w:rsid w:val="02907C4D"/>
    <w:rsid w:val="0297204E"/>
    <w:rsid w:val="029A7D90"/>
    <w:rsid w:val="02A8425B"/>
    <w:rsid w:val="02C10E79"/>
    <w:rsid w:val="02CD5A6F"/>
    <w:rsid w:val="02D768EE"/>
    <w:rsid w:val="02DC3F04"/>
    <w:rsid w:val="02DE5ECF"/>
    <w:rsid w:val="02E01C47"/>
    <w:rsid w:val="02E84657"/>
    <w:rsid w:val="02F2197A"/>
    <w:rsid w:val="02F96569"/>
    <w:rsid w:val="02FE031F"/>
    <w:rsid w:val="02FE25CE"/>
    <w:rsid w:val="03031491"/>
    <w:rsid w:val="03093C85"/>
    <w:rsid w:val="03101B91"/>
    <w:rsid w:val="03101E00"/>
    <w:rsid w:val="03157416"/>
    <w:rsid w:val="031C2B7F"/>
    <w:rsid w:val="032B50A8"/>
    <w:rsid w:val="032F672A"/>
    <w:rsid w:val="03345AEF"/>
    <w:rsid w:val="03370D12"/>
    <w:rsid w:val="033B56D0"/>
    <w:rsid w:val="034026E5"/>
    <w:rsid w:val="03436045"/>
    <w:rsid w:val="035F6D10"/>
    <w:rsid w:val="036123C7"/>
    <w:rsid w:val="036D1000"/>
    <w:rsid w:val="037203C5"/>
    <w:rsid w:val="0374413D"/>
    <w:rsid w:val="037C7496"/>
    <w:rsid w:val="0389734A"/>
    <w:rsid w:val="03993BA4"/>
    <w:rsid w:val="03A10CAA"/>
    <w:rsid w:val="03A5079A"/>
    <w:rsid w:val="03AA443A"/>
    <w:rsid w:val="03AA5DB1"/>
    <w:rsid w:val="03B7227C"/>
    <w:rsid w:val="03B86720"/>
    <w:rsid w:val="03BE7AAE"/>
    <w:rsid w:val="03C52BEB"/>
    <w:rsid w:val="03C84489"/>
    <w:rsid w:val="03D16926"/>
    <w:rsid w:val="03D251BA"/>
    <w:rsid w:val="03D673E3"/>
    <w:rsid w:val="03DB41BC"/>
    <w:rsid w:val="03E5503B"/>
    <w:rsid w:val="03EA7B21"/>
    <w:rsid w:val="03F84D6E"/>
    <w:rsid w:val="03FF434E"/>
    <w:rsid w:val="0400747C"/>
    <w:rsid w:val="040D187C"/>
    <w:rsid w:val="040D600F"/>
    <w:rsid w:val="040E5C29"/>
    <w:rsid w:val="042518DB"/>
    <w:rsid w:val="042711AF"/>
    <w:rsid w:val="043134DC"/>
    <w:rsid w:val="0432773A"/>
    <w:rsid w:val="04390EE3"/>
    <w:rsid w:val="043B6147"/>
    <w:rsid w:val="04406715"/>
    <w:rsid w:val="04441D61"/>
    <w:rsid w:val="04486FA6"/>
    <w:rsid w:val="044C6E68"/>
    <w:rsid w:val="045126D0"/>
    <w:rsid w:val="04514153"/>
    <w:rsid w:val="0455434E"/>
    <w:rsid w:val="045A1585"/>
    <w:rsid w:val="045C354F"/>
    <w:rsid w:val="045F2825"/>
    <w:rsid w:val="046441B2"/>
    <w:rsid w:val="04732647"/>
    <w:rsid w:val="047B14FB"/>
    <w:rsid w:val="048B7990"/>
    <w:rsid w:val="04910D1F"/>
    <w:rsid w:val="04A25368"/>
    <w:rsid w:val="04A3117E"/>
    <w:rsid w:val="04A40A52"/>
    <w:rsid w:val="04A6094C"/>
    <w:rsid w:val="04AC0F3D"/>
    <w:rsid w:val="04B213C1"/>
    <w:rsid w:val="04BC20E2"/>
    <w:rsid w:val="04BE5FB8"/>
    <w:rsid w:val="04CB4231"/>
    <w:rsid w:val="04D37589"/>
    <w:rsid w:val="04DB24D9"/>
    <w:rsid w:val="04DD4B4C"/>
    <w:rsid w:val="04E43544"/>
    <w:rsid w:val="04EB48D3"/>
    <w:rsid w:val="04ED41A7"/>
    <w:rsid w:val="04F05A45"/>
    <w:rsid w:val="04F25C61"/>
    <w:rsid w:val="04F434F3"/>
    <w:rsid w:val="04FE63B4"/>
    <w:rsid w:val="050F05C1"/>
    <w:rsid w:val="05137986"/>
    <w:rsid w:val="051E0804"/>
    <w:rsid w:val="052027CE"/>
    <w:rsid w:val="05257DE5"/>
    <w:rsid w:val="052B1173"/>
    <w:rsid w:val="05340028"/>
    <w:rsid w:val="05373674"/>
    <w:rsid w:val="053A3164"/>
    <w:rsid w:val="053D05F2"/>
    <w:rsid w:val="053E0EA6"/>
    <w:rsid w:val="054D10EA"/>
    <w:rsid w:val="05502988"/>
    <w:rsid w:val="055F2BCB"/>
    <w:rsid w:val="0563090D"/>
    <w:rsid w:val="056326BB"/>
    <w:rsid w:val="05812B41"/>
    <w:rsid w:val="058368B9"/>
    <w:rsid w:val="059565ED"/>
    <w:rsid w:val="059C5421"/>
    <w:rsid w:val="05BE1FE7"/>
    <w:rsid w:val="05C23970"/>
    <w:rsid w:val="05C84C14"/>
    <w:rsid w:val="05CA098C"/>
    <w:rsid w:val="05D45367"/>
    <w:rsid w:val="05D62E8D"/>
    <w:rsid w:val="05E530D0"/>
    <w:rsid w:val="05E76E48"/>
    <w:rsid w:val="05F477B7"/>
    <w:rsid w:val="05F61781"/>
    <w:rsid w:val="05F83EAE"/>
    <w:rsid w:val="060A6FDB"/>
    <w:rsid w:val="060C68AF"/>
    <w:rsid w:val="060E16CF"/>
    <w:rsid w:val="06257970"/>
    <w:rsid w:val="062F6A41"/>
    <w:rsid w:val="06376211"/>
    <w:rsid w:val="06380871"/>
    <w:rsid w:val="063876A4"/>
    <w:rsid w:val="063E7D85"/>
    <w:rsid w:val="064249C6"/>
    <w:rsid w:val="065B18F4"/>
    <w:rsid w:val="066F06E3"/>
    <w:rsid w:val="067B6C86"/>
    <w:rsid w:val="067C2ABC"/>
    <w:rsid w:val="06897EFF"/>
    <w:rsid w:val="068C3E93"/>
    <w:rsid w:val="069A6270"/>
    <w:rsid w:val="069F3BC7"/>
    <w:rsid w:val="06A74829"/>
    <w:rsid w:val="06B50CF4"/>
    <w:rsid w:val="06CF7FE9"/>
    <w:rsid w:val="06DB46AD"/>
    <w:rsid w:val="06E17D3B"/>
    <w:rsid w:val="06EB6E0C"/>
    <w:rsid w:val="06F70B39"/>
    <w:rsid w:val="06F85085"/>
    <w:rsid w:val="07004FA3"/>
    <w:rsid w:val="07035F04"/>
    <w:rsid w:val="070658C1"/>
    <w:rsid w:val="070752C8"/>
    <w:rsid w:val="0709503F"/>
    <w:rsid w:val="07124682"/>
    <w:rsid w:val="071954EF"/>
    <w:rsid w:val="071C0D73"/>
    <w:rsid w:val="0721282E"/>
    <w:rsid w:val="0721638A"/>
    <w:rsid w:val="07293586"/>
    <w:rsid w:val="07295285"/>
    <w:rsid w:val="07306FDE"/>
    <w:rsid w:val="073360BD"/>
    <w:rsid w:val="073D0CEA"/>
    <w:rsid w:val="07483BF5"/>
    <w:rsid w:val="074958E1"/>
    <w:rsid w:val="075C5614"/>
    <w:rsid w:val="075E138C"/>
    <w:rsid w:val="076243EF"/>
    <w:rsid w:val="07636392"/>
    <w:rsid w:val="0768022C"/>
    <w:rsid w:val="076B1CFB"/>
    <w:rsid w:val="076E3F95"/>
    <w:rsid w:val="07770C56"/>
    <w:rsid w:val="077C5CB6"/>
    <w:rsid w:val="078132CC"/>
    <w:rsid w:val="078E1545"/>
    <w:rsid w:val="07940540"/>
    <w:rsid w:val="07943000"/>
    <w:rsid w:val="07972AF0"/>
    <w:rsid w:val="079923C4"/>
    <w:rsid w:val="07A4640F"/>
    <w:rsid w:val="07B05960"/>
    <w:rsid w:val="07B45450"/>
    <w:rsid w:val="07CD6512"/>
    <w:rsid w:val="07CE6099"/>
    <w:rsid w:val="07D2028E"/>
    <w:rsid w:val="07DB2C0D"/>
    <w:rsid w:val="07E61381"/>
    <w:rsid w:val="07F41CF0"/>
    <w:rsid w:val="07F53D89"/>
    <w:rsid w:val="07FC2953"/>
    <w:rsid w:val="08055CAB"/>
    <w:rsid w:val="08096ED2"/>
    <w:rsid w:val="081128A2"/>
    <w:rsid w:val="08143F57"/>
    <w:rsid w:val="081952B3"/>
    <w:rsid w:val="081B727D"/>
    <w:rsid w:val="082425D6"/>
    <w:rsid w:val="082500FC"/>
    <w:rsid w:val="08404F36"/>
    <w:rsid w:val="08412454"/>
    <w:rsid w:val="084F33CB"/>
    <w:rsid w:val="08534108"/>
    <w:rsid w:val="08534C69"/>
    <w:rsid w:val="085D5AE7"/>
    <w:rsid w:val="085E173B"/>
    <w:rsid w:val="08601134"/>
    <w:rsid w:val="08607386"/>
    <w:rsid w:val="086C1887"/>
    <w:rsid w:val="08752E31"/>
    <w:rsid w:val="087A0447"/>
    <w:rsid w:val="087D3A94"/>
    <w:rsid w:val="088210AA"/>
    <w:rsid w:val="08892439"/>
    <w:rsid w:val="088C4712"/>
    <w:rsid w:val="08964B56"/>
    <w:rsid w:val="089970C0"/>
    <w:rsid w:val="089A2898"/>
    <w:rsid w:val="089A4646"/>
    <w:rsid w:val="08A2174C"/>
    <w:rsid w:val="08A70B11"/>
    <w:rsid w:val="08AA6441"/>
    <w:rsid w:val="08B66FA6"/>
    <w:rsid w:val="08BC2A1A"/>
    <w:rsid w:val="08BD6586"/>
    <w:rsid w:val="08C72F61"/>
    <w:rsid w:val="08CE2541"/>
    <w:rsid w:val="08D538D0"/>
    <w:rsid w:val="08EB6C4F"/>
    <w:rsid w:val="08F63846"/>
    <w:rsid w:val="08F9292E"/>
    <w:rsid w:val="08FE27C4"/>
    <w:rsid w:val="090549A5"/>
    <w:rsid w:val="090B5543"/>
    <w:rsid w:val="092108C3"/>
    <w:rsid w:val="092217DD"/>
    <w:rsid w:val="092263E9"/>
    <w:rsid w:val="092403B3"/>
    <w:rsid w:val="09242161"/>
    <w:rsid w:val="09267C87"/>
    <w:rsid w:val="09270AC2"/>
    <w:rsid w:val="09277E8E"/>
    <w:rsid w:val="09293C1C"/>
    <w:rsid w:val="092959CA"/>
    <w:rsid w:val="093A7294"/>
    <w:rsid w:val="093F51ED"/>
    <w:rsid w:val="09436A8B"/>
    <w:rsid w:val="09442803"/>
    <w:rsid w:val="09540C99"/>
    <w:rsid w:val="095A2027"/>
    <w:rsid w:val="095A3DD5"/>
    <w:rsid w:val="09622C8A"/>
    <w:rsid w:val="09646A02"/>
    <w:rsid w:val="09722ECD"/>
    <w:rsid w:val="097924AD"/>
    <w:rsid w:val="0990783C"/>
    <w:rsid w:val="099B68C7"/>
    <w:rsid w:val="099C2118"/>
    <w:rsid w:val="09A508BA"/>
    <w:rsid w:val="09AF5ECF"/>
    <w:rsid w:val="09B5725D"/>
    <w:rsid w:val="09C86F91"/>
    <w:rsid w:val="09CD0A4B"/>
    <w:rsid w:val="09D26061"/>
    <w:rsid w:val="09D27E0F"/>
    <w:rsid w:val="09D83F8D"/>
    <w:rsid w:val="09DC47EA"/>
    <w:rsid w:val="09E638BB"/>
    <w:rsid w:val="09F2400E"/>
    <w:rsid w:val="09F63AFE"/>
    <w:rsid w:val="09F7266F"/>
    <w:rsid w:val="09F9539C"/>
    <w:rsid w:val="0A14667A"/>
    <w:rsid w:val="0A263993"/>
    <w:rsid w:val="0A2763AD"/>
    <w:rsid w:val="0A2A19F9"/>
    <w:rsid w:val="0A2A37A7"/>
    <w:rsid w:val="0A2C5771"/>
    <w:rsid w:val="0A2D3AC2"/>
    <w:rsid w:val="0A342878"/>
    <w:rsid w:val="0A382368"/>
    <w:rsid w:val="0A3B1BD7"/>
    <w:rsid w:val="0A5151D8"/>
    <w:rsid w:val="0A5A56A6"/>
    <w:rsid w:val="0A5B2454"/>
    <w:rsid w:val="0A5E51A8"/>
    <w:rsid w:val="0A60366D"/>
    <w:rsid w:val="0A6843EF"/>
    <w:rsid w:val="0A6F0CFE"/>
    <w:rsid w:val="0A717628"/>
    <w:rsid w:val="0A764C3F"/>
    <w:rsid w:val="0A824C62"/>
    <w:rsid w:val="0A8B6BDA"/>
    <w:rsid w:val="0A8F7AAE"/>
    <w:rsid w:val="0A9450C5"/>
    <w:rsid w:val="0A9B6453"/>
    <w:rsid w:val="0A9D3B40"/>
    <w:rsid w:val="0AA755DF"/>
    <w:rsid w:val="0AAB7859"/>
    <w:rsid w:val="0AD83203"/>
    <w:rsid w:val="0ADE199A"/>
    <w:rsid w:val="0AE20526"/>
    <w:rsid w:val="0AE41BA8"/>
    <w:rsid w:val="0AEE6ECB"/>
    <w:rsid w:val="0AEF054D"/>
    <w:rsid w:val="0AF50259"/>
    <w:rsid w:val="0AFA761E"/>
    <w:rsid w:val="0AFB5144"/>
    <w:rsid w:val="0B04715B"/>
    <w:rsid w:val="0B0C10FF"/>
    <w:rsid w:val="0B112BB9"/>
    <w:rsid w:val="0B120D44"/>
    <w:rsid w:val="0B140186"/>
    <w:rsid w:val="0B147E01"/>
    <w:rsid w:val="0B204882"/>
    <w:rsid w:val="0B2063F1"/>
    <w:rsid w:val="0B2226D0"/>
    <w:rsid w:val="0B24469B"/>
    <w:rsid w:val="0B291CB1"/>
    <w:rsid w:val="0B386398"/>
    <w:rsid w:val="0B3B3792"/>
    <w:rsid w:val="0B45063E"/>
    <w:rsid w:val="0B505490"/>
    <w:rsid w:val="0B6131F9"/>
    <w:rsid w:val="0B662F05"/>
    <w:rsid w:val="0B6947A3"/>
    <w:rsid w:val="0B6D6042"/>
    <w:rsid w:val="0B745622"/>
    <w:rsid w:val="0B7C073E"/>
    <w:rsid w:val="0B7D1FFD"/>
    <w:rsid w:val="0B84338B"/>
    <w:rsid w:val="0B892750"/>
    <w:rsid w:val="0BA13F3D"/>
    <w:rsid w:val="0BA53A2D"/>
    <w:rsid w:val="0BA847BB"/>
    <w:rsid w:val="0BBE689D"/>
    <w:rsid w:val="0BC67500"/>
    <w:rsid w:val="0BC8771C"/>
    <w:rsid w:val="0BCB0FBA"/>
    <w:rsid w:val="0BCF0AAA"/>
    <w:rsid w:val="0BD27BF6"/>
    <w:rsid w:val="0BD31C1D"/>
    <w:rsid w:val="0BD5530E"/>
    <w:rsid w:val="0BDA11FD"/>
    <w:rsid w:val="0BE1433A"/>
    <w:rsid w:val="0BE34556"/>
    <w:rsid w:val="0BE43E2A"/>
    <w:rsid w:val="0BE67BA2"/>
    <w:rsid w:val="0BEA7692"/>
    <w:rsid w:val="0BEF4CA9"/>
    <w:rsid w:val="0BF26547"/>
    <w:rsid w:val="0BF4406D"/>
    <w:rsid w:val="0C030754"/>
    <w:rsid w:val="0C0A1AE2"/>
    <w:rsid w:val="0C0D3381"/>
    <w:rsid w:val="0C1069CD"/>
    <w:rsid w:val="0C122745"/>
    <w:rsid w:val="0C1741FF"/>
    <w:rsid w:val="0C360B29"/>
    <w:rsid w:val="0C3703FE"/>
    <w:rsid w:val="0C37664F"/>
    <w:rsid w:val="0C3B3C7D"/>
    <w:rsid w:val="0C3C3C66"/>
    <w:rsid w:val="0C404922"/>
    <w:rsid w:val="0C4D7C21"/>
    <w:rsid w:val="0C5478CE"/>
    <w:rsid w:val="0C656D19"/>
    <w:rsid w:val="0C662A91"/>
    <w:rsid w:val="0C7C4062"/>
    <w:rsid w:val="0C7F6895"/>
    <w:rsid w:val="0C8A677F"/>
    <w:rsid w:val="0C9358E9"/>
    <w:rsid w:val="0C9844C2"/>
    <w:rsid w:val="0C9B273A"/>
    <w:rsid w:val="0CA710DF"/>
    <w:rsid w:val="0CA737D5"/>
    <w:rsid w:val="0CAB2EAE"/>
    <w:rsid w:val="0CAD06C0"/>
    <w:rsid w:val="0CBD4DA7"/>
    <w:rsid w:val="0CC04897"/>
    <w:rsid w:val="0CCE2B10"/>
    <w:rsid w:val="0CD345CA"/>
    <w:rsid w:val="0CE15D78"/>
    <w:rsid w:val="0CF34297"/>
    <w:rsid w:val="0CF77AEC"/>
    <w:rsid w:val="0D1F336B"/>
    <w:rsid w:val="0D232F82"/>
    <w:rsid w:val="0D246BD4"/>
    <w:rsid w:val="0D3D7C96"/>
    <w:rsid w:val="0D447276"/>
    <w:rsid w:val="0D466B4A"/>
    <w:rsid w:val="0D49663A"/>
    <w:rsid w:val="0D4D2D07"/>
    <w:rsid w:val="0D501777"/>
    <w:rsid w:val="0D5374B9"/>
    <w:rsid w:val="0D58062B"/>
    <w:rsid w:val="0D613984"/>
    <w:rsid w:val="0D621C7D"/>
    <w:rsid w:val="0D674D12"/>
    <w:rsid w:val="0D6B65B1"/>
    <w:rsid w:val="0D703BC7"/>
    <w:rsid w:val="0D7B090F"/>
    <w:rsid w:val="0D814026"/>
    <w:rsid w:val="0D841421"/>
    <w:rsid w:val="0D865199"/>
    <w:rsid w:val="0D892EDB"/>
    <w:rsid w:val="0D894C89"/>
    <w:rsid w:val="0DAD2A54"/>
    <w:rsid w:val="0DAD6BC9"/>
    <w:rsid w:val="0DB55A7E"/>
    <w:rsid w:val="0DBA7538"/>
    <w:rsid w:val="0DBC0F94"/>
    <w:rsid w:val="0DBC505E"/>
    <w:rsid w:val="0DC21F49"/>
    <w:rsid w:val="0DC437DB"/>
    <w:rsid w:val="0DC45CC1"/>
    <w:rsid w:val="0DC83A03"/>
    <w:rsid w:val="0DC932D7"/>
    <w:rsid w:val="0DCD2DC7"/>
    <w:rsid w:val="0DE95727"/>
    <w:rsid w:val="0DED16BC"/>
    <w:rsid w:val="0DED6FC6"/>
    <w:rsid w:val="0DF76096"/>
    <w:rsid w:val="0DFC6A1D"/>
    <w:rsid w:val="0E032C8D"/>
    <w:rsid w:val="0E042561"/>
    <w:rsid w:val="0E0A401C"/>
    <w:rsid w:val="0E107158"/>
    <w:rsid w:val="0E17747C"/>
    <w:rsid w:val="0E1F00AD"/>
    <w:rsid w:val="0E2624D8"/>
    <w:rsid w:val="0E2A021A"/>
    <w:rsid w:val="0E35096D"/>
    <w:rsid w:val="0E35676B"/>
    <w:rsid w:val="0E39220B"/>
    <w:rsid w:val="0E4B63E2"/>
    <w:rsid w:val="0E5A03D3"/>
    <w:rsid w:val="0E5B6625"/>
    <w:rsid w:val="0E5E1C72"/>
    <w:rsid w:val="0E63372C"/>
    <w:rsid w:val="0E666D78"/>
    <w:rsid w:val="0E6F20D1"/>
    <w:rsid w:val="0E72396F"/>
    <w:rsid w:val="0E73034D"/>
    <w:rsid w:val="0E737252"/>
    <w:rsid w:val="0E80608C"/>
    <w:rsid w:val="0E807E3A"/>
    <w:rsid w:val="0E855450"/>
    <w:rsid w:val="0E977C34"/>
    <w:rsid w:val="0EAD49A7"/>
    <w:rsid w:val="0EB16245"/>
    <w:rsid w:val="0EB421D9"/>
    <w:rsid w:val="0EB6385C"/>
    <w:rsid w:val="0EBA2E73"/>
    <w:rsid w:val="0EBC2A42"/>
    <w:rsid w:val="0ECA53D4"/>
    <w:rsid w:val="0ECA5559"/>
    <w:rsid w:val="0ED168E7"/>
    <w:rsid w:val="0ED848F7"/>
    <w:rsid w:val="0EDD528C"/>
    <w:rsid w:val="0EE04D7C"/>
    <w:rsid w:val="0EF5276A"/>
    <w:rsid w:val="0EF80F88"/>
    <w:rsid w:val="0EF95E3E"/>
    <w:rsid w:val="0EFB3F63"/>
    <w:rsid w:val="0F046907"/>
    <w:rsid w:val="0F13775A"/>
    <w:rsid w:val="0F16254C"/>
    <w:rsid w:val="0F1862C4"/>
    <w:rsid w:val="0F1A64E0"/>
    <w:rsid w:val="0F1E7653"/>
    <w:rsid w:val="0F2904D1"/>
    <w:rsid w:val="0F2C1D70"/>
    <w:rsid w:val="0F2C7FC2"/>
    <w:rsid w:val="0F3550C8"/>
    <w:rsid w:val="0F4946D0"/>
    <w:rsid w:val="0F4C2B38"/>
    <w:rsid w:val="0F4C41C0"/>
    <w:rsid w:val="0F5B4FA9"/>
    <w:rsid w:val="0F5E5BD5"/>
    <w:rsid w:val="0F5F45FE"/>
    <w:rsid w:val="0F615EBD"/>
    <w:rsid w:val="0F6239E3"/>
    <w:rsid w:val="0F7127D5"/>
    <w:rsid w:val="0F713C26"/>
    <w:rsid w:val="0F7321CD"/>
    <w:rsid w:val="0F7B6853"/>
    <w:rsid w:val="0F7D081D"/>
    <w:rsid w:val="0F7D6A6F"/>
    <w:rsid w:val="0F827BE2"/>
    <w:rsid w:val="0F8B2F3A"/>
    <w:rsid w:val="0F8E2A2A"/>
    <w:rsid w:val="0F9067A2"/>
    <w:rsid w:val="0F96368D"/>
    <w:rsid w:val="0F9A112B"/>
    <w:rsid w:val="0F9A13CF"/>
    <w:rsid w:val="0F9C5147"/>
    <w:rsid w:val="0FA70C06"/>
    <w:rsid w:val="0FA7589A"/>
    <w:rsid w:val="0FA77648"/>
    <w:rsid w:val="0FAB0EE6"/>
    <w:rsid w:val="0FAE4E7B"/>
    <w:rsid w:val="0FB75ADD"/>
    <w:rsid w:val="0FBC7598"/>
    <w:rsid w:val="0FBD0C1A"/>
    <w:rsid w:val="0FD541B5"/>
    <w:rsid w:val="0FD83CA6"/>
    <w:rsid w:val="0FDF5034"/>
    <w:rsid w:val="0FDF6DE2"/>
    <w:rsid w:val="0FE4089C"/>
    <w:rsid w:val="0FFC26F5"/>
    <w:rsid w:val="100B7BD7"/>
    <w:rsid w:val="100E76C7"/>
    <w:rsid w:val="10101691"/>
    <w:rsid w:val="101271B8"/>
    <w:rsid w:val="101D790A"/>
    <w:rsid w:val="10202503"/>
    <w:rsid w:val="10334D98"/>
    <w:rsid w:val="10354C54"/>
    <w:rsid w:val="10376C54"/>
    <w:rsid w:val="103A226A"/>
    <w:rsid w:val="103C2A1E"/>
    <w:rsid w:val="10466BEC"/>
    <w:rsid w:val="104A6951"/>
    <w:rsid w:val="10515849"/>
    <w:rsid w:val="10667503"/>
    <w:rsid w:val="1068327B"/>
    <w:rsid w:val="106D2F64"/>
    <w:rsid w:val="107403C3"/>
    <w:rsid w:val="10801F37"/>
    <w:rsid w:val="108C51BC"/>
    <w:rsid w:val="1090632E"/>
    <w:rsid w:val="109202F8"/>
    <w:rsid w:val="10A342B4"/>
    <w:rsid w:val="10B228B1"/>
    <w:rsid w:val="10B63710"/>
    <w:rsid w:val="10B93DC2"/>
    <w:rsid w:val="10BC7123"/>
    <w:rsid w:val="10C6786D"/>
    <w:rsid w:val="10CA6968"/>
    <w:rsid w:val="10CB491B"/>
    <w:rsid w:val="10CF50A9"/>
    <w:rsid w:val="10D75D0B"/>
    <w:rsid w:val="10DF7048"/>
    <w:rsid w:val="10EF74F9"/>
    <w:rsid w:val="10F10820"/>
    <w:rsid w:val="10F7015B"/>
    <w:rsid w:val="10FD2C87"/>
    <w:rsid w:val="110201C7"/>
    <w:rsid w:val="11036B00"/>
    <w:rsid w:val="111C2F7A"/>
    <w:rsid w:val="111D54CE"/>
    <w:rsid w:val="111D5683"/>
    <w:rsid w:val="111F7DDE"/>
    <w:rsid w:val="112278CE"/>
    <w:rsid w:val="11275EF3"/>
    <w:rsid w:val="11291340"/>
    <w:rsid w:val="11292A0B"/>
    <w:rsid w:val="113118BF"/>
    <w:rsid w:val="113E3FDC"/>
    <w:rsid w:val="11477335"/>
    <w:rsid w:val="11511F61"/>
    <w:rsid w:val="11571DD5"/>
    <w:rsid w:val="11665CA1"/>
    <w:rsid w:val="11673533"/>
    <w:rsid w:val="117874EE"/>
    <w:rsid w:val="117D4B05"/>
    <w:rsid w:val="117F6ACF"/>
    <w:rsid w:val="118539B9"/>
    <w:rsid w:val="118902B7"/>
    <w:rsid w:val="118B5473"/>
    <w:rsid w:val="118F79C1"/>
    <w:rsid w:val="11987B90"/>
    <w:rsid w:val="119D6F55"/>
    <w:rsid w:val="11A35C6C"/>
    <w:rsid w:val="11A402E3"/>
    <w:rsid w:val="11AC0F46"/>
    <w:rsid w:val="11AE4CBE"/>
    <w:rsid w:val="11BD3403"/>
    <w:rsid w:val="11C20769"/>
    <w:rsid w:val="11C24C0D"/>
    <w:rsid w:val="11C52008"/>
    <w:rsid w:val="11C95F9C"/>
    <w:rsid w:val="11CE5360"/>
    <w:rsid w:val="11D24E50"/>
    <w:rsid w:val="11D861DF"/>
    <w:rsid w:val="11DD1A47"/>
    <w:rsid w:val="11DD55A3"/>
    <w:rsid w:val="11E626AA"/>
    <w:rsid w:val="11FD17D8"/>
    <w:rsid w:val="120018E5"/>
    <w:rsid w:val="120314AE"/>
    <w:rsid w:val="12046FD4"/>
    <w:rsid w:val="1206710F"/>
    <w:rsid w:val="120B0362"/>
    <w:rsid w:val="120E7E53"/>
    <w:rsid w:val="121216F1"/>
    <w:rsid w:val="12130FC5"/>
    <w:rsid w:val="121675E9"/>
    <w:rsid w:val="12211934"/>
    <w:rsid w:val="122338FE"/>
    <w:rsid w:val="12386C7D"/>
    <w:rsid w:val="12421888"/>
    <w:rsid w:val="124318AA"/>
    <w:rsid w:val="124D2729"/>
    <w:rsid w:val="125127C9"/>
    <w:rsid w:val="12575356"/>
    <w:rsid w:val="125D0492"/>
    <w:rsid w:val="125E028E"/>
    <w:rsid w:val="126D2DCB"/>
    <w:rsid w:val="126F6B43"/>
    <w:rsid w:val="127759F8"/>
    <w:rsid w:val="12795FF5"/>
    <w:rsid w:val="127A7296"/>
    <w:rsid w:val="127B54E8"/>
    <w:rsid w:val="127E6D86"/>
    <w:rsid w:val="12851EC3"/>
    <w:rsid w:val="12887C05"/>
    <w:rsid w:val="12891287"/>
    <w:rsid w:val="128D521B"/>
    <w:rsid w:val="128F2294"/>
    <w:rsid w:val="12922832"/>
    <w:rsid w:val="12A762DD"/>
    <w:rsid w:val="12AA36D7"/>
    <w:rsid w:val="12BC165D"/>
    <w:rsid w:val="12BC78AF"/>
    <w:rsid w:val="12BF0692"/>
    <w:rsid w:val="12C64289"/>
    <w:rsid w:val="12C7072D"/>
    <w:rsid w:val="12CD386A"/>
    <w:rsid w:val="12D469A6"/>
    <w:rsid w:val="12D70244"/>
    <w:rsid w:val="12E84200"/>
    <w:rsid w:val="12F42BA4"/>
    <w:rsid w:val="12F72695"/>
    <w:rsid w:val="130A0DEE"/>
    <w:rsid w:val="130A23C8"/>
    <w:rsid w:val="131B5AA1"/>
    <w:rsid w:val="13290955"/>
    <w:rsid w:val="1329181A"/>
    <w:rsid w:val="1336140F"/>
    <w:rsid w:val="133D279D"/>
    <w:rsid w:val="13405DEA"/>
    <w:rsid w:val="13445B41"/>
    <w:rsid w:val="13456A27"/>
    <w:rsid w:val="13474641"/>
    <w:rsid w:val="135B70C7"/>
    <w:rsid w:val="136328C9"/>
    <w:rsid w:val="13653AA2"/>
    <w:rsid w:val="136E4A07"/>
    <w:rsid w:val="136F66CF"/>
    <w:rsid w:val="137D703E"/>
    <w:rsid w:val="13806B2E"/>
    <w:rsid w:val="138F0A28"/>
    <w:rsid w:val="13934F99"/>
    <w:rsid w:val="13951726"/>
    <w:rsid w:val="139879D4"/>
    <w:rsid w:val="139F2458"/>
    <w:rsid w:val="13A42943"/>
    <w:rsid w:val="13A9398F"/>
    <w:rsid w:val="13AC7923"/>
    <w:rsid w:val="13B81E24"/>
    <w:rsid w:val="13BB7B66"/>
    <w:rsid w:val="13BC5DB8"/>
    <w:rsid w:val="13C24A51"/>
    <w:rsid w:val="13C54541"/>
    <w:rsid w:val="13C609E5"/>
    <w:rsid w:val="13C94031"/>
    <w:rsid w:val="13C95DDF"/>
    <w:rsid w:val="13CB4909"/>
    <w:rsid w:val="13D50C28"/>
    <w:rsid w:val="13FD017F"/>
    <w:rsid w:val="13FF7A53"/>
    <w:rsid w:val="14011A1D"/>
    <w:rsid w:val="140D5BF4"/>
    <w:rsid w:val="141072A3"/>
    <w:rsid w:val="1415319D"/>
    <w:rsid w:val="1417098D"/>
    <w:rsid w:val="14171F90"/>
    <w:rsid w:val="14196F70"/>
    <w:rsid w:val="141E2FFD"/>
    <w:rsid w:val="142314B2"/>
    <w:rsid w:val="143174A5"/>
    <w:rsid w:val="14396509"/>
    <w:rsid w:val="144025BE"/>
    <w:rsid w:val="14496F20"/>
    <w:rsid w:val="14656909"/>
    <w:rsid w:val="146B6E96"/>
    <w:rsid w:val="148B7538"/>
    <w:rsid w:val="148D1503"/>
    <w:rsid w:val="14A359F5"/>
    <w:rsid w:val="14A5684C"/>
    <w:rsid w:val="14AD74AF"/>
    <w:rsid w:val="14AE3227"/>
    <w:rsid w:val="14BA7E1E"/>
    <w:rsid w:val="14BE790E"/>
    <w:rsid w:val="14C52A4A"/>
    <w:rsid w:val="14C64A14"/>
    <w:rsid w:val="14D47131"/>
    <w:rsid w:val="14D7452C"/>
    <w:rsid w:val="14D94748"/>
    <w:rsid w:val="14DD2C3C"/>
    <w:rsid w:val="14E04CE6"/>
    <w:rsid w:val="14E54E9B"/>
    <w:rsid w:val="14F43330"/>
    <w:rsid w:val="14F55ABF"/>
    <w:rsid w:val="14F74BCE"/>
    <w:rsid w:val="14F7697C"/>
    <w:rsid w:val="14F926F4"/>
    <w:rsid w:val="14FB646C"/>
    <w:rsid w:val="14FC3F92"/>
    <w:rsid w:val="14FE41AE"/>
    <w:rsid w:val="150572EB"/>
    <w:rsid w:val="15095C93"/>
    <w:rsid w:val="150A66AF"/>
    <w:rsid w:val="150D2643"/>
    <w:rsid w:val="150E6556"/>
    <w:rsid w:val="151412DC"/>
    <w:rsid w:val="152E4A94"/>
    <w:rsid w:val="15415E49"/>
    <w:rsid w:val="15455939"/>
    <w:rsid w:val="154A11A2"/>
    <w:rsid w:val="15510782"/>
    <w:rsid w:val="15511CF9"/>
    <w:rsid w:val="15557480"/>
    <w:rsid w:val="155618F4"/>
    <w:rsid w:val="15597637"/>
    <w:rsid w:val="15724254"/>
    <w:rsid w:val="15791F29"/>
    <w:rsid w:val="1583172A"/>
    <w:rsid w:val="158A5A42"/>
    <w:rsid w:val="158B2D0B"/>
    <w:rsid w:val="15910B7E"/>
    <w:rsid w:val="15973CBB"/>
    <w:rsid w:val="15A703A2"/>
    <w:rsid w:val="15AF7257"/>
    <w:rsid w:val="15B036FB"/>
    <w:rsid w:val="15B900D5"/>
    <w:rsid w:val="15C50828"/>
    <w:rsid w:val="15D62A35"/>
    <w:rsid w:val="15EC4007"/>
    <w:rsid w:val="15F630D7"/>
    <w:rsid w:val="15FF1F8C"/>
    <w:rsid w:val="1602382A"/>
    <w:rsid w:val="16087E1D"/>
    <w:rsid w:val="16165379"/>
    <w:rsid w:val="161D0664"/>
    <w:rsid w:val="162C3563"/>
    <w:rsid w:val="16322361"/>
    <w:rsid w:val="16473933"/>
    <w:rsid w:val="16500D9C"/>
    <w:rsid w:val="16517403"/>
    <w:rsid w:val="1656490E"/>
    <w:rsid w:val="166E657F"/>
    <w:rsid w:val="166F5EEF"/>
    <w:rsid w:val="167069E6"/>
    <w:rsid w:val="16720656"/>
    <w:rsid w:val="16775FC6"/>
    <w:rsid w:val="16870D8E"/>
    <w:rsid w:val="168D57EA"/>
    <w:rsid w:val="16976668"/>
    <w:rsid w:val="169F551D"/>
    <w:rsid w:val="16A36BD1"/>
    <w:rsid w:val="16A448E1"/>
    <w:rsid w:val="16A91EF8"/>
    <w:rsid w:val="16A938D8"/>
    <w:rsid w:val="16AB5C70"/>
    <w:rsid w:val="16B74615"/>
    <w:rsid w:val="16B965DF"/>
    <w:rsid w:val="16C15493"/>
    <w:rsid w:val="16C656A3"/>
    <w:rsid w:val="16CB6312"/>
    <w:rsid w:val="16CD208A"/>
    <w:rsid w:val="16F07B27"/>
    <w:rsid w:val="16FE3FF2"/>
    <w:rsid w:val="17035AAC"/>
    <w:rsid w:val="170535D2"/>
    <w:rsid w:val="1706734A"/>
    <w:rsid w:val="170910AB"/>
    <w:rsid w:val="170F26A3"/>
    <w:rsid w:val="17114EC1"/>
    <w:rsid w:val="17233A58"/>
    <w:rsid w:val="17237EFC"/>
    <w:rsid w:val="17287BD2"/>
    <w:rsid w:val="1735378C"/>
    <w:rsid w:val="173B5246"/>
    <w:rsid w:val="173F5039"/>
    <w:rsid w:val="174F6F43"/>
    <w:rsid w:val="17701D14"/>
    <w:rsid w:val="17735226"/>
    <w:rsid w:val="17846A61"/>
    <w:rsid w:val="17850B18"/>
    <w:rsid w:val="179078A2"/>
    <w:rsid w:val="1791130A"/>
    <w:rsid w:val="179324B8"/>
    <w:rsid w:val="17942BA8"/>
    <w:rsid w:val="17944956"/>
    <w:rsid w:val="17946704"/>
    <w:rsid w:val="17991F6C"/>
    <w:rsid w:val="179B7A92"/>
    <w:rsid w:val="17A70B2D"/>
    <w:rsid w:val="17A74C5B"/>
    <w:rsid w:val="17B2302E"/>
    <w:rsid w:val="17BA0860"/>
    <w:rsid w:val="17BD5C5B"/>
    <w:rsid w:val="17C4413B"/>
    <w:rsid w:val="17C50FB3"/>
    <w:rsid w:val="17CE7E68"/>
    <w:rsid w:val="17E01949"/>
    <w:rsid w:val="17EA64CC"/>
    <w:rsid w:val="17EC53FD"/>
    <w:rsid w:val="17FB2C27"/>
    <w:rsid w:val="17FD24FB"/>
    <w:rsid w:val="18003D99"/>
    <w:rsid w:val="18027B12"/>
    <w:rsid w:val="18055854"/>
    <w:rsid w:val="180A2E6A"/>
    <w:rsid w:val="180B0D3F"/>
    <w:rsid w:val="180C6BE2"/>
    <w:rsid w:val="18194E5B"/>
    <w:rsid w:val="181D0DEF"/>
    <w:rsid w:val="182201B4"/>
    <w:rsid w:val="18253800"/>
    <w:rsid w:val="1833416F"/>
    <w:rsid w:val="18352917"/>
    <w:rsid w:val="183F0D66"/>
    <w:rsid w:val="18422604"/>
    <w:rsid w:val="1845308C"/>
    <w:rsid w:val="18491916"/>
    <w:rsid w:val="184B770B"/>
    <w:rsid w:val="184E0FA9"/>
    <w:rsid w:val="18581E27"/>
    <w:rsid w:val="18584BBB"/>
    <w:rsid w:val="185A16FC"/>
    <w:rsid w:val="1864257A"/>
    <w:rsid w:val="186E33F9"/>
    <w:rsid w:val="18786026"/>
    <w:rsid w:val="187C3D68"/>
    <w:rsid w:val="187C5B16"/>
    <w:rsid w:val="187C78C4"/>
    <w:rsid w:val="18950986"/>
    <w:rsid w:val="189664AC"/>
    <w:rsid w:val="18972950"/>
    <w:rsid w:val="189F624C"/>
    <w:rsid w:val="18A84B5D"/>
    <w:rsid w:val="18AB63FB"/>
    <w:rsid w:val="18B21538"/>
    <w:rsid w:val="18B232E6"/>
    <w:rsid w:val="18B4270C"/>
    <w:rsid w:val="18B52DD6"/>
    <w:rsid w:val="18BF3C55"/>
    <w:rsid w:val="18C474BD"/>
    <w:rsid w:val="18D314AE"/>
    <w:rsid w:val="18D3325C"/>
    <w:rsid w:val="18DC4807"/>
    <w:rsid w:val="18DD40DB"/>
    <w:rsid w:val="18E11E1D"/>
    <w:rsid w:val="18E67433"/>
    <w:rsid w:val="18EE62E8"/>
    <w:rsid w:val="18F25DD8"/>
    <w:rsid w:val="18F77894"/>
    <w:rsid w:val="18F97167"/>
    <w:rsid w:val="18FA517D"/>
    <w:rsid w:val="19047267"/>
    <w:rsid w:val="19061883"/>
    <w:rsid w:val="19073E7B"/>
    <w:rsid w:val="19113232"/>
    <w:rsid w:val="19197809"/>
    <w:rsid w:val="192C753C"/>
    <w:rsid w:val="193261D5"/>
    <w:rsid w:val="19341F4D"/>
    <w:rsid w:val="19393A07"/>
    <w:rsid w:val="193A152D"/>
    <w:rsid w:val="19436634"/>
    <w:rsid w:val="194523AC"/>
    <w:rsid w:val="19566367"/>
    <w:rsid w:val="19603551"/>
    <w:rsid w:val="196071E6"/>
    <w:rsid w:val="197131A1"/>
    <w:rsid w:val="197B5DCD"/>
    <w:rsid w:val="198527A8"/>
    <w:rsid w:val="19924EC5"/>
    <w:rsid w:val="1998697F"/>
    <w:rsid w:val="199B6470"/>
    <w:rsid w:val="19A05834"/>
    <w:rsid w:val="19A54BF8"/>
    <w:rsid w:val="19AF1F1B"/>
    <w:rsid w:val="19AF5A77"/>
    <w:rsid w:val="19B0028B"/>
    <w:rsid w:val="19B14838"/>
    <w:rsid w:val="19B25567"/>
    <w:rsid w:val="19CA28B1"/>
    <w:rsid w:val="19CE23A1"/>
    <w:rsid w:val="19D96F98"/>
    <w:rsid w:val="19E35721"/>
    <w:rsid w:val="19FE07AD"/>
    <w:rsid w:val="1A002777"/>
    <w:rsid w:val="1A004525"/>
    <w:rsid w:val="1A0C310C"/>
    <w:rsid w:val="1A136006"/>
    <w:rsid w:val="1A18407F"/>
    <w:rsid w:val="1A187AC0"/>
    <w:rsid w:val="1A1A3838"/>
    <w:rsid w:val="1A1C66C0"/>
    <w:rsid w:val="1A2D7345"/>
    <w:rsid w:val="1A364C38"/>
    <w:rsid w:val="1A393593"/>
    <w:rsid w:val="1A3D7527"/>
    <w:rsid w:val="1A3F504D"/>
    <w:rsid w:val="1A42393B"/>
    <w:rsid w:val="1A4A39F2"/>
    <w:rsid w:val="1A5D3725"/>
    <w:rsid w:val="1A606D71"/>
    <w:rsid w:val="1A620D3B"/>
    <w:rsid w:val="1A6B57F9"/>
    <w:rsid w:val="1A7C004F"/>
    <w:rsid w:val="1A823DD7"/>
    <w:rsid w:val="1A9D0E28"/>
    <w:rsid w:val="1AAD45DE"/>
    <w:rsid w:val="1AAE3F81"/>
    <w:rsid w:val="1AB175CD"/>
    <w:rsid w:val="1AB377E9"/>
    <w:rsid w:val="1AB5530F"/>
    <w:rsid w:val="1ABF31AA"/>
    <w:rsid w:val="1AC47300"/>
    <w:rsid w:val="1ACB4B33"/>
    <w:rsid w:val="1AD42D15"/>
    <w:rsid w:val="1AD8044B"/>
    <w:rsid w:val="1AEA644E"/>
    <w:rsid w:val="1AED2CFB"/>
    <w:rsid w:val="1AF2536A"/>
    <w:rsid w:val="1AF50D1F"/>
    <w:rsid w:val="1AFC1190"/>
    <w:rsid w:val="1B010554"/>
    <w:rsid w:val="1B040045"/>
    <w:rsid w:val="1B046F80"/>
    <w:rsid w:val="1B097409"/>
    <w:rsid w:val="1B0D0CA7"/>
    <w:rsid w:val="1B0E2C71"/>
    <w:rsid w:val="1B1E1106"/>
    <w:rsid w:val="1B2B3823"/>
    <w:rsid w:val="1B2D40CD"/>
    <w:rsid w:val="1B3267B5"/>
    <w:rsid w:val="1B40161D"/>
    <w:rsid w:val="1B441859"/>
    <w:rsid w:val="1B5508A0"/>
    <w:rsid w:val="1B60171F"/>
    <w:rsid w:val="1B6606B1"/>
    <w:rsid w:val="1B6F1962"/>
    <w:rsid w:val="1B721452"/>
    <w:rsid w:val="1B7A3E63"/>
    <w:rsid w:val="1B803B6F"/>
    <w:rsid w:val="1B811695"/>
    <w:rsid w:val="1B917B2A"/>
    <w:rsid w:val="1B9969DF"/>
    <w:rsid w:val="1B9E2247"/>
    <w:rsid w:val="1BBE01F3"/>
    <w:rsid w:val="1BC21E1B"/>
    <w:rsid w:val="1BC27E9A"/>
    <w:rsid w:val="1BC752FA"/>
    <w:rsid w:val="1BD60EF4"/>
    <w:rsid w:val="1BDB0DA5"/>
    <w:rsid w:val="1BE063BC"/>
    <w:rsid w:val="1BEA0FE8"/>
    <w:rsid w:val="1BED0AD9"/>
    <w:rsid w:val="1BF27E9D"/>
    <w:rsid w:val="1BF73705"/>
    <w:rsid w:val="1BF925E9"/>
    <w:rsid w:val="1C02002B"/>
    <w:rsid w:val="1C042150"/>
    <w:rsid w:val="1C0A51E7"/>
    <w:rsid w:val="1C0B3112"/>
    <w:rsid w:val="1C0C42F6"/>
    <w:rsid w:val="1C146536"/>
    <w:rsid w:val="1C1D13BE"/>
    <w:rsid w:val="1C2A3ADB"/>
    <w:rsid w:val="1C3404B6"/>
    <w:rsid w:val="1C365FDC"/>
    <w:rsid w:val="1C387FA6"/>
    <w:rsid w:val="1C3B5CE8"/>
    <w:rsid w:val="1C3D55BC"/>
    <w:rsid w:val="1C441E18"/>
    <w:rsid w:val="1C44694B"/>
    <w:rsid w:val="1C47643B"/>
    <w:rsid w:val="1C4A1A87"/>
    <w:rsid w:val="1C4F16D7"/>
    <w:rsid w:val="1C4F57A1"/>
    <w:rsid w:val="1C5172BA"/>
    <w:rsid w:val="1C550B58"/>
    <w:rsid w:val="1C56667E"/>
    <w:rsid w:val="1C567043"/>
    <w:rsid w:val="1C5E7925"/>
    <w:rsid w:val="1C5F3784"/>
    <w:rsid w:val="1C6568C1"/>
    <w:rsid w:val="1C672639"/>
    <w:rsid w:val="1C69015F"/>
    <w:rsid w:val="1C71170A"/>
    <w:rsid w:val="1C7B2AD9"/>
    <w:rsid w:val="1C8036FB"/>
    <w:rsid w:val="1C843F95"/>
    <w:rsid w:val="1C844F99"/>
    <w:rsid w:val="1C901B90"/>
    <w:rsid w:val="1C961170"/>
    <w:rsid w:val="1C982CF4"/>
    <w:rsid w:val="1C9B22E3"/>
    <w:rsid w:val="1CA4563B"/>
    <w:rsid w:val="1CB25FAA"/>
    <w:rsid w:val="1CB957A5"/>
    <w:rsid w:val="1CBE55B6"/>
    <w:rsid w:val="1CC25AC1"/>
    <w:rsid w:val="1CC950A2"/>
    <w:rsid w:val="1CD1476C"/>
    <w:rsid w:val="1CD557F5"/>
    <w:rsid w:val="1CD75A11"/>
    <w:rsid w:val="1CD87093"/>
    <w:rsid w:val="1CDA2E0B"/>
    <w:rsid w:val="1CE14B63"/>
    <w:rsid w:val="1CEC2B3E"/>
    <w:rsid w:val="1CF07340"/>
    <w:rsid w:val="1CF739BD"/>
    <w:rsid w:val="1CFD070F"/>
    <w:rsid w:val="1D007C09"/>
    <w:rsid w:val="1D0165EA"/>
    <w:rsid w:val="1D022362"/>
    <w:rsid w:val="1D091942"/>
    <w:rsid w:val="1D0A15F8"/>
    <w:rsid w:val="1D156539"/>
    <w:rsid w:val="1D1A76AB"/>
    <w:rsid w:val="1D1B6096"/>
    <w:rsid w:val="1D273C6E"/>
    <w:rsid w:val="1D41732E"/>
    <w:rsid w:val="1D466790"/>
    <w:rsid w:val="1D466842"/>
    <w:rsid w:val="1D4E55A7"/>
    <w:rsid w:val="1D5020A4"/>
    <w:rsid w:val="1D512C92"/>
    <w:rsid w:val="1D5D0701"/>
    <w:rsid w:val="1D5D57EA"/>
    <w:rsid w:val="1D5F6196"/>
    <w:rsid w:val="1D6132A5"/>
    <w:rsid w:val="1D70551D"/>
    <w:rsid w:val="1D835251"/>
    <w:rsid w:val="1D8E329C"/>
    <w:rsid w:val="1D8E56D5"/>
    <w:rsid w:val="1DA022A7"/>
    <w:rsid w:val="1DA653E3"/>
    <w:rsid w:val="1DA67191"/>
    <w:rsid w:val="1DBE097F"/>
    <w:rsid w:val="1DC35F95"/>
    <w:rsid w:val="1DCF66E8"/>
    <w:rsid w:val="1DD51824"/>
    <w:rsid w:val="1DDA43AF"/>
    <w:rsid w:val="1DDC0E05"/>
    <w:rsid w:val="1DE657E0"/>
    <w:rsid w:val="1DEA3522"/>
    <w:rsid w:val="1DEB17B9"/>
    <w:rsid w:val="1E002D45"/>
    <w:rsid w:val="1E004DC9"/>
    <w:rsid w:val="1E195BB5"/>
    <w:rsid w:val="1E200CF1"/>
    <w:rsid w:val="1E2433C8"/>
    <w:rsid w:val="1E2A7DC2"/>
    <w:rsid w:val="1E2F3DE6"/>
    <w:rsid w:val="1E360515"/>
    <w:rsid w:val="1E3649B9"/>
    <w:rsid w:val="1E3824DF"/>
    <w:rsid w:val="1E42335E"/>
    <w:rsid w:val="1E462178"/>
    <w:rsid w:val="1E4A0464"/>
    <w:rsid w:val="1E4A5D6E"/>
    <w:rsid w:val="1E4C1AE7"/>
    <w:rsid w:val="1E4F15D7"/>
    <w:rsid w:val="1E544E3F"/>
    <w:rsid w:val="1E5D1F46"/>
    <w:rsid w:val="1E6037E4"/>
    <w:rsid w:val="1E630EC1"/>
    <w:rsid w:val="1E641526"/>
    <w:rsid w:val="1E650DFA"/>
    <w:rsid w:val="1E6A3634"/>
    <w:rsid w:val="1E731769"/>
    <w:rsid w:val="1E7352C5"/>
    <w:rsid w:val="1E7554E1"/>
    <w:rsid w:val="1E7948A6"/>
    <w:rsid w:val="1E7A43DA"/>
    <w:rsid w:val="1E7B23CC"/>
    <w:rsid w:val="1E7C05D3"/>
    <w:rsid w:val="1E7E1EBC"/>
    <w:rsid w:val="1E8C6387"/>
    <w:rsid w:val="1E8F5E77"/>
    <w:rsid w:val="1E956032"/>
    <w:rsid w:val="1EA77665"/>
    <w:rsid w:val="1EAC4C7B"/>
    <w:rsid w:val="1EAE27A1"/>
    <w:rsid w:val="1EBE5F57"/>
    <w:rsid w:val="1ECF44C6"/>
    <w:rsid w:val="1ED146E2"/>
    <w:rsid w:val="1ED32208"/>
    <w:rsid w:val="1EDA1028"/>
    <w:rsid w:val="1EE537BF"/>
    <w:rsid w:val="1EF02DBA"/>
    <w:rsid w:val="1EF26B32"/>
    <w:rsid w:val="1EFC30B8"/>
    <w:rsid w:val="1F0A567B"/>
    <w:rsid w:val="1F140503"/>
    <w:rsid w:val="1F291E28"/>
    <w:rsid w:val="1F2B5BA0"/>
    <w:rsid w:val="1F2D2F0F"/>
    <w:rsid w:val="1F2E5690"/>
    <w:rsid w:val="1F336601"/>
    <w:rsid w:val="1F38206B"/>
    <w:rsid w:val="1F397990"/>
    <w:rsid w:val="1F3E1D77"/>
    <w:rsid w:val="1F433613"/>
    <w:rsid w:val="1F4B7FF0"/>
    <w:rsid w:val="1F5C21FD"/>
    <w:rsid w:val="1F5F658A"/>
    <w:rsid w:val="1F62533A"/>
    <w:rsid w:val="1F6D7F66"/>
    <w:rsid w:val="1F703EFB"/>
    <w:rsid w:val="1F7312F5"/>
    <w:rsid w:val="1F75506D"/>
    <w:rsid w:val="1F7B6C8B"/>
    <w:rsid w:val="1F7C1719"/>
    <w:rsid w:val="1F7D0CD8"/>
    <w:rsid w:val="1F7E1A5B"/>
    <w:rsid w:val="1F861028"/>
    <w:rsid w:val="1F8D1B11"/>
    <w:rsid w:val="1F933745"/>
    <w:rsid w:val="1F952153"/>
    <w:rsid w:val="1F996FAD"/>
    <w:rsid w:val="1F9A5771"/>
    <w:rsid w:val="1FA228EE"/>
    <w:rsid w:val="1FA92F69"/>
    <w:rsid w:val="1FA962FC"/>
    <w:rsid w:val="1FB43DE7"/>
    <w:rsid w:val="1FBB33C8"/>
    <w:rsid w:val="1FBD7A77"/>
    <w:rsid w:val="1FBE3D00"/>
    <w:rsid w:val="1FC3227C"/>
    <w:rsid w:val="1FC52B18"/>
    <w:rsid w:val="1FC55FF4"/>
    <w:rsid w:val="1FC81641"/>
    <w:rsid w:val="1FD60202"/>
    <w:rsid w:val="1FD71884"/>
    <w:rsid w:val="1FDE50B6"/>
    <w:rsid w:val="1FE7539E"/>
    <w:rsid w:val="1FFB1A16"/>
    <w:rsid w:val="1FFC12EA"/>
    <w:rsid w:val="1FFD6E47"/>
    <w:rsid w:val="1FFE5062"/>
    <w:rsid w:val="200308CB"/>
    <w:rsid w:val="20041C8A"/>
    <w:rsid w:val="2007060B"/>
    <w:rsid w:val="20176124"/>
    <w:rsid w:val="20256A93"/>
    <w:rsid w:val="20270A5D"/>
    <w:rsid w:val="202B07D6"/>
    <w:rsid w:val="202F7912"/>
    <w:rsid w:val="204333BD"/>
    <w:rsid w:val="20484530"/>
    <w:rsid w:val="204A79B6"/>
    <w:rsid w:val="20515ADA"/>
    <w:rsid w:val="20517888"/>
    <w:rsid w:val="206375BB"/>
    <w:rsid w:val="20671BE0"/>
    <w:rsid w:val="206F41B2"/>
    <w:rsid w:val="20784E15"/>
    <w:rsid w:val="208539D6"/>
    <w:rsid w:val="208F6602"/>
    <w:rsid w:val="20963CB8"/>
    <w:rsid w:val="20A420AE"/>
    <w:rsid w:val="20A81A1B"/>
    <w:rsid w:val="20AF0CAD"/>
    <w:rsid w:val="20B07FB6"/>
    <w:rsid w:val="20B3409F"/>
    <w:rsid w:val="20B61DE1"/>
    <w:rsid w:val="20B646FB"/>
    <w:rsid w:val="20B836E6"/>
    <w:rsid w:val="20B971DB"/>
    <w:rsid w:val="20C16E58"/>
    <w:rsid w:val="20C64A5C"/>
    <w:rsid w:val="20C80F25"/>
    <w:rsid w:val="20D52267"/>
    <w:rsid w:val="20E9477C"/>
    <w:rsid w:val="20EC135F"/>
    <w:rsid w:val="20EC2AC8"/>
    <w:rsid w:val="20F16975"/>
    <w:rsid w:val="20F44810"/>
    <w:rsid w:val="20F473E1"/>
    <w:rsid w:val="20F73191"/>
    <w:rsid w:val="20F841A8"/>
    <w:rsid w:val="20FA7F20"/>
    <w:rsid w:val="20FD356C"/>
    <w:rsid w:val="21050980"/>
    <w:rsid w:val="21052421"/>
    <w:rsid w:val="210668C5"/>
    <w:rsid w:val="211803A6"/>
    <w:rsid w:val="211E0A76"/>
    <w:rsid w:val="21240AF9"/>
    <w:rsid w:val="21254871"/>
    <w:rsid w:val="212705E9"/>
    <w:rsid w:val="21274A8D"/>
    <w:rsid w:val="212C3E51"/>
    <w:rsid w:val="213827F6"/>
    <w:rsid w:val="213A0410"/>
    <w:rsid w:val="213B4094"/>
    <w:rsid w:val="213B74B1"/>
    <w:rsid w:val="215A2310"/>
    <w:rsid w:val="215D04AF"/>
    <w:rsid w:val="21617F9F"/>
    <w:rsid w:val="21723F5A"/>
    <w:rsid w:val="217750CC"/>
    <w:rsid w:val="21894E00"/>
    <w:rsid w:val="219537A4"/>
    <w:rsid w:val="219F2D47"/>
    <w:rsid w:val="21A25EC1"/>
    <w:rsid w:val="21A6088D"/>
    <w:rsid w:val="21A67760"/>
    <w:rsid w:val="21B207FA"/>
    <w:rsid w:val="21B46321"/>
    <w:rsid w:val="21BF4CC5"/>
    <w:rsid w:val="21C66054"/>
    <w:rsid w:val="21D00C81"/>
    <w:rsid w:val="21D10A66"/>
    <w:rsid w:val="21D40771"/>
    <w:rsid w:val="21D92AFA"/>
    <w:rsid w:val="21DC13D3"/>
    <w:rsid w:val="21DC37D4"/>
    <w:rsid w:val="21DD0233"/>
    <w:rsid w:val="21DE318A"/>
    <w:rsid w:val="21DF308D"/>
    <w:rsid w:val="21EF55AB"/>
    <w:rsid w:val="21EF5B80"/>
    <w:rsid w:val="21FC3824"/>
    <w:rsid w:val="220152DE"/>
    <w:rsid w:val="22034BB2"/>
    <w:rsid w:val="22105521"/>
    <w:rsid w:val="22121299"/>
    <w:rsid w:val="22140B6D"/>
    <w:rsid w:val="2217065D"/>
    <w:rsid w:val="22291D9A"/>
    <w:rsid w:val="223563ED"/>
    <w:rsid w:val="224775AB"/>
    <w:rsid w:val="22576990"/>
    <w:rsid w:val="22603DB2"/>
    <w:rsid w:val="22621A13"/>
    <w:rsid w:val="2265586D"/>
    <w:rsid w:val="22723AE6"/>
    <w:rsid w:val="227E692E"/>
    <w:rsid w:val="22833F45"/>
    <w:rsid w:val="22835CF3"/>
    <w:rsid w:val="22943A5C"/>
    <w:rsid w:val="22A04AF7"/>
    <w:rsid w:val="22A302D8"/>
    <w:rsid w:val="22A67210"/>
    <w:rsid w:val="22BE4F7D"/>
    <w:rsid w:val="22C146E6"/>
    <w:rsid w:val="22C3204C"/>
    <w:rsid w:val="22C67DA4"/>
    <w:rsid w:val="22D622C7"/>
    <w:rsid w:val="22D67BC1"/>
    <w:rsid w:val="22E21CC0"/>
    <w:rsid w:val="22E62E69"/>
    <w:rsid w:val="22E72F77"/>
    <w:rsid w:val="22E9024C"/>
    <w:rsid w:val="22F47480"/>
    <w:rsid w:val="22FF35CB"/>
    <w:rsid w:val="233D2346"/>
    <w:rsid w:val="23452FA8"/>
    <w:rsid w:val="23476D20"/>
    <w:rsid w:val="23566F63"/>
    <w:rsid w:val="235B27CC"/>
    <w:rsid w:val="23607810"/>
    <w:rsid w:val="23672234"/>
    <w:rsid w:val="23681B5E"/>
    <w:rsid w:val="236B2A0F"/>
    <w:rsid w:val="23720241"/>
    <w:rsid w:val="2378337E"/>
    <w:rsid w:val="23847F75"/>
    <w:rsid w:val="2385628C"/>
    <w:rsid w:val="239161EE"/>
    <w:rsid w:val="23923F53"/>
    <w:rsid w:val="23930F8A"/>
    <w:rsid w:val="2395779C"/>
    <w:rsid w:val="23973930"/>
    <w:rsid w:val="23A75A11"/>
    <w:rsid w:val="23AB3753"/>
    <w:rsid w:val="23AB72AF"/>
    <w:rsid w:val="23AC3027"/>
    <w:rsid w:val="23B02E69"/>
    <w:rsid w:val="23B06A72"/>
    <w:rsid w:val="23C40371"/>
    <w:rsid w:val="23DE1C48"/>
    <w:rsid w:val="23E66539"/>
    <w:rsid w:val="23F92711"/>
    <w:rsid w:val="23FB6C61"/>
    <w:rsid w:val="23FE1AD5"/>
    <w:rsid w:val="240210CD"/>
    <w:rsid w:val="24042E63"/>
    <w:rsid w:val="24066BDB"/>
    <w:rsid w:val="240D3B04"/>
    <w:rsid w:val="241035B6"/>
    <w:rsid w:val="2412732E"/>
    <w:rsid w:val="24135D3A"/>
    <w:rsid w:val="24150BCD"/>
    <w:rsid w:val="241D3F64"/>
    <w:rsid w:val="2426692F"/>
    <w:rsid w:val="2432352D"/>
    <w:rsid w:val="2446347C"/>
    <w:rsid w:val="244A4405"/>
    <w:rsid w:val="24594F5D"/>
    <w:rsid w:val="2460453E"/>
    <w:rsid w:val="2472601F"/>
    <w:rsid w:val="24741D97"/>
    <w:rsid w:val="247C0C4C"/>
    <w:rsid w:val="24833D88"/>
    <w:rsid w:val="24844E21"/>
    <w:rsid w:val="248875F1"/>
    <w:rsid w:val="248A0515"/>
    <w:rsid w:val="248C5333"/>
    <w:rsid w:val="248F6BD1"/>
    <w:rsid w:val="249D12EE"/>
    <w:rsid w:val="249F7694"/>
    <w:rsid w:val="24A438C3"/>
    <w:rsid w:val="24A7216D"/>
    <w:rsid w:val="24B2466D"/>
    <w:rsid w:val="24B8590D"/>
    <w:rsid w:val="24BF09F7"/>
    <w:rsid w:val="24C3687B"/>
    <w:rsid w:val="24C745BD"/>
    <w:rsid w:val="24C900C7"/>
    <w:rsid w:val="24CA7C09"/>
    <w:rsid w:val="24DB0068"/>
    <w:rsid w:val="24E173B3"/>
    <w:rsid w:val="24E57F07"/>
    <w:rsid w:val="24EF7670"/>
    <w:rsid w:val="24F44C86"/>
    <w:rsid w:val="24F9229C"/>
    <w:rsid w:val="24FD3B3B"/>
    <w:rsid w:val="25030CF8"/>
    <w:rsid w:val="250E3F9A"/>
    <w:rsid w:val="25115838"/>
    <w:rsid w:val="252D53FE"/>
    <w:rsid w:val="25382DC5"/>
    <w:rsid w:val="253908EB"/>
    <w:rsid w:val="254E7E78"/>
    <w:rsid w:val="255B20C2"/>
    <w:rsid w:val="255B5BEE"/>
    <w:rsid w:val="2561056D"/>
    <w:rsid w:val="25697422"/>
    <w:rsid w:val="257B7155"/>
    <w:rsid w:val="257D2ECD"/>
    <w:rsid w:val="25A246E2"/>
    <w:rsid w:val="25A91F14"/>
    <w:rsid w:val="25BA1A2C"/>
    <w:rsid w:val="25BC1C48"/>
    <w:rsid w:val="25C40AFC"/>
    <w:rsid w:val="25C47954"/>
    <w:rsid w:val="25CB59E7"/>
    <w:rsid w:val="25CE197B"/>
    <w:rsid w:val="25D36F91"/>
    <w:rsid w:val="25D4436C"/>
    <w:rsid w:val="25D809EA"/>
    <w:rsid w:val="25DC7BF4"/>
    <w:rsid w:val="25DD396C"/>
    <w:rsid w:val="25DD571A"/>
    <w:rsid w:val="25DF1492"/>
    <w:rsid w:val="25DF5936"/>
    <w:rsid w:val="25DF76E4"/>
    <w:rsid w:val="25E42F4C"/>
    <w:rsid w:val="25E92392"/>
    <w:rsid w:val="25EC2D81"/>
    <w:rsid w:val="25F0544D"/>
    <w:rsid w:val="260B04D9"/>
    <w:rsid w:val="261849A4"/>
    <w:rsid w:val="26296250"/>
    <w:rsid w:val="262B0B7B"/>
    <w:rsid w:val="262F241A"/>
    <w:rsid w:val="26325A66"/>
    <w:rsid w:val="2637336E"/>
    <w:rsid w:val="263A2B6C"/>
    <w:rsid w:val="26404627"/>
    <w:rsid w:val="26413EFB"/>
    <w:rsid w:val="264B2FCC"/>
    <w:rsid w:val="26571970"/>
    <w:rsid w:val="265D1C24"/>
    <w:rsid w:val="266B541C"/>
    <w:rsid w:val="266B5D96"/>
    <w:rsid w:val="267407E6"/>
    <w:rsid w:val="26795443"/>
    <w:rsid w:val="26804A23"/>
    <w:rsid w:val="2682299F"/>
    <w:rsid w:val="268362C1"/>
    <w:rsid w:val="26910F7A"/>
    <w:rsid w:val="26A05418"/>
    <w:rsid w:val="26A12BEB"/>
    <w:rsid w:val="26A36964"/>
    <w:rsid w:val="26A56238"/>
    <w:rsid w:val="26A84957"/>
    <w:rsid w:val="26B446CD"/>
    <w:rsid w:val="26B97F35"/>
    <w:rsid w:val="26C91161"/>
    <w:rsid w:val="26CD1C32"/>
    <w:rsid w:val="26DD1E76"/>
    <w:rsid w:val="26E23A9A"/>
    <w:rsid w:val="26E36D60"/>
    <w:rsid w:val="26EB3E67"/>
    <w:rsid w:val="26EC20B9"/>
    <w:rsid w:val="26F73072"/>
    <w:rsid w:val="26F772BA"/>
    <w:rsid w:val="26FD33DF"/>
    <w:rsid w:val="27037402"/>
    <w:rsid w:val="27042C3A"/>
    <w:rsid w:val="270513CC"/>
    <w:rsid w:val="27084A19"/>
    <w:rsid w:val="271B7282"/>
    <w:rsid w:val="271F7EBE"/>
    <w:rsid w:val="27207FB4"/>
    <w:rsid w:val="272A2BE1"/>
    <w:rsid w:val="272A2EE3"/>
    <w:rsid w:val="272F01F7"/>
    <w:rsid w:val="27343A60"/>
    <w:rsid w:val="27363334"/>
    <w:rsid w:val="273852FE"/>
    <w:rsid w:val="273B6B9C"/>
    <w:rsid w:val="27406B3E"/>
    <w:rsid w:val="274517C9"/>
    <w:rsid w:val="2745528E"/>
    <w:rsid w:val="27461DD9"/>
    <w:rsid w:val="275D2FB6"/>
    <w:rsid w:val="27682E33"/>
    <w:rsid w:val="276C3DCF"/>
    <w:rsid w:val="277057A2"/>
    <w:rsid w:val="277A5916"/>
    <w:rsid w:val="277E3A9E"/>
    <w:rsid w:val="27806CA5"/>
    <w:rsid w:val="27814EF7"/>
    <w:rsid w:val="27841B74"/>
    <w:rsid w:val="27910EB2"/>
    <w:rsid w:val="27A110F5"/>
    <w:rsid w:val="27AC7A9A"/>
    <w:rsid w:val="27B54BA0"/>
    <w:rsid w:val="27B64475"/>
    <w:rsid w:val="27BD5803"/>
    <w:rsid w:val="27C052F3"/>
    <w:rsid w:val="27C62699"/>
    <w:rsid w:val="27CE5C62"/>
    <w:rsid w:val="27DC1F8E"/>
    <w:rsid w:val="27E2757A"/>
    <w:rsid w:val="27F54F9D"/>
    <w:rsid w:val="27FD20A3"/>
    <w:rsid w:val="280D1C94"/>
    <w:rsid w:val="2835183D"/>
    <w:rsid w:val="283E5C7F"/>
    <w:rsid w:val="283F446A"/>
    <w:rsid w:val="28447CD2"/>
    <w:rsid w:val="2858552C"/>
    <w:rsid w:val="285919D0"/>
    <w:rsid w:val="286766E4"/>
    <w:rsid w:val="287C746C"/>
    <w:rsid w:val="288051AE"/>
    <w:rsid w:val="28846321"/>
    <w:rsid w:val="288650F5"/>
    <w:rsid w:val="288B76AF"/>
    <w:rsid w:val="289522DC"/>
    <w:rsid w:val="289E5635"/>
    <w:rsid w:val="28A10C81"/>
    <w:rsid w:val="28A30200"/>
    <w:rsid w:val="28A329A2"/>
    <w:rsid w:val="28A51D7B"/>
    <w:rsid w:val="28B22E8E"/>
    <w:rsid w:val="28B704A4"/>
    <w:rsid w:val="28B9246E"/>
    <w:rsid w:val="28BA61C1"/>
    <w:rsid w:val="28CA642A"/>
    <w:rsid w:val="28E026ED"/>
    <w:rsid w:val="28E31299"/>
    <w:rsid w:val="28E3573D"/>
    <w:rsid w:val="28EC3187"/>
    <w:rsid w:val="28F16720"/>
    <w:rsid w:val="29171A85"/>
    <w:rsid w:val="29197BC1"/>
    <w:rsid w:val="29206EB8"/>
    <w:rsid w:val="29220014"/>
    <w:rsid w:val="29233D8C"/>
    <w:rsid w:val="2927562A"/>
    <w:rsid w:val="292875F4"/>
    <w:rsid w:val="29325D7D"/>
    <w:rsid w:val="29534671"/>
    <w:rsid w:val="2954525D"/>
    <w:rsid w:val="295646A9"/>
    <w:rsid w:val="29595666"/>
    <w:rsid w:val="295D104C"/>
    <w:rsid w:val="29693E94"/>
    <w:rsid w:val="296C128F"/>
    <w:rsid w:val="296F5223"/>
    <w:rsid w:val="297D16EE"/>
    <w:rsid w:val="297F5EFD"/>
    <w:rsid w:val="29802F8C"/>
    <w:rsid w:val="29874881"/>
    <w:rsid w:val="298A7967"/>
    <w:rsid w:val="29934A6D"/>
    <w:rsid w:val="299B1B74"/>
    <w:rsid w:val="29A7676B"/>
    <w:rsid w:val="29A94291"/>
    <w:rsid w:val="29C235A5"/>
    <w:rsid w:val="29DB2EDB"/>
    <w:rsid w:val="29E325E0"/>
    <w:rsid w:val="29E654E5"/>
    <w:rsid w:val="29E67293"/>
    <w:rsid w:val="29E76B67"/>
    <w:rsid w:val="29E83790"/>
    <w:rsid w:val="29EE6148"/>
    <w:rsid w:val="2A0829CB"/>
    <w:rsid w:val="2A0E0598"/>
    <w:rsid w:val="2A1262DA"/>
    <w:rsid w:val="2A23246E"/>
    <w:rsid w:val="2A263B34"/>
    <w:rsid w:val="2A310260"/>
    <w:rsid w:val="2A337FFE"/>
    <w:rsid w:val="2A3A23C4"/>
    <w:rsid w:val="2A3A313B"/>
    <w:rsid w:val="2A452503"/>
    <w:rsid w:val="2A493800"/>
    <w:rsid w:val="2A5306A1"/>
    <w:rsid w:val="2A5341FD"/>
    <w:rsid w:val="2A5967CA"/>
    <w:rsid w:val="2A5F2BA2"/>
    <w:rsid w:val="2A61691A"/>
    <w:rsid w:val="2A6C52BE"/>
    <w:rsid w:val="2A7228D5"/>
    <w:rsid w:val="2A7C31BD"/>
    <w:rsid w:val="2A954815"/>
    <w:rsid w:val="2A9C3DF6"/>
    <w:rsid w:val="2AA44A58"/>
    <w:rsid w:val="2AAA6513"/>
    <w:rsid w:val="2AAE4EDE"/>
    <w:rsid w:val="2AAE58D7"/>
    <w:rsid w:val="2AAF1D7B"/>
    <w:rsid w:val="2AB253C7"/>
    <w:rsid w:val="2ABE34FC"/>
    <w:rsid w:val="2ABF7AE4"/>
    <w:rsid w:val="2AC62C21"/>
    <w:rsid w:val="2AC670C5"/>
    <w:rsid w:val="2AC96501"/>
    <w:rsid w:val="2AE80DE9"/>
    <w:rsid w:val="2AEA2DB3"/>
    <w:rsid w:val="2AEB2687"/>
    <w:rsid w:val="2AED0C22"/>
    <w:rsid w:val="2AFA28CA"/>
    <w:rsid w:val="2AFE685E"/>
    <w:rsid w:val="2B0A5203"/>
    <w:rsid w:val="2B0B4AD7"/>
    <w:rsid w:val="2B165956"/>
    <w:rsid w:val="2B1C0A93"/>
    <w:rsid w:val="2B1C6CE5"/>
    <w:rsid w:val="2B230073"/>
    <w:rsid w:val="2B2A31B0"/>
    <w:rsid w:val="2B3B53BD"/>
    <w:rsid w:val="2B4029D3"/>
    <w:rsid w:val="2B465B0F"/>
    <w:rsid w:val="2B4C0D09"/>
    <w:rsid w:val="2B4D4F30"/>
    <w:rsid w:val="2B593A95"/>
    <w:rsid w:val="2B5D3585"/>
    <w:rsid w:val="2B632B65"/>
    <w:rsid w:val="2B6C0025"/>
    <w:rsid w:val="2B6C75E4"/>
    <w:rsid w:val="2B710DDE"/>
    <w:rsid w:val="2B713B1D"/>
    <w:rsid w:val="2B7F799F"/>
    <w:rsid w:val="2B830B12"/>
    <w:rsid w:val="2B835C97"/>
    <w:rsid w:val="2B861A47"/>
    <w:rsid w:val="2B8A1EA0"/>
    <w:rsid w:val="2B967B5D"/>
    <w:rsid w:val="2B97636B"/>
    <w:rsid w:val="2B992390"/>
    <w:rsid w:val="2BA2543C"/>
    <w:rsid w:val="2BA936A8"/>
    <w:rsid w:val="2BAE2033"/>
    <w:rsid w:val="2BBA09D7"/>
    <w:rsid w:val="2BC27283"/>
    <w:rsid w:val="2BC41856"/>
    <w:rsid w:val="2BC76C50"/>
    <w:rsid w:val="2BCA6741"/>
    <w:rsid w:val="2BD22877"/>
    <w:rsid w:val="2BD71722"/>
    <w:rsid w:val="2BDA2E28"/>
    <w:rsid w:val="2BDD0222"/>
    <w:rsid w:val="2BE55328"/>
    <w:rsid w:val="2BE912BD"/>
    <w:rsid w:val="2BE94E19"/>
    <w:rsid w:val="2BEC66B7"/>
    <w:rsid w:val="2BF437BD"/>
    <w:rsid w:val="2BFA5278"/>
    <w:rsid w:val="2BFA7026"/>
    <w:rsid w:val="2C047EA4"/>
    <w:rsid w:val="2C1520B2"/>
    <w:rsid w:val="2C1B6F9C"/>
    <w:rsid w:val="2C22032B"/>
    <w:rsid w:val="2C267E1B"/>
    <w:rsid w:val="2C271DE5"/>
    <w:rsid w:val="2C2E6664"/>
    <w:rsid w:val="2C315A5A"/>
    <w:rsid w:val="2C3A45C1"/>
    <w:rsid w:val="2C3B0F6B"/>
    <w:rsid w:val="2C475FE3"/>
    <w:rsid w:val="2C4B1C25"/>
    <w:rsid w:val="2C506C46"/>
    <w:rsid w:val="2C5129BE"/>
    <w:rsid w:val="2C526E62"/>
    <w:rsid w:val="2C583D4C"/>
    <w:rsid w:val="2C5A5D16"/>
    <w:rsid w:val="2C6642C4"/>
    <w:rsid w:val="2C70553A"/>
    <w:rsid w:val="2C7A1F15"/>
    <w:rsid w:val="2C7A3CC3"/>
    <w:rsid w:val="2C844B41"/>
    <w:rsid w:val="2C8608B9"/>
    <w:rsid w:val="2C9F3729"/>
    <w:rsid w:val="2C9F7BCD"/>
    <w:rsid w:val="2CA075F2"/>
    <w:rsid w:val="2CAB47C4"/>
    <w:rsid w:val="2CAD5E46"/>
    <w:rsid w:val="2CB27900"/>
    <w:rsid w:val="2CBA4A07"/>
    <w:rsid w:val="2CBA67B5"/>
    <w:rsid w:val="2CBE44F7"/>
    <w:rsid w:val="2CC31B0E"/>
    <w:rsid w:val="2CCC0EC6"/>
    <w:rsid w:val="2CCE2260"/>
    <w:rsid w:val="2CD23AFF"/>
    <w:rsid w:val="2CDD4252"/>
    <w:rsid w:val="2CDF7FCA"/>
    <w:rsid w:val="2CE33F5E"/>
    <w:rsid w:val="2CE7356C"/>
    <w:rsid w:val="2CED6B8B"/>
    <w:rsid w:val="2CFF241A"/>
    <w:rsid w:val="2D0E6608"/>
    <w:rsid w:val="2D1063D5"/>
    <w:rsid w:val="2D144117"/>
    <w:rsid w:val="2D23435A"/>
    <w:rsid w:val="2D2D6F87"/>
    <w:rsid w:val="2D340315"/>
    <w:rsid w:val="2D3A16A4"/>
    <w:rsid w:val="2D4349FC"/>
    <w:rsid w:val="2D481E16"/>
    <w:rsid w:val="2D524C40"/>
    <w:rsid w:val="2D5B6BC9"/>
    <w:rsid w:val="2D6055AE"/>
    <w:rsid w:val="2D652BC5"/>
    <w:rsid w:val="2D6B0AEA"/>
    <w:rsid w:val="2D6B4704"/>
    <w:rsid w:val="2D742E08"/>
    <w:rsid w:val="2D79041E"/>
    <w:rsid w:val="2D8114FB"/>
    <w:rsid w:val="2D841C49"/>
    <w:rsid w:val="2D853E99"/>
    <w:rsid w:val="2D88240F"/>
    <w:rsid w:val="2D8A43D9"/>
    <w:rsid w:val="2D9B731D"/>
    <w:rsid w:val="2D9E56F5"/>
    <w:rsid w:val="2DA134D1"/>
    <w:rsid w:val="2DA74F8B"/>
    <w:rsid w:val="2DAA05D8"/>
    <w:rsid w:val="2DAA682A"/>
    <w:rsid w:val="2DAB403E"/>
    <w:rsid w:val="2DBB0A37"/>
    <w:rsid w:val="2DBB27E5"/>
    <w:rsid w:val="2DBF0527"/>
    <w:rsid w:val="2DCC2C44"/>
    <w:rsid w:val="2DCC67A0"/>
    <w:rsid w:val="2DD00A37"/>
    <w:rsid w:val="2DEC5BA7"/>
    <w:rsid w:val="2DF06932"/>
    <w:rsid w:val="2DFB52D7"/>
    <w:rsid w:val="2E045F3A"/>
    <w:rsid w:val="2E105DEC"/>
    <w:rsid w:val="2E1848FC"/>
    <w:rsid w:val="2E206AEC"/>
    <w:rsid w:val="2E494294"/>
    <w:rsid w:val="2E5F1BB6"/>
    <w:rsid w:val="2E667F96"/>
    <w:rsid w:val="2E734E6D"/>
    <w:rsid w:val="2E813B2D"/>
    <w:rsid w:val="2E8226AB"/>
    <w:rsid w:val="2E8E1CA7"/>
    <w:rsid w:val="2E9608FF"/>
    <w:rsid w:val="2E9B2B2D"/>
    <w:rsid w:val="2EA63495"/>
    <w:rsid w:val="2EB57234"/>
    <w:rsid w:val="2EB6422E"/>
    <w:rsid w:val="2EB84F76"/>
    <w:rsid w:val="2EC13E2B"/>
    <w:rsid w:val="2EC61441"/>
    <w:rsid w:val="2EC639EC"/>
    <w:rsid w:val="2EC67693"/>
    <w:rsid w:val="2ED2428A"/>
    <w:rsid w:val="2ED85923"/>
    <w:rsid w:val="2EDA313F"/>
    <w:rsid w:val="2EE31FF3"/>
    <w:rsid w:val="2EF340FA"/>
    <w:rsid w:val="2EF44200"/>
    <w:rsid w:val="2EFE507F"/>
    <w:rsid w:val="2F121A03"/>
    <w:rsid w:val="2F1321AD"/>
    <w:rsid w:val="2F210D6D"/>
    <w:rsid w:val="2F3C3351"/>
    <w:rsid w:val="2F430CE4"/>
    <w:rsid w:val="2F462582"/>
    <w:rsid w:val="2F4B7B98"/>
    <w:rsid w:val="2F4F7689"/>
    <w:rsid w:val="2F61116A"/>
    <w:rsid w:val="2F61560E"/>
    <w:rsid w:val="2F68074A"/>
    <w:rsid w:val="2F6916AA"/>
    <w:rsid w:val="2F7E7F6E"/>
    <w:rsid w:val="2F8A6913"/>
    <w:rsid w:val="2F8C5ED4"/>
    <w:rsid w:val="2F9331D6"/>
    <w:rsid w:val="2F944307"/>
    <w:rsid w:val="2F975C1E"/>
    <w:rsid w:val="2FA45F37"/>
    <w:rsid w:val="2FAC4ADB"/>
    <w:rsid w:val="2FB35E69"/>
    <w:rsid w:val="2FC11C09"/>
    <w:rsid w:val="2FC35981"/>
    <w:rsid w:val="2FC75471"/>
    <w:rsid w:val="2FC82F97"/>
    <w:rsid w:val="2FCC6F2B"/>
    <w:rsid w:val="2FD065E6"/>
    <w:rsid w:val="2FD960EE"/>
    <w:rsid w:val="2FD96870"/>
    <w:rsid w:val="2FDF7EE9"/>
    <w:rsid w:val="2FE57FED"/>
    <w:rsid w:val="2FE83639"/>
    <w:rsid w:val="2FED0C50"/>
    <w:rsid w:val="2FEF6776"/>
    <w:rsid w:val="2FF65D56"/>
    <w:rsid w:val="2FFF542E"/>
    <w:rsid w:val="300264A9"/>
    <w:rsid w:val="30085A89"/>
    <w:rsid w:val="300D096E"/>
    <w:rsid w:val="302503E9"/>
    <w:rsid w:val="3025488D"/>
    <w:rsid w:val="30330D58"/>
    <w:rsid w:val="3038011D"/>
    <w:rsid w:val="303B19BB"/>
    <w:rsid w:val="303F6EFB"/>
    <w:rsid w:val="30450A8C"/>
    <w:rsid w:val="304765B2"/>
    <w:rsid w:val="30580BC9"/>
    <w:rsid w:val="30590093"/>
    <w:rsid w:val="30731155"/>
    <w:rsid w:val="3075311F"/>
    <w:rsid w:val="30760C45"/>
    <w:rsid w:val="307A0735"/>
    <w:rsid w:val="307B6426"/>
    <w:rsid w:val="307D0225"/>
    <w:rsid w:val="30890978"/>
    <w:rsid w:val="308B46F0"/>
    <w:rsid w:val="309646AE"/>
    <w:rsid w:val="3097733C"/>
    <w:rsid w:val="309D2676"/>
    <w:rsid w:val="30A14CB5"/>
    <w:rsid w:val="30A21A3A"/>
    <w:rsid w:val="30AC28B9"/>
    <w:rsid w:val="30B9213C"/>
    <w:rsid w:val="30BB2AFC"/>
    <w:rsid w:val="30C23E8A"/>
    <w:rsid w:val="30CE0A81"/>
    <w:rsid w:val="30E262DA"/>
    <w:rsid w:val="30E81DDA"/>
    <w:rsid w:val="311346E6"/>
    <w:rsid w:val="3115045E"/>
    <w:rsid w:val="31165068"/>
    <w:rsid w:val="311A023C"/>
    <w:rsid w:val="311C4665"/>
    <w:rsid w:val="311E2ED7"/>
    <w:rsid w:val="3123750E"/>
    <w:rsid w:val="313771FA"/>
    <w:rsid w:val="3143321D"/>
    <w:rsid w:val="31462D0D"/>
    <w:rsid w:val="314D409C"/>
    <w:rsid w:val="314F5F72"/>
    <w:rsid w:val="315619EE"/>
    <w:rsid w:val="31576CC8"/>
    <w:rsid w:val="315C449C"/>
    <w:rsid w:val="315C608D"/>
    <w:rsid w:val="316118F5"/>
    <w:rsid w:val="31786F15"/>
    <w:rsid w:val="317909ED"/>
    <w:rsid w:val="317E6003"/>
    <w:rsid w:val="318178A1"/>
    <w:rsid w:val="31880C30"/>
    <w:rsid w:val="3198380B"/>
    <w:rsid w:val="319C292D"/>
    <w:rsid w:val="31A737AC"/>
    <w:rsid w:val="31AB2B70"/>
    <w:rsid w:val="31B82709"/>
    <w:rsid w:val="31C003CA"/>
    <w:rsid w:val="31D05482"/>
    <w:rsid w:val="31D36D84"/>
    <w:rsid w:val="31D50305"/>
    <w:rsid w:val="31D9592F"/>
    <w:rsid w:val="31D976DD"/>
    <w:rsid w:val="31E71DFA"/>
    <w:rsid w:val="31E83DC4"/>
    <w:rsid w:val="31EF0CAF"/>
    <w:rsid w:val="31F2575D"/>
    <w:rsid w:val="31FC33CC"/>
    <w:rsid w:val="32110C25"/>
    <w:rsid w:val="3212499D"/>
    <w:rsid w:val="321B1AA4"/>
    <w:rsid w:val="32230959"/>
    <w:rsid w:val="32342B66"/>
    <w:rsid w:val="32382656"/>
    <w:rsid w:val="323D7021"/>
    <w:rsid w:val="32400B34"/>
    <w:rsid w:val="324234D5"/>
    <w:rsid w:val="32427031"/>
    <w:rsid w:val="32470AEB"/>
    <w:rsid w:val="324A2916"/>
    <w:rsid w:val="324C4353"/>
    <w:rsid w:val="325D030E"/>
    <w:rsid w:val="325D20BC"/>
    <w:rsid w:val="32650F71"/>
    <w:rsid w:val="32713DBA"/>
    <w:rsid w:val="32765DB6"/>
    <w:rsid w:val="327A5A28"/>
    <w:rsid w:val="327D62BB"/>
    <w:rsid w:val="3287538B"/>
    <w:rsid w:val="328C4750"/>
    <w:rsid w:val="328F5FEE"/>
    <w:rsid w:val="32911D66"/>
    <w:rsid w:val="329830F5"/>
    <w:rsid w:val="329C5C14"/>
    <w:rsid w:val="329E6876"/>
    <w:rsid w:val="32A41A99"/>
    <w:rsid w:val="32A970B0"/>
    <w:rsid w:val="32B51EF8"/>
    <w:rsid w:val="32BA70A8"/>
    <w:rsid w:val="32BB5035"/>
    <w:rsid w:val="32BF68D3"/>
    <w:rsid w:val="32CF5408"/>
    <w:rsid w:val="32D61E6F"/>
    <w:rsid w:val="32D81743"/>
    <w:rsid w:val="32DF6F75"/>
    <w:rsid w:val="32EA5609"/>
    <w:rsid w:val="32FA6BE3"/>
    <w:rsid w:val="330D3AE3"/>
    <w:rsid w:val="3310712F"/>
    <w:rsid w:val="3316226B"/>
    <w:rsid w:val="33291F9F"/>
    <w:rsid w:val="332B5D17"/>
    <w:rsid w:val="333015F2"/>
    <w:rsid w:val="33305A23"/>
    <w:rsid w:val="333252F7"/>
    <w:rsid w:val="33356B95"/>
    <w:rsid w:val="3337290D"/>
    <w:rsid w:val="333D5A4A"/>
    <w:rsid w:val="333F17C2"/>
    <w:rsid w:val="33481151"/>
    <w:rsid w:val="334B6320"/>
    <w:rsid w:val="33572FB0"/>
    <w:rsid w:val="335F1E64"/>
    <w:rsid w:val="336B0B5C"/>
    <w:rsid w:val="336D4581"/>
    <w:rsid w:val="33723946"/>
    <w:rsid w:val="338F75C6"/>
    <w:rsid w:val="33900270"/>
    <w:rsid w:val="33A65CE5"/>
    <w:rsid w:val="33AB32FB"/>
    <w:rsid w:val="33BA52ED"/>
    <w:rsid w:val="33BF2903"/>
    <w:rsid w:val="33C341A1"/>
    <w:rsid w:val="33C57F19"/>
    <w:rsid w:val="33C70135"/>
    <w:rsid w:val="33CA3782"/>
    <w:rsid w:val="33D934D4"/>
    <w:rsid w:val="33DE722D"/>
    <w:rsid w:val="33ED2605"/>
    <w:rsid w:val="33EF6B62"/>
    <w:rsid w:val="33F16F60"/>
    <w:rsid w:val="33FB1B8D"/>
    <w:rsid w:val="33FE2F6A"/>
    <w:rsid w:val="34015BA1"/>
    <w:rsid w:val="340A0022"/>
    <w:rsid w:val="340E07E5"/>
    <w:rsid w:val="34140EA1"/>
    <w:rsid w:val="34187B8D"/>
    <w:rsid w:val="342015F4"/>
    <w:rsid w:val="34235BF7"/>
    <w:rsid w:val="342509B8"/>
    <w:rsid w:val="34270BD4"/>
    <w:rsid w:val="34303026"/>
    <w:rsid w:val="344A5B75"/>
    <w:rsid w:val="344E43B3"/>
    <w:rsid w:val="34525525"/>
    <w:rsid w:val="34592D57"/>
    <w:rsid w:val="345A7293"/>
    <w:rsid w:val="345B2549"/>
    <w:rsid w:val="34657983"/>
    <w:rsid w:val="34692F9B"/>
    <w:rsid w:val="346C4839"/>
    <w:rsid w:val="346E6803"/>
    <w:rsid w:val="346F60D7"/>
    <w:rsid w:val="348C6C89"/>
    <w:rsid w:val="3491429F"/>
    <w:rsid w:val="34967B08"/>
    <w:rsid w:val="34A02734"/>
    <w:rsid w:val="34A83397"/>
    <w:rsid w:val="34AF4725"/>
    <w:rsid w:val="34B2310F"/>
    <w:rsid w:val="34C957E7"/>
    <w:rsid w:val="34D553A2"/>
    <w:rsid w:val="34E37975"/>
    <w:rsid w:val="34FA62E8"/>
    <w:rsid w:val="3502519D"/>
    <w:rsid w:val="350A0461"/>
    <w:rsid w:val="351E1425"/>
    <w:rsid w:val="3521576F"/>
    <w:rsid w:val="35303AB8"/>
    <w:rsid w:val="354123FC"/>
    <w:rsid w:val="3541794D"/>
    <w:rsid w:val="35467F83"/>
    <w:rsid w:val="35505F08"/>
    <w:rsid w:val="35507CB7"/>
    <w:rsid w:val="355552CD"/>
    <w:rsid w:val="35571045"/>
    <w:rsid w:val="355F2BEC"/>
    <w:rsid w:val="356814A4"/>
    <w:rsid w:val="356E45E1"/>
    <w:rsid w:val="357A2F85"/>
    <w:rsid w:val="357A2FAC"/>
    <w:rsid w:val="3583008C"/>
    <w:rsid w:val="358931C8"/>
    <w:rsid w:val="358A766C"/>
    <w:rsid w:val="358B0CEF"/>
    <w:rsid w:val="358C5FA8"/>
    <w:rsid w:val="35904557"/>
    <w:rsid w:val="35942299"/>
    <w:rsid w:val="35977693"/>
    <w:rsid w:val="359C114E"/>
    <w:rsid w:val="359E6C74"/>
    <w:rsid w:val="35A10512"/>
    <w:rsid w:val="35B2271F"/>
    <w:rsid w:val="35B53FBD"/>
    <w:rsid w:val="35BA6262"/>
    <w:rsid w:val="35C15DF1"/>
    <w:rsid w:val="35C86AD2"/>
    <w:rsid w:val="35D00DF7"/>
    <w:rsid w:val="35E87D94"/>
    <w:rsid w:val="35E87EEF"/>
    <w:rsid w:val="35EE6454"/>
    <w:rsid w:val="35F02628"/>
    <w:rsid w:val="35FC5E78"/>
    <w:rsid w:val="36074A7F"/>
    <w:rsid w:val="360C62D3"/>
    <w:rsid w:val="36140CE4"/>
    <w:rsid w:val="361D20CE"/>
    <w:rsid w:val="362B4280"/>
    <w:rsid w:val="362C24D2"/>
    <w:rsid w:val="36370E76"/>
    <w:rsid w:val="363D46DF"/>
    <w:rsid w:val="363E3FB3"/>
    <w:rsid w:val="36484E32"/>
    <w:rsid w:val="364C0F75"/>
    <w:rsid w:val="364F4412"/>
    <w:rsid w:val="3652180C"/>
    <w:rsid w:val="36545584"/>
    <w:rsid w:val="3658153F"/>
    <w:rsid w:val="36592B9B"/>
    <w:rsid w:val="36604F99"/>
    <w:rsid w:val="36624145"/>
    <w:rsid w:val="366652B8"/>
    <w:rsid w:val="366E2AEA"/>
    <w:rsid w:val="367125DA"/>
    <w:rsid w:val="36743575"/>
    <w:rsid w:val="3676199F"/>
    <w:rsid w:val="3676374D"/>
    <w:rsid w:val="367B0D63"/>
    <w:rsid w:val="367C477E"/>
    <w:rsid w:val="368220F2"/>
    <w:rsid w:val="36923549"/>
    <w:rsid w:val="36A007CA"/>
    <w:rsid w:val="36A06A1C"/>
    <w:rsid w:val="36A812EB"/>
    <w:rsid w:val="36B75FBF"/>
    <w:rsid w:val="36BB3856"/>
    <w:rsid w:val="36BD0C45"/>
    <w:rsid w:val="36BE4631"/>
    <w:rsid w:val="36C50230"/>
    <w:rsid w:val="36C7044C"/>
    <w:rsid w:val="36C9054A"/>
    <w:rsid w:val="36CA1CEB"/>
    <w:rsid w:val="36D36DF1"/>
    <w:rsid w:val="36D77E83"/>
    <w:rsid w:val="36E20DE2"/>
    <w:rsid w:val="36E96615"/>
    <w:rsid w:val="36F823B4"/>
    <w:rsid w:val="371333B9"/>
    <w:rsid w:val="37205FF6"/>
    <w:rsid w:val="37235104"/>
    <w:rsid w:val="3727713D"/>
    <w:rsid w:val="373D24BC"/>
    <w:rsid w:val="37403D5B"/>
    <w:rsid w:val="37486DDE"/>
    <w:rsid w:val="375021F0"/>
    <w:rsid w:val="37557806"/>
    <w:rsid w:val="3756526F"/>
    <w:rsid w:val="37584354"/>
    <w:rsid w:val="375909AC"/>
    <w:rsid w:val="375A4E1C"/>
    <w:rsid w:val="375D490D"/>
    <w:rsid w:val="37667B47"/>
    <w:rsid w:val="379F385D"/>
    <w:rsid w:val="37B07204"/>
    <w:rsid w:val="37C404E8"/>
    <w:rsid w:val="37DC1CD5"/>
    <w:rsid w:val="37DC3A83"/>
    <w:rsid w:val="37E00298"/>
    <w:rsid w:val="37EF7C5B"/>
    <w:rsid w:val="37F012DD"/>
    <w:rsid w:val="37F4701F"/>
    <w:rsid w:val="37FC5ED4"/>
    <w:rsid w:val="3814146F"/>
    <w:rsid w:val="3814321D"/>
    <w:rsid w:val="381551E7"/>
    <w:rsid w:val="3821593A"/>
    <w:rsid w:val="382471D8"/>
    <w:rsid w:val="382A0C93"/>
    <w:rsid w:val="382B0567"/>
    <w:rsid w:val="382D42DF"/>
    <w:rsid w:val="38397128"/>
    <w:rsid w:val="384358B1"/>
    <w:rsid w:val="38492ED2"/>
    <w:rsid w:val="3858329B"/>
    <w:rsid w:val="385B52F0"/>
    <w:rsid w:val="38606463"/>
    <w:rsid w:val="386677F1"/>
    <w:rsid w:val="386817BB"/>
    <w:rsid w:val="386A2373"/>
    <w:rsid w:val="386C12AB"/>
    <w:rsid w:val="38710670"/>
    <w:rsid w:val="387168C2"/>
    <w:rsid w:val="38755FAC"/>
    <w:rsid w:val="387E2D8D"/>
    <w:rsid w:val="38912AC0"/>
    <w:rsid w:val="38966328"/>
    <w:rsid w:val="38983E4E"/>
    <w:rsid w:val="38A327F3"/>
    <w:rsid w:val="38A5656B"/>
    <w:rsid w:val="38A81BB8"/>
    <w:rsid w:val="38AC16A8"/>
    <w:rsid w:val="38B302F9"/>
    <w:rsid w:val="38B44A00"/>
    <w:rsid w:val="38BD38B5"/>
    <w:rsid w:val="38C05153"/>
    <w:rsid w:val="38CC7F9C"/>
    <w:rsid w:val="38D440A8"/>
    <w:rsid w:val="38DB1F8D"/>
    <w:rsid w:val="38DD7AB3"/>
    <w:rsid w:val="38E075A3"/>
    <w:rsid w:val="38ED3A6E"/>
    <w:rsid w:val="38F12CD3"/>
    <w:rsid w:val="38F44DFD"/>
    <w:rsid w:val="38F512A1"/>
    <w:rsid w:val="38F848ED"/>
    <w:rsid w:val="38F94775"/>
    <w:rsid w:val="39007C46"/>
    <w:rsid w:val="39094D4C"/>
    <w:rsid w:val="39253208"/>
    <w:rsid w:val="392971ED"/>
    <w:rsid w:val="39325651"/>
    <w:rsid w:val="393B2A2C"/>
    <w:rsid w:val="394E55A6"/>
    <w:rsid w:val="395D0BF4"/>
    <w:rsid w:val="39693A3D"/>
    <w:rsid w:val="396C52DB"/>
    <w:rsid w:val="39745A19"/>
    <w:rsid w:val="397D3044"/>
    <w:rsid w:val="39825EE7"/>
    <w:rsid w:val="39842625"/>
    <w:rsid w:val="398D772B"/>
    <w:rsid w:val="3992139A"/>
    <w:rsid w:val="39927ABB"/>
    <w:rsid w:val="39986745"/>
    <w:rsid w:val="39A05497"/>
    <w:rsid w:val="39AE31FE"/>
    <w:rsid w:val="39AE60C8"/>
    <w:rsid w:val="39BA6046"/>
    <w:rsid w:val="39BF540B"/>
    <w:rsid w:val="39C173D5"/>
    <w:rsid w:val="39CB382F"/>
    <w:rsid w:val="39E674EC"/>
    <w:rsid w:val="39EC3D26"/>
    <w:rsid w:val="39F72DF7"/>
    <w:rsid w:val="39FD0947"/>
    <w:rsid w:val="3A125E82"/>
    <w:rsid w:val="3A175247"/>
    <w:rsid w:val="3A1957AC"/>
    <w:rsid w:val="3A2A4F7A"/>
    <w:rsid w:val="3A3B7187"/>
    <w:rsid w:val="3A451DB4"/>
    <w:rsid w:val="3A5913BB"/>
    <w:rsid w:val="3A5D29C3"/>
    <w:rsid w:val="3A5E4C24"/>
    <w:rsid w:val="3A60099C"/>
    <w:rsid w:val="3A6164C2"/>
    <w:rsid w:val="3A6A181A"/>
    <w:rsid w:val="3A7601BF"/>
    <w:rsid w:val="3A824DB6"/>
    <w:rsid w:val="3A872856"/>
    <w:rsid w:val="3A8D375B"/>
    <w:rsid w:val="3A95616C"/>
    <w:rsid w:val="3A9E14C4"/>
    <w:rsid w:val="3AA52853"/>
    <w:rsid w:val="3AA97F72"/>
    <w:rsid w:val="3AAD5BAB"/>
    <w:rsid w:val="3AB605BC"/>
    <w:rsid w:val="3AB72586"/>
    <w:rsid w:val="3ABB2076"/>
    <w:rsid w:val="3AC802EF"/>
    <w:rsid w:val="3AD1189A"/>
    <w:rsid w:val="3ADE15A9"/>
    <w:rsid w:val="3AE07A50"/>
    <w:rsid w:val="3AE35129"/>
    <w:rsid w:val="3AEF3ACE"/>
    <w:rsid w:val="3AF42F5C"/>
    <w:rsid w:val="3AF64E5C"/>
    <w:rsid w:val="3AFA638A"/>
    <w:rsid w:val="3AFD4A0A"/>
    <w:rsid w:val="3B070E17"/>
    <w:rsid w:val="3B0A4DAB"/>
    <w:rsid w:val="3B0C4680"/>
    <w:rsid w:val="3B1672AC"/>
    <w:rsid w:val="3B180FBF"/>
    <w:rsid w:val="3B201ED9"/>
    <w:rsid w:val="3B225C51"/>
    <w:rsid w:val="3B2E2848"/>
    <w:rsid w:val="3B2E29EE"/>
    <w:rsid w:val="3B343BD6"/>
    <w:rsid w:val="3B3763D1"/>
    <w:rsid w:val="3B3B31B7"/>
    <w:rsid w:val="3B3B4F65"/>
    <w:rsid w:val="3B44206B"/>
    <w:rsid w:val="3B8B1A48"/>
    <w:rsid w:val="3B934DA1"/>
    <w:rsid w:val="3B9A7EDD"/>
    <w:rsid w:val="3B9E50AD"/>
    <w:rsid w:val="3BA90120"/>
    <w:rsid w:val="3BAB4D14"/>
    <w:rsid w:val="3BBA40DC"/>
    <w:rsid w:val="3BC367C1"/>
    <w:rsid w:val="3BC90386"/>
    <w:rsid w:val="3BD52D4A"/>
    <w:rsid w:val="3BDB2F3B"/>
    <w:rsid w:val="3BE473AB"/>
    <w:rsid w:val="3BE652FA"/>
    <w:rsid w:val="3BEF3A63"/>
    <w:rsid w:val="3BF910A8"/>
    <w:rsid w:val="3BFA097C"/>
    <w:rsid w:val="3C0435A9"/>
    <w:rsid w:val="3C0941EB"/>
    <w:rsid w:val="3C0D4B53"/>
    <w:rsid w:val="3C1A2DCC"/>
    <w:rsid w:val="3C1A7270"/>
    <w:rsid w:val="3C1E28BD"/>
    <w:rsid w:val="3C2F6E1E"/>
    <w:rsid w:val="3C326368"/>
    <w:rsid w:val="3C3814A4"/>
    <w:rsid w:val="3C3C0F95"/>
    <w:rsid w:val="3C4648E1"/>
    <w:rsid w:val="3C485B8B"/>
    <w:rsid w:val="3C4E2F2E"/>
    <w:rsid w:val="3C4F64BA"/>
    <w:rsid w:val="3C574020"/>
    <w:rsid w:val="3C5F6A31"/>
    <w:rsid w:val="3C6329C5"/>
    <w:rsid w:val="3C666012"/>
    <w:rsid w:val="3C720E5A"/>
    <w:rsid w:val="3C783CF0"/>
    <w:rsid w:val="3C814BF9"/>
    <w:rsid w:val="3C862210"/>
    <w:rsid w:val="3C885F88"/>
    <w:rsid w:val="3CA408E8"/>
    <w:rsid w:val="3CA46AF1"/>
    <w:rsid w:val="3CAA23A2"/>
    <w:rsid w:val="3CAD1E92"/>
    <w:rsid w:val="3CB17359"/>
    <w:rsid w:val="3CB2037A"/>
    <w:rsid w:val="3CB20F63"/>
    <w:rsid w:val="3CC86CCC"/>
    <w:rsid w:val="3CD36F28"/>
    <w:rsid w:val="3CDA245A"/>
    <w:rsid w:val="3CE138EA"/>
    <w:rsid w:val="3CE753A4"/>
    <w:rsid w:val="3CF12989"/>
    <w:rsid w:val="3D0A4BEF"/>
    <w:rsid w:val="3D0E0B83"/>
    <w:rsid w:val="3D1141CF"/>
    <w:rsid w:val="3D1B6DFC"/>
    <w:rsid w:val="3D1E069A"/>
    <w:rsid w:val="3D1E06B7"/>
    <w:rsid w:val="3D2A5291"/>
    <w:rsid w:val="3D2F5FD0"/>
    <w:rsid w:val="3D483969"/>
    <w:rsid w:val="3D595B76"/>
    <w:rsid w:val="3D5A3DC8"/>
    <w:rsid w:val="3D5F318D"/>
    <w:rsid w:val="3D624A2B"/>
    <w:rsid w:val="3D785FFC"/>
    <w:rsid w:val="3D7B1550"/>
    <w:rsid w:val="3D7D3B8B"/>
    <w:rsid w:val="3D814C4F"/>
    <w:rsid w:val="3D877383"/>
    <w:rsid w:val="3D9170BE"/>
    <w:rsid w:val="3D954E00"/>
    <w:rsid w:val="3D9B1CEB"/>
    <w:rsid w:val="3DA46DF1"/>
    <w:rsid w:val="3DB64D77"/>
    <w:rsid w:val="3DBD4546"/>
    <w:rsid w:val="3DD11BB1"/>
    <w:rsid w:val="3DEC0798"/>
    <w:rsid w:val="3DEE4511"/>
    <w:rsid w:val="3DEF6D00"/>
    <w:rsid w:val="3DF064DB"/>
    <w:rsid w:val="3DF22256"/>
    <w:rsid w:val="3DF8538F"/>
    <w:rsid w:val="3DFE0BF8"/>
    <w:rsid w:val="3DFF227A"/>
    <w:rsid w:val="3E0B6E71"/>
    <w:rsid w:val="3E0E4BB3"/>
    <w:rsid w:val="3E135D25"/>
    <w:rsid w:val="3E1C107E"/>
    <w:rsid w:val="3E1C72D0"/>
    <w:rsid w:val="3E2B306F"/>
    <w:rsid w:val="3E300685"/>
    <w:rsid w:val="3E42660A"/>
    <w:rsid w:val="3E431667"/>
    <w:rsid w:val="3E491D1E"/>
    <w:rsid w:val="3E5A7DF8"/>
    <w:rsid w:val="3E5F5FE8"/>
    <w:rsid w:val="3E6D3687"/>
    <w:rsid w:val="3E720C9E"/>
    <w:rsid w:val="3E7E3AE6"/>
    <w:rsid w:val="3E880B3A"/>
    <w:rsid w:val="3E8B6203"/>
    <w:rsid w:val="3E966871"/>
    <w:rsid w:val="3E9C65DE"/>
    <w:rsid w:val="3EA70656"/>
    <w:rsid w:val="3EA90437"/>
    <w:rsid w:val="3EAA6689"/>
    <w:rsid w:val="3EAF3CA0"/>
    <w:rsid w:val="3EBC0920"/>
    <w:rsid w:val="3EBC460F"/>
    <w:rsid w:val="3EBD3976"/>
    <w:rsid w:val="3EC3599D"/>
    <w:rsid w:val="3ED05615"/>
    <w:rsid w:val="3ED61844"/>
    <w:rsid w:val="3EDA0523"/>
    <w:rsid w:val="3EE15E23"/>
    <w:rsid w:val="3EE53B65"/>
    <w:rsid w:val="3EEC4EF4"/>
    <w:rsid w:val="3EF91E50"/>
    <w:rsid w:val="3F0264C5"/>
    <w:rsid w:val="3F050EE7"/>
    <w:rsid w:val="3F0624B8"/>
    <w:rsid w:val="3F0B2EA0"/>
    <w:rsid w:val="3F125FDD"/>
    <w:rsid w:val="3F217C09"/>
    <w:rsid w:val="3F424B14"/>
    <w:rsid w:val="3F446ADE"/>
    <w:rsid w:val="3F47037C"/>
    <w:rsid w:val="3F487C50"/>
    <w:rsid w:val="3F4A39C9"/>
    <w:rsid w:val="3F4C5993"/>
    <w:rsid w:val="3F4D5267"/>
    <w:rsid w:val="3F5E7474"/>
    <w:rsid w:val="3F6A406B"/>
    <w:rsid w:val="3F6A7BC7"/>
    <w:rsid w:val="3F764761"/>
    <w:rsid w:val="3F777D79"/>
    <w:rsid w:val="3F7D5B4C"/>
    <w:rsid w:val="3F7D78FA"/>
    <w:rsid w:val="3F8E7D59"/>
    <w:rsid w:val="3F9134F1"/>
    <w:rsid w:val="3F984734"/>
    <w:rsid w:val="3F9966FE"/>
    <w:rsid w:val="3F9D61EE"/>
    <w:rsid w:val="3FA70E1B"/>
    <w:rsid w:val="3FA94B93"/>
    <w:rsid w:val="3FAA4467"/>
    <w:rsid w:val="3FB356AF"/>
    <w:rsid w:val="3FB928FC"/>
    <w:rsid w:val="3FBB09B8"/>
    <w:rsid w:val="3FBC64AD"/>
    <w:rsid w:val="3FC25BE9"/>
    <w:rsid w:val="3FD4652E"/>
    <w:rsid w:val="3FDB2873"/>
    <w:rsid w:val="3FDB6D16"/>
    <w:rsid w:val="3FDE5F39"/>
    <w:rsid w:val="3FE61943"/>
    <w:rsid w:val="3FF12096"/>
    <w:rsid w:val="3FF5663E"/>
    <w:rsid w:val="3FF676AC"/>
    <w:rsid w:val="3FFD4EDF"/>
    <w:rsid w:val="40061FE5"/>
    <w:rsid w:val="40073668"/>
    <w:rsid w:val="400764D3"/>
    <w:rsid w:val="400973E0"/>
    <w:rsid w:val="4013200C"/>
    <w:rsid w:val="401B7113"/>
    <w:rsid w:val="401D10DD"/>
    <w:rsid w:val="40224945"/>
    <w:rsid w:val="40307062"/>
    <w:rsid w:val="40326890"/>
    <w:rsid w:val="403948B6"/>
    <w:rsid w:val="403A3A3D"/>
    <w:rsid w:val="403A7797"/>
    <w:rsid w:val="404B163B"/>
    <w:rsid w:val="40510496"/>
    <w:rsid w:val="40573BB3"/>
    <w:rsid w:val="40612AE6"/>
    <w:rsid w:val="4061546E"/>
    <w:rsid w:val="40646D0C"/>
    <w:rsid w:val="40730CFD"/>
    <w:rsid w:val="40774C91"/>
    <w:rsid w:val="407A6407"/>
    <w:rsid w:val="407C4056"/>
    <w:rsid w:val="407E7DCE"/>
    <w:rsid w:val="4081341A"/>
    <w:rsid w:val="40827192"/>
    <w:rsid w:val="40842F0A"/>
    <w:rsid w:val="40844CB8"/>
    <w:rsid w:val="40925627"/>
    <w:rsid w:val="409A44DC"/>
    <w:rsid w:val="409D0420"/>
    <w:rsid w:val="40A62E81"/>
    <w:rsid w:val="40AB4C9D"/>
    <w:rsid w:val="40BB2DD0"/>
    <w:rsid w:val="40BF3844"/>
    <w:rsid w:val="40C6418C"/>
    <w:rsid w:val="40CB28E7"/>
    <w:rsid w:val="40D0614F"/>
    <w:rsid w:val="40D7128C"/>
    <w:rsid w:val="40E045E4"/>
    <w:rsid w:val="40F005A0"/>
    <w:rsid w:val="40FE0F0E"/>
    <w:rsid w:val="410B7187"/>
    <w:rsid w:val="4111184B"/>
    <w:rsid w:val="41202C33"/>
    <w:rsid w:val="412A5860"/>
    <w:rsid w:val="41367A29"/>
    <w:rsid w:val="414032D5"/>
    <w:rsid w:val="4145149F"/>
    <w:rsid w:val="415A32C1"/>
    <w:rsid w:val="415C5608"/>
    <w:rsid w:val="415D5C35"/>
    <w:rsid w:val="417411D1"/>
    <w:rsid w:val="417E204F"/>
    <w:rsid w:val="41B25855"/>
    <w:rsid w:val="41B80C5C"/>
    <w:rsid w:val="41BA3873"/>
    <w:rsid w:val="41C23CEA"/>
    <w:rsid w:val="41C31D5C"/>
    <w:rsid w:val="41C45CB4"/>
    <w:rsid w:val="41CA0DF1"/>
    <w:rsid w:val="41D63C39"/>
    <w:rsid w:val="41DE4C7E"/>
    <w:rsid w:val="41E00614"/>
    <w:rsid w:val="41E81277"/>
    <w:rsid w:val="41F1637D"/>
    <w:rsid w:val="41F71F84"/>
    <w:rsid w:val="41FD4D22"/>
    <w:rsid w:val="4200449D"/>
    <w:rsid w:val="42051E29"/>
    <w:rsid w:val="420C31B7"/>
    <w:rsid w:val="42116A20"/>
    <w:rsid w:val="42204EB5"/>
    <w:rsid w:val="422229DB"/>
    <w:rsid w:val="42224789"/>
    <w:rsid w:val="42260DDB"/>
    <w:rsid w:val="423170C2"/>
    <w:rsid w:val="42320543"/>
    <w:rsid w:val="42350BC0"/>
    <w:rsid w:val="42370551"/>
    <w:rsid w:val="423A3BCC"/>
    <w:rsid w:val="423A41C8"/>
    <w:rsid w:val="42440BA3"/>
    <w:rsid w:val="424E02AD"/>
    <w:rsid w:val="424E57D2"/>
    <w:rsid w:val="42870A90"/>
    <w:rsid w:val="429C278D"/>
    <w:rsid w:val="429D6505"/>
    <w:rsid w:val="429E0040"/>
    <w:rsid w:val="42B23D5F"/>
    <w:rsid w:val="42B26C49"/>
    <w:rsid w:val="42B5384F"/>
    <w:rsid w:val="42BA0E65"/>
    <w:rsid w:val="42BA6305"/>
    <w:rsid w:val="42BE171E"/>
    <w:rsid w:val="42C35F6C"/>
    <w:rsid w:val="42C43A92"/>
    <w:rsid w:val="42C57F36"/>
    <w:rsid w:val="42C615B8"/>
    <w:rsid w:val="42CD0B98"/>
    <w:rsid w:val="42CE66BF"/>
    <w:rsid w:val="42CF65A9"/>
    <w:rsid w:val="42D24401"/>
    <w:rsid w:val="42D77C69"/>
    <w:rsid w:val="42DA32B5"/>
    <w:rsid w:val="42E83C24"/>
    <w:rsid w:val="42EB54C2"/>
    <w:rsid w:val="42F36125"/>
    <w:rsid w:val="42F500EF"/>
    <w:rsid w:val="43030A5E"/>
    <w:rsid w:val="43036368"/>
    <w:rsid w:val="430A3B9B"/>
    <w:rsid w:val="431C719E"/>
    <w:rsid w:val="43326C4D"/>
    <w:rsid w:val="433A6FE6"/>
    <w:rsid w:val="433C7ACC"/>
    <w:rsid w:val="4340580E"/>
    <w:rsid w:val="43470E11"/>
    <w:rsid w:val="43476B9D"/>
    <w:rsid w:val="43480868"/>
    <w:rsid w:val="434846C3"/>
    <w:rsid w:val="434C71F8"/>
    <w:rsid w:val="434D58E0"/>
    <w:rsid w:val="434F5D25"/>
    <w:rsid w:val="4350713C"/>
    <w:rsid w:val="435B5C38"/>
    <w:rsid w:val="436112E1"/>
    <w:rsid w:val="43614DFC"/>
    <w:rsid w:val="436653E0"/>
    <w:rsid w:val="436D260D"/>
    <w:rsid w:val="43884ABF"/>
    <w:rsid w:val="438D20D6"/>
    <w:rsid w:val="439A3786"/>
    <w:rsid w:val="439B0C97"/>
    <w:rsid w:val="43A075A0"/>
    <w:rsid w:val="43AF029E"/>
    <w:rsid w:val="43BD084E"/>
    <w:rsid w:val="43BF6B8A"/>
    <w:rsid w:val="43C401ED"/>
    <w:rsid w:val="43C4431A"/>
    <w:rsid w:val="43CA332A"/>
    <w:rsid w:val="43D2759E"/>
    <w:rsid w:val="43D83C99"/>
    <w:rsid w:val="43D85116"/>
    <w:rsid w:val="43DD4E0B"/>
    <w:rsid w:val="43E42415"/>
    <w:rsid w:val="43EE526A"/>
    <w:rsid w:val="43F81C45"/>
    <w:rsid w:val="440C56F0"/>
    <w:rsid w:val="44185E43"/>
    <w:rsid w:val="44191BBB"/>
    <w:rsid w:val="44242A3A"/>
    <w:rsid w:val="442B201A"/>
    <w:rsid w:val="442E13C5"/>
    <w:rsid w:val="443F1622"/>
    <w:rsid w:val="443F7874"/>
    <w:rsid w:val="4448144B"/>
    <w:rsid w:val="44552246"/>
    <w:rsid w:val="44580936"/>
    <w:rsid w:val="445C495B"/>
    <w:rsid w:val="44670B79"/>
    <w:rsid w:val="446B1663"/>
    <w:rsid w:val="446C618F"/>
    <w:rsid w:val="446D7285"/>
    <w:rsid w:val="446E1F07"/>
    <w:rsid w:val="4484797D"/>
    <w:rsid w:val="449F47B6"/>
    <w:rsid w:val="44A21BB1"/>
    <w:rsid w:val="44A8366B"/>
    <w:rsid w:val="44AE49FA"/>
    <w:rsid w:val="44B951CC"/>
    <w:rsid w:val="44BC0BCB"/>
    <w:rsid w:val="44BE7A04"/>
    <w:rsid w:val="44CD14E0"/>
    <w:rsid w:val="44D02BC2"/>
    <w:rsid w:val="44D34460"/>
    <w:rsid w:val="44DB712E"/>
    <w:rsid w:val="44DF4BB3"/>
    <w:rsid w:val="44E36262"/>
    <w:rsid w:val="44E95A32"/>
    <w:rsid w:val="44EE4DF6"/>
    <w:rsid w:val="44F20B0B"/>
    <w:rsid w:val="44F92119"/>
    <w:rsid w:val="44FC7513"/>
    <w:rsid w:val="44FF34A7"/>
    <w:rsid w:val="45010FCD"/>
    <w:rsid w:val="4504286C"/>
    <w:rsid w:val="45091180"/>
    <w:rsid w:val="451505D5"/>
    <w:rsid w:val="451D0117"/>
    <w:rsid w:val="451F76A5"/>
    <w:rsid w:val="4528655A"/>
    <w:rsid w:val="452D0291"/>
    <w:rsid w:val="452E1696"/>
    <w:rsid w:val="452E5F4C"/>
    <w:rsid w:val="453018B3"/>
    <w:rsid w:val="453170D2"/>
    <w:rsid w:val="45372C41"/>
    <w:rsid w:val="45486BFC"/>
    <w:rsid w:val="454A4722"/>
    <w:rsid w:val="454B2248"/>
    <w:rsid w:val="4554734F"/>
    <w:rsid w:val="455530C7"/>
    <w:rsid w:val="45587B88"/>
    <w:rsid w:val="45612018"/>
    <w:rsid w:val="45654CAE"/>
    <w:rsid w:val="458946E9"/>
    <w:rsid w:val="458B0897"/>
    <w:rsid w:val="458C4D3B"/>
    <w:rsid w:val="45915FF9"/>
    <w:rsid w:val="459260C9"/>
    <w:rsid w:val="459534C4"/>
    <w:rsid w:val="45A334FF"/>
    <w:rsid w:val="45A47C0E"/>
    <w:rsid w:val="45AA3413"/>
    <w:rsid w:val="45AB5047"/>
    <w:rsid w:val="45AF3AE3"/>
    <w:rsid w:val="45B44292"/>
    <w:rsid w:val="45BB73CE"/>
    <w:rsid w:val="45BE6EBE"/>
    <w:rsid w:val="45C2519B"/>
    <w:rsid w:val="45C42C57"/>
    <w:rsid w:val="45E06E35"/>
    <w:rsid w:val="45E43CB8"/>
    <w:rsid w:val="45E71089"/>
    <w:rsid w:val="45EF7078"/>
    <w:rsid w:val="45F11042"/>
    <w:rsid w:val="45F34DBA"/>
    <w:rsid w:val="45F66658"/>
    <w:rsid w:val="45FB63D1"/>
    <w:rsid w:val="46004DE1"/>
    <w:rsid w:val="460A3EB2"/>
    <w:rsid w:val="461865CE"/>
    <w:rsid w:val="461B1C1B"/>
    <w:rsid w:val="46392332"/>
    <w:rsid w:val="464473C4"/>
    <w:rsid w:val="46456C98"/>
    <w:rsid w:val="46577FD6"/>
    <w:rsid w:val="465D66D7"/>
    <w:rsid w:val="46647A66"/>
    <w:rsid w:val="466943F9"/>
    <w:rsid w:val="466C14B8"/>
    <w:rsid w:val="46701BA1"/>
    <w:rsid w:val="467F21AA"/>
    <w:rsid w:val="46863764"/>
    <w:rsid w:val="468D218F"/>
    <w:rsid w:val="469460F7"/>
    <w:rsid w:val="469F0A9E"/>
    <w:rsid w:val="46A165C4"/>
    <w:rsid w:val="46A9191C"/>
    <w:rsid w:val="46B502C1"/>
    <w:rsid w:val="46B61944"/>
    <w:rsid w:val="46BC1650"/>
    <w:rsid w:val="46BD2CD2"/>
    <w:rsid w:val="46BD7176"/>
    <w:rsid w:val="46BF5C62"/>
    <w:rsid w:val="46C41D6B"/>
    <w:rsid w:val="46CD058C"/>
    <w:rsid w:val="46CF6E7E"/>
    <w:rsid w:val="46D955A7"/>
    <w:rsid w:val="46DA111E"/>
    <w:rsid w:val="46DD5122"/>
    <w:rsid w:val="46E22739"/>
    <w:rsid w:val="46EB3CE3"/>
    <w:rsid w:val="46F10BCE"/>
    <w:rsid w:val="46F72688"/>
    <w:rsid w:val="46F801AE"/>
    <w:rsid w:val="47017063"/>
    <w:rsid w:val="47110A1F"/>
    <w:rsid w:val="47133957"/>
    <w:rsid w:val="471C20EE"/>
    <w:rsid w:val="471C5C4A"/>
    <w:rsid w:val="472112F7"/>
    <w:rsid w:val="472114B3"/>
    <w:rsid w:val="47264D1B"/>
    <w:rsid w:val="472965B9"/>
    <w:rsid w:val="473016F6"/>
    <w:rsid w:val="473176DF"/>
    <w:rsid w:val="47354F5E"/>
    <w:rsid w:val="473867FC"/>
    <w:rsid w:val="473E1472"/>
    <w:rsid w:val="475146B6"/>
    <w:rsid w:val="47523754"/>
    <w:rsid w:val="47573126"/>
    <w:rsid w:val="475F1FDB"/>
    <w:rsid w:val="4760647F"/>
    <w:rsid w:val="47615D53"/>
    <w:rsid w:val="47637D1D"/>
    <w:rsid w:val="476D2268"/>
    <w:rsid w:val="477F442B"/>
    <w:rsid w:val="47925F0D"/>
    <w:rsid w:val="47946129"/>
    <w:rsid w:val="4799729B"/>
    <w:rsid w:val="479B1265"/>
    <w:rsid w:val="47A07E0C"/>
    <w:rsid w:val="47A619B8"/>
    <w:rsid w:val="47A83982"/>
    <w:rsid w:val="47AD71EA"/>
    <w:rsid w:val="47B21FD0"/>
    <w:rsid w:val="47C21363"/>
    <w:rsid w:val="47E10C42"/>
    <w:rsid w:val="47EB0F4F"/>
    <w:rsid w:val="47EC1AC1"/>
    <w:rsid w:val="47F24BFD"/>
    <w:rsid w:val="47FC5A7C"/>
    <w:rsid w:val="48052B82"/>
    <w:rsid w:val="480A63EB"/>
    <w:rsid w:val="480D1A37"/>
    <w:rsid w:val="4812704D"/>
    <w:rsid w:val="481C1C7A"/>
    <w:rsid w:val="48254FD3"/>
    <w:rsid w:val="48256D81"/>
    <w:rsid w:val="48335942"/>
    <w:rsid w:val="483B0352"/>
    <w:rsid w:val="483E6094"/>
    <w:rsid w:val="48494825"/>
    <w:rsid w:val="485F6737"/>
    <w:rsid w:val="486C0E54"/>
    <w:rsid w:val="4870272E"/>
    <w:rsid w:val="48763A80"/>
    <w:rsid w:val="487B4BF3"/>
    <w:rsid w:val="48857C39"/>
    <w:rsid w:val="488E4926"/>
    <w:rsid w:val="48934632"/>
    <w:rsid w:val="48965ED0"/>
    <w:rsid w:val="489D100D"/>
    <w:rsid w:val="48A203D1"/>
    <w:rsid w:val="48AD5549"/>
    <w:rsid w:val="48C715AA"/>
    <w:rsid w:val="48D93BC9"/>
    <w:rsid w:val="48E72288"/>
    <w:rsid w:val="48F6071D"/>
    <w:rsid w:val="48FB5D34"/>
    <w:rsid w:val="48FC21D7"/>
    <w:rsid w:val="49033566"/>
    <w:rsid w:val="490F2B46"/>
    <w:rsid w:val="49153299"/>
    <w:rsid w:val="491648AC"/>
    <w:rsid w:val="4917527A"/>
    <w:rsid w:val="49184B37"/>
    <w:rsid w:val="491C63D6"/>
    <w:rsid w:val="49282FCC"/>
    <w:rsid w:val="49284D7B"/>
    <w:rsid w:val="493354CD"/>
    <w:rsid w:val="49366D6C"/>
    <w:rsid w:val="49380D36"/>
    <w:rsid w:val="493F3E72"/>
    <w:rsid w:val="49441489"/>
    <w:rsid w:val="49470F79"/>
    <w:rsid w:val="495518E8"/>
    <w:rsid w:val="49570618"/>
    <w:rsid w:val="495711BC"/>
    <w:rsid w:val="495C4A24"/>
    <w:rsid w:val="495E079C"/>
    <w:rsid w:val="496B110B"/>
    <w:rsid w:val="49764DDF"/>
    <w:rsid w:val="497E0E3E"/>
    <w:rsid w:val="49816239"/>
    <w:rsid w:val="49861AA1"/>
    <w:rsid w:val="49935F6C"/>
    <w:rsid w:val="49B54F13"/>
    <w:rsid w:val="49C34AA3"/>
    <w:rsid w:val="49C425C9"/>
    <w:rsid w:val="49C600F0"/>
    <w:rsid w:val="49C64593"/>
    <w:rsid w:val="49D46CB0"/>
    <w:rsid w:val="49DC7715"/>
    <w:rsid w:val="49E3340D"/>
    <w:rsid w:val="49EA4420"/>
    <w:rsid w:val="49ED4B92"/>
    <w:rsid w:val="49EF3AEA"/>
    <w:rsid w:val="49FB2AE7"/>
    <w:rsid w:val="4A023139"/>
    <w:rsid w:val="4A0330F2"/>
    <w:rsid w:val="4A0550BC"/>
    <w:rsid w:val="4A0D5D1E"/>
    <w:rsid w:val="4A365275"/>
    <w:rsid w:val="4A370FED"/>
    <w:rsid w:val="4A4A6F73"/>
    <w:rsid w:val="4A5B4CDC"/>
    <w:rsid w:val="4A5E47CC"/>
    <w:rsid w:val="4A69564B"/>
    <w:rsid w:val="4A6C0C97"/>
    <w:rsid w:val="4A6F2535"/>
    <w:rsid w:val="4A767D68"/>
    <w:rsid w:val="4A7B537E"/>
    <w:rsid w:val="4A7B576F"/>
    <w:rsid w:val="4A8835F7"/>
    <w:rsid w:val="4A895743"/>
    <w:rsid w:val="4A8C758B"/>
    <w:rsid w:val="4A91694F"/>
    <w:rsid w:val="4A987CDE"/>
    <w:rsid w:val="4A9B332A"/>
    <w:rsid w:val="4A9B4BEA"/>
    <w:rsid w:val="4A9D23DE"/>
    <w:rsid w:val="4AA46683"/>
    <w:rsid w:val="4AA5064D"/>
    <w:rsid w:val="4AA76173"/>
    <w:rsid w:val="4AA85A47"/>
    <w:rsid w:val="4AAA17BF"/>
    <w:rsid w:val="4ABD5996"/>
    <w:rsid w:val="4AC8348F"/>
    <w:rsid w:val="4AC960E9"/>
    <w:rsid w:val="4AD131F0"/>
    <w:rsid w:val="4AD60806"/>
    <w:rsid w:val="4AE447B6"/>
    <w:rsid w:val="4AF436B7"/>
    <w:rsid w:val="4AF561A9"/>
    <w:rsid w:val="4AF8077D"/>
    <w:rsid w:val="4B0C5FD6"/>
    <w:rsid w:val="4B1650A7"/>
    <w:rsid w:val="4B166E55"/>
    <w:rsid w:val="4B1A06F3"/>
    <w:rsid w:val="4B241572"/>
    <w:rsid w:val="4B257098"/>
    <w:rsid w:val="4B3B68BB"/>
    <w:rsid w:val="4B410375"/>
    <w:rsid w:val="4B4A58F3"/>
    <w:rsid w:val="4B4C5A41"/>
    <w:rsid w:val="4B5D4A84"/>
    <w:rsid w:val="4B6127C6"/>
    <w:rsid w:val="4B707823"/>
    <w:rsid w:val="4B751DCD"/>
    <w:rsid w:val="4B7666AB"/>
    <w:rsid w:val="4B7C315C"/>
    <w:rsid w:val="4B8D5369"/>
    <w:rsid w:val="4B8E2E8F"/>
    <w:rsid w:val="4B95246F"/>
    <w:rsid w:val="4B9E1324"/>
    <w:rsid w:val="4BA2545A"/>
    <w:rsid w:val="4BA821A3"/>
    <w:rsid w:val="4BB24DCF"/>
    <w:rsid w:val="4BB548C0"/>
    <w:rsid w:val="4BB87F0C"/>
    <w:rsid w:val="4BBA1ED6"/>
    <w:rsid w:val="4BBD5522"/>
    <w:rsid w:val="4BC468B1"/>
    <w:rsid w:val="4BCB5E91"/>
    <w:rsid w:val="4BCD1C09"/>
    <w:rsid w:val="4BCE3FFA"/>
    <w:rsid w:val="4BD05255"/>
    <w:rsid w:val="4BD156F8"/>
    <w:rsid w:val="4BD9235C"/>
    <w:rsid w:val="4BDA12FF"/>
    <w:rsid w:val="4BDB7C5A"/>
    <w:rsid w:val="4BE07B8E"/>
    <w:rsid w:val="4BE55BCE"/>
    <w:rsid w:val="4BE6168D"/>
    <w:rsid w:val="4BF83CB2"/>
    <w:rsid w:val="4BFE6267"/>
    <w:rsid w:val="4C06511B"/>
    <w:rsid w:val="4C0F5D7E"/>
    <w:rsid w:val="4C244078"/>
    <w:rsid w:val="4C285091"/>
    <w:rsid w:val="4C2D08FA"/>
    <w:rsid w:val="4C4A0649"/>
    <w:rsid w:val="4C4D4AF8"/>
    <w:rsid w:val="4C5639AD"/>
    <w:rsid w:val="4C5D11DF"/>
    <w:rsid w:val="4C5E4611"/>
    <w:rsid w:val="4C786019"/>
    <w:rsid w:val="4C7958ED"/>
    <w:rsid w:val="4C7E5ECA"/>
    <w:rsid w:val="4C87625C"/>
    <w:rsid w:val="4C876AA5"/>
    <w:rsid w:val="4C995F8F"/>
    <w:rsid w:val="4C9D15DC"/>
    <w:rsid w:val="4C9F663F"/>
    <w:rsid w:val="4CA010CC"/>
    <w:rsid w:val="4CA02E7A"/>
    <w:rsid w:val="4CA47EC1"/>
    <w:rsid w:val="4CA706AC"/>
    <w:rsid w:val="4CB02CCD"/>
    <w:rsid w:val="4CBD1C7E"/>
    <w:rsid w:val="4CBD44DF"/>
    <w:rsid w:val="4CC05B4A"/>
    <w:rsid w:val="4CC52999"/>
    <w:rsid w:val="4CD33FEA"/>
    <w:rsid w:val="4CD945DE"/>
    <w:rsid w:val="4CDA3E72"/>
    <w:rsid w:val="4CE03BBE"/>
    <w:rsid w:val="4CE30FB8"/>
    <w:rsid w:val="4CF5766A"/>
    <w:rsid w:val="4CF94061"/>
    <w:rsid w:val="4CFD207A"/>
    <w:rsid w:val="4D001B6A"/>
    <w:rsid w:val="4D085A60"/>
    <w:rsid w:val="4D0C05A9"/>
    <w:rsid w:val="4D0E00FB"/>
    <w:rsid w:val="4D0F1DAD"/>
    <w:rsid w:val="4D176606"/>
    <w:rsid w:val="4D1F46E6"/>
    <w:rsid w:val="4D2678A8"/>
    <w:rsid w:val="4D3D4B6D"/>
    <w:rsid w:val="4D4128AF"/>
    <w:rsid w:val="4D471547"/>
    <w:rsid w:val="4D4952BF"/>
    <w:rsid w:val="4D4C4DB0"/>
    <w:rsid w:val="4D562ACB"/>
    <w:rsid w:val="4D565C2E"/>
    <w:rsid w:val="4D583754"/>
    <w:rsid w:val="4D6B792C"/>
    <w:rsid w:val="4D7473AF"/>
    <w:rsid w:val="4D812CAB"/>
    <w:rsid w:val="4D821EF7"/>
    <w:rsid w:val="4D907392"/>
    <w:rsid w:val="4D97427D"/>
    <w:rsid w:val="4D9A3D6D"/>
    <w:rsid w:val="4D9C1893"/>
    <w:rsid w:val="4DBF7A2E"/>
    <w:rsid w:val="4DCB03CA"/>
    <w:rsid w:val="4DD454D1"/>
    <w:rsid w:val="4DD54DA5"/>
    <w:rsid w:val="4DDE55ED"/>
    <w:rsid w:val="4DE11656"/>
    <w:rsid w:val="4DE90850"/>
    <w:rsid w:val="4DEC4FB0"/>
    <w:rsid w:val="4DEF230B"/>
    <w:rsid w:val="4DFD21DE"/>
    <w:rsid w:val="4E01203E"/>
    <w:rsid w:val="4E061402"/>
    <w:rsid w:val="4E06542A"/>
    <w:rsid w:val="4E075D8A"/>
    <w:rsid w:val="4E0D09E3"/>
    <w:rsid w:val="4E0F02B7"/>
    <w:rsid w:val="4E1C29D4"/>
    <w:rsid w:val="4E233A5C"/>
    <w:rsid w:val="4E2716B1"/>
    <w:rsid w:val="4E2D698F"/>
    <w:rsid w:val="4E2F3263"/>
    <w:rsid w:val="4E3221F7"/>
    <w:rsid w:val="4E3E6DEE"/>
    <w:rsid w:val="4E453CD9"/>
    <w:rsid w:val="4E4D7031"/>
    <w:rsid w:val="4E5C6303"/>
    <w:rsid w:val="4E6011B1"/>
    <w:rsid w:val="4E68255E"/>
    <w:rsid w:val="4E6A7BE3"/>
    <w:rsid w:val="4E740A62"/>
    <w:rsid w:val="4E7736AC"/>
    <w:rsid w:val="4E7740AE"/>
    <w:rsid w:val="4E796078"/>
    <w:rsid w:val="4E802F63"/>
    <w:rsid w:val="4E881E17"/>
    <w:rsid w:val="4E8C5DAC"/>
    <w:rsid w:val="4E950123"/>
    <w:rsid w:val="4EA2112B"/>
    <w:rsid w:val="4EA56E6D"/>
    <w:rsid w:val="4EA81D39"/>
    <w:rsid w:val="4EB25722"/>
    <w:rsid w:val="4EB90223"/>
    <w:rsid w:val="4EBB3F9B"/>
    <w:rsid w:val="4EC00FAD"/>
    <w:rsid w:val="4EC54E1A"/>
    <w:rsid w:val="4EC56BC8"/>
    <w:rsid w:val="4ECD1F20"/>
    <w:rsid w:val="4ED835A5"/>
    <w:rsid w:val="4EE51018"/>
    <w:rsid w:val="4EE71234"/>
    <w:rsid w:val="4EEA2AD2"/>
    <w:rsid w:val="4EF676C9"/>
    <w:rsid w:val="4EF83441"/>
    <w:rsid w:val="4EF851EF"/>
    <w:rsid w:val="4EFB6A8D"/>
    <w:rsid w:val="4F1137C6"/>
    <w:rsid w:val="4F155DA1"/>
    <w:rsid w:val="4F1D07B2"/>
    <w:rsid w:val="4F2204BE"/>
    <w:rsid w:val="4F275AD4"/>
    <w:rsid w:val="4F3855EC"/>
    <w:rsid w:val="4F3B1580"/>
    <w:rsid w:val="4F3D2C02"/>
    <w:rsid w:val="4F4B17C3"/>
    <w:rsid w:val="4F5148FF"/>
    <w:rsid w:val="4F672375"/>
    <w:rsid w:val="4F6F2EA9"/>
    <w:rsid w:val="4F766114"/>
    <w:rsid w:val="4F7C5E20"/>
    <w:rsid w:val="4F824AB9"/>
    <w:rsid w:val="4F840831"/>
    <w:rsid w:val="4F8B1BBF"/>
    <w:rsid w:val="4F92779E"/>
    <w:rsid w:val="4F960564"/>
    <w:rsid w:val="4F9842DC"/>
    <w:rsid w:val="4F9843DC"/>
    <w:rsid w:val="4FA9473B"/>
    <w:rsid w:val="4FAB04B3"/>
    <w:rsid w:val="4FB96CA6"/>
    <w:rsid w:val="4FBB2829"/>
    <w:rsid w:val="4FBD688A"/>
    <w:rsid w:val="4FC62A8C"/>
    <w:rsid w:val="4FC96B8B"/>
    <w:rsid w:val="4FCD042A"/>
    <w:rsid w:val="4FD03A76"/>
    <w:rsid w:val="4FD572DE"/>
    <w:rsid w:val="4FDE2637"/>
    <w:rsid w:val="4FE20F0D"/>
    <w:rsid w:val="4FE51552"/>
    <w:rsid w:val="4FE64AA3"/>
    <w:rsid w:val="4FE6773D"/>
    <w:rsid w:val="4FE87012"/>
    <w:rsid w:val="4FF45606"/>
    <w:rsid w:val="500478DE"/>
    <w:rsid w:val="50067498"/>
    <w:rsid w:val="500C3E41"/>
    <w:rsid w:val="501A1195"/>
    <w:rsid w:val="50203244"/>
    <w:rsid w:val="50242014"/>
    <w:rsid w:val="50271144"/>
    <w:rsid w:val="502A587C"/>
    <w:rsid w:val="502D711A"/>
    <w:rsid w:val="50306C0B"/>
    <w:rsid w:val="50334005"/>
    <w:rsid w:val="503448C6"/>
    <w:rsid w:val="50412BC6"/>
    <w:rsid w:val="504A1A7A"/>
    <w:rsid w:val="504B2837"/>
    <w:rsid w:val="504D7564"/>
    <w:rsid w:val="504F6DB8"/>
    <w:rsid w:val="50504C4B"/>
    <w:rsid w:val="506348EA"/>
    <w:rsid w:val="50650366"/>
    <w:rsid w:val="506B3DC0"/>
    <w:rsid w:val="507C59AC"/>
    <w:rsid w:val="50811214"/>
    <w:rsid w:val="50854CBB"/>
    <w:rsid w:val="508C1F90"/>
    <w:rsid w:val="508D7BB9"/>
    <w:rsid w:val="509C6E7C"/>
    <w:rsid w:val="50A3118B"/>
    <w:rsid w:val="50AA7C6B"/>
    <w:rsid w:val="50B11AF9"/>
    <w:rsid w:val="50B909AE"/>
    <w:rsid w:val="50C86E43"/>
    <w:rsid w:val="50E1107E"/>
    <w:rsid w:val="50E35A2B"/>
    <w:rsid w:val="50E377D9"/>
    <w:rsid w:val="50E7551B"/>
    <w:rsid w:val="50E81293"/>
    <w:rsid w:val="50F33EC0"/>
    <w:rsid w:val="50FA306C"/>
    <w:rsid w:val="5100038B"/>
    <w:rsid w:val="510F6820"/>
    <w:rsid w:val="51112598"/>
    <w:rsid w:val="511300BE"/>
    <w:rsid w:val="511B51C5"/>
    <w:rsid w:val="511B692C"/>
    <w:rsid w:val="511D0F3D"/>
    <w:rsid w:val="51254295"/>
    <w:rsid w:val="51271DBC"/>
    <w:rsid w:val="512D78DC"/>
    <w:rsid w:val="51340212"/>
    <w:rsid w:val="513930B5"/>
    <w:rsid w:val="513E0EB3"/>
    <w:rsid w:val="5142692B"/>
    <w:rsid w:val="514343A2"/>
    <w:rsid w:val="514C1822"/>
    <w:rsid w:val="5156444F"/>
    <w:rsid w:val="515E50B1"/>
    <w:rsid w:val="515F7488"/>
    <w:rsid w:val="5162104E"/>
    <w:rsid w:val="51654692"/>
    <w:rsid w:val="516B614C"/>
    <w:rsid w:val="516C5A20"/>
    <w:rsid w:val="516E7DCB"/>
    <w:rsid w:val="51750D79"/>
    <w:rsid w:val="518208D1"/>
    <w:rsid w:val="518B5CBD"/>
    <w:rsid w:val="51962A9D"/>
    <w:rsid w:val="519A51D4"/>
    <w:rsid w:val="519B6306"/>
    <w:rsid w:val="51AA4B4C"/>
    <w:rsid w:val="51B15B29"/>
    <w:rsid w:val="51B66C9C"/>
    <w:rsid w:val="51BA678C"/>
    <w:rsid w:val="51BF0246"/>
    <w:rsid w:val="51C03A84"/>
    <w:rsid w:val="51DD18E7"/>
    <w:rsid w:val="51EB2DE9"/>
    <w:rsid w:val="51ED4DB3"/>
    <w:rsid w:val="51FA127E"/>
    <w:rsid w:val="520B348B"/>
    <w:rsid w:val="520D0FB1"/>
    <w:rsid w:val="521976F3"/>
    <w:rsid w:val="522E717A"/>
    <w:rsid w:val="523302EC"/>
    <w:rsid w:val="5237602E"/>
    <w:rsid w:val="523957BE"/>
    <w:rsid w:val="523A167B"/>
    <w:rsid w:val="525070F0"/>
    <w:rsid w:val="52551ED0"/>
    <w:rsid w:val="52557005"/>
    <w:rsid w:val="525766D1"/>
    <w:rsid w:val="52630BD1"/>
    <w:rsid w:val="52662470"/>
    <w:rsid w:val="526C4F83"/>
    <w:rsid w:val="526D37FE"/>
    <w:rsid w:val="527E1EAF"/>
    <w:rsid w:val="52860D64"/>
    <w:rsid w:val="52874FED"/>
    <w:rsid w:val="5294522F"/>
    <w:rsid w:val="529F5982"/>
    <w:rsid w:val="52A364E2"/>
    <w:rsid w:val="52AF2D38"/>
    <w:rsid w:val="52B0193D"/>
    <w:rsid w:val="52B06F23"/>
    <w:rsid w:val="52B07B8F"/>
    <w:rsid w:val="52B14033"/>
    <w:rsid w:val="52B633F7"/>
    <w:rsid w:val="52B92EE7"/>
    <w:rsid w:val="52BB4769"/>
    <w:rsid w:val="52BC6534"/>
    <w:rsid w:val="52BE22AC"/>
    <w:rsid w:val="52C06024"/>
    <w:rsid w:val="52D41ACF"/>
    <w:rsid w:val="52D7511B"/>
    <w:rsid w:val="52D9353C"/>
    <w:rsid w:val="52DC2732"/>
    <w:rsid w:val="52E066C6"/>
    <w:rsid w:val="52EA12F3"/>
    <w:rsid w:val="52EF06B7"/>
    <w:rsid w:val="52F04997"/>
    <w:rsid w:val="52F263F9"/>
    <w:rsid w:val="52FE6B4C"/>
    <w:rsid w:val="530D4FE1"/>
    <w:rsid w:val="531148D7"/>
    <w:rsid w:val="53191BD8"/>
    <w:rsid w:val="53206AC2"/>
    <w:rsid w:val="53226CDE"/>
    <w:rsid w:val="53277E51"/>
    <w:rsid w:val="532D4A8B"/>
    <w:rsid w:val="532E5683"/>
    <w:rsid w:val="533802B0"/>
    <w:rsid w:val="534053B7"/>
    <w:rsid w:val="534D53DE"/>
    <w:rsid w:val="534D68B8"/>
    <w:rsid w:val="534E61E1"/>
    <w:rsid w:val="535C0EDF"/>
    <w:rsid w:val="536A41E2"/>
    <w:rsid w:val="536C7F5A"/>
    <w:rsid w:val="536D782E"/>
    <w:rsid w:val="537457FB"/>
    <w:rsid w:val="53755060"/>
    <w:rsid w:val="537806AC"/>
    <w:rsid w:val="5382152B"/>
    <w:rsid w:val="53827989"/>
    <w:rsid w:val="538C5F06"/>
    <w:rsid w:val="53980081"/>
    <w:rsid w:val="53A039CC"/>
    <w:rsid w:val="53A1505A"/>
    <w:rsid w:val="53A25729"/>
    <w:rsid w:val="53A420B1"/>
    <w:rsid w:val="53B11E10"/>
    <w:rsid w:val="53BB67EB"/>
    <w:rsid w:val="53EE7631"/>
    <w:rsid w:val="53F342C8"/>
    <w:rsid w:val="53FD5056"/>
    <w:rsid w:val="54063E08"/>
    <w:rsid w:val="541447FD"/>
    <w:rsid w:val="541C372E"/>
    <w:rsid w:val="541D3002"/>
    <w:rsid w:val="542143DD"/>
    <w:rsid w:val="542720D3"/>
    <w:rsid w:val="54295E4B"/>
    <w:rsid w:val="542E3461"/>
    <w:rsid w:val="543437E8"/>
    <w:rsid w:val="5438608E"/>
    <w:rsid w:val="543C3DD0"/>
    <w:rsid w:val="544C2A8B"/>
    <w:rsid w:val="5454707F"/>
    <w:rsid w:val="5458228C"/>
    <w:rsid w:val="54631220"/>
    <w:rsid w:val="54774E08"/>
    <w:rsid w:val="54787E14"/>
    <w:rsid w:val="547A48F8"/>
    <w:rsid w:val="547F49A0"/>
    <w:rsid w:val="547F5996"/>
    <w:rsid w:val="548A4B3B"/>
    <w:rsid w:val="548B08B3"/>
    <w:rsid w:val="548E0FA2"/>
    <w:rsid w:val="548E1B2D"/>
    <w:rsid w:val="549332C4"/>
    <w:rsid w:val="54971006"/>
    <w:rsid w:val="54A86D6F"/>
    <w:rsid w:val="54AD6A7C"/>
    <w:rsid w:val="54B501BD"/>
    <w:rsid w:val="54B95421"/>
    <w:rsid w:val="54B971CF"/>
    <w:rsid w:val="54C067AF"/>
    <w:rsid w:val="54C30E30"/>
    <w:rsid w:val="54E12281"/>
    <w:rsid w:val="54E61BBB"/>
    <w:rsid w:val="54EC75A4"/>
    <w:rsid w:val="54F73313"/>
    <w:rsid w:val="54F80955"/>
    <w:rsid w:val="54F93EBC"/>
    <w:rsid w:val="55020B76"/>
    <w:rsid w:val="550B72FE"/>
    <w:rsid w:val="550F5041"/>
    <w:rsid w:val="55172147"/>
    <w:rsid w:val="5520724E"/>
    <w:rsid w:val="55226F68"/>
    <w:rsid w:val="55252FED"/>
    <w:rsid w:val="552D54C7"/>
    <w:rsid w:val="55342CF9"/>
    <w:rsid w:val="553700F3"/>
    <w:rsid w:val="55376345"/>
    <w:rsid w:val="554F368F"/>
    <w:rsid w:val="555170A7"/>
    <w:rsid w:val="555667CB"/>
    <w:rsid w:val="556F1F83"/>
    <w:rsid w:val="55711857"/>
    <w:rsid w:val="55855303"/>
    <w:rsid w:val="5587536D"/>
    <w:rsid w:val="558D41B7"/>
    <w:rsid w:val="559030DD"/>
    <w:rsid w:val="559341D4"/>
    <w:rsid w:val="55942B9B"/>
    <w:rsid w:val="559B174B"/>
    <w:rsid w:val="559B4B26"/>
    <w:rsid w:val="55A25899"/>
    <w:rsid w:val="55B61960"/>
    <w:rsid w:val="55B87486"/>
    <w:rsid w:val="55BE25C3"/>
    <w:rsid w:val="55BE4F59"/>
    <w:rsid w:val="55C220B3"/>
    <w:rsid w:val="55C67DF5"/>
    <w:rsid w:val="55CE0CF4"/>
    <w:rsid w:val="55DA1393"/>
    <w:rsid w:val="55DB3175"/>
    <w:rsid w:val="55EE10FA"/>
    <w:rsid w:val="55F04E72"/>
    <w:rsid w:val="55F81F79"/>
    <w:rsid w:val="55FB414C"/>
    <w:rsid w:val="56073F6A"/>
    <w:rsid w:val="56102E1E"/>
    <w:rsid w:val="56150435"/>
    <w:rsid w:val="56156687"/>
    <w:rsid w:val="561B17C3"/>
    <w:rsid w:val="561B7A15"/>
    <w:rsid w:val="561C5A46"/>
    <w:rsid w:val="562619C4"/>
    <w:rsid w:val="562C58F3"/>
    <w:rsid w:val="563034C0"/>
    <w:rsid w:val="5630526E"/>
    <w:rsid w:val="56334D5F"/>
    <w:rsid w:val="56343C80"/>
    <w:rsid w:val="56347EC1"/>
    <w:rsid w:val="563A7E9B"/>
    <w:rsid w:val="563B431D"/>
    <w:rsid w:val="563C1E65"/>
    <w:rsid w:val="563D7950"/>
    <w:rsid w:val="564205FD"/>
    <w:rsid w:val="564A004F"/>
    <w:rsid w:val="564F1095"/>
    <w:rsid w:val="564F54C8"/>
    <w:rsid w:val="56516480"/>
    <w:rsid w:val="565F3DA6"/>
    <w:rsid w:val="56674A08"/>
    <w:rsid w:val="56815ACA"/>
    <w:rsid w:val="568455BA"/>
    <w:rsid w:val="569F41A2"/>
    <w:rsid w:val="56A1616C"/>
    <w:rsid w:val="56AB72AB"/>
    <w:rsid w:val="56B22A9C"/>
    <w:rsid w:val="56BB3CA3"/>
    <w:rsid w:val="56BC4D54"/>
    <w:rsid w:val="56D007FF"/>
    <w:rsid w:val="56E66275"/>
    <w:rsid w:val="56F269C8"/>
    <w:rsid w:val="56F62625"/>
    <w:rsid w:val="56FB1D20"/>
    <w:rsid w:val="570F1328"/>
    <w:rsid w:val="57122BC6"/>
    <w:rsid w:val="57154464"/>
    <w:rsid w:val="57256D9D"/>
    <w:rsid w:val="57315742"/>
    <w:rsid w:val="57320A5C"/>
    <w:rsid w:val="57392849"/>
    <w:rsid w:val="573A3ECB"/>
    <w:rsid w:val="573C40E7"/>
    <w:rsid w:val="57462870"/>
    <w:rsid w:val="57476D14"/>
    <w:rsid w:val="57574A7D"/>
    <w:rsid w:val="575851E3"/>
    <w:rsid w:val="575A702F"/>
    <w:rsid w:val="575B631B"/>
    <w:rsid w:val="575D464A"/>
    <w:rsid w:val="575E5E0B"/>
    <w:rsid w:val="57680A38"/>
    <w:rsid w:val="57715B3F"/>
    <w:rsid w:val="57720FDC"/>
    <w:rsid w:val="577A2E4B"/>
    <w:rsid w:val="57831D16"/>
    <w:rsid w:val="5785783C"/>
    <w:rsid w:val="57923D07"/>
    <w:rsid w:val="57995095"/>
    <w:rsid w:val="579A797C"/>
    <w:rsid w:val="57B27F05"/>
    <w:rsid w:val="57B72A76"/>
    <w:rsid w:val="57C3426C"/>
    <w:rsid w:val="57CC7219"/>
    <w:rsid w:val="57CE1F93"/>
    <w:rsid w:val="57DE0CFA"/>
    <w:rsid w:val="57DE6F4C"/>
    <w:rsid w:val="57E45E41"/>
    <w:rsid w:val="57E52089"/>
    <w:rsid w:val="58093FC9"/>
    <w:rsid w:val="58122B02"/>
    <w:rsid w:val="5814471C"/>
    <w:rsid w:val="58152BDA"/>
    <w:rsid w:val="581666E6"/>
    <w:rsid w:val="581A4428"/>
    <w:rsid w:val="581B3CFC"/>
    <w:rsid w:val="581B5AAA"/>
    <w:rsid w:val="58201313"/>
    <w:rsid w:val="58207565"/>
    <w:rsid w:val="582708F3"/>
    <w:rsid w:val="58276B45"/>
    <w:rsid w:val="582B03E3"/>
    <w:rsid w:val="58445001"/>
    <w:rsid w:val="58472D43"/>
    <w:rsid w:val="58584F50"/>
    <w:rsid w:val="585F008D"/>
    <w:rsid w:val="58627B7D"/>
    <w:rsid w:val="58694A68"/>
    <w:rsid w:val="586B6A32"/>
    <w:rsid w:val="587753D7"/>
    <w:rsid w:val="587804B7"/>
    <w:rsid w:val="587B479B"/>
    <w:rsid w:val="58801DB1"/>
    <w:rsid w:val="5886386C"/>
    <w:rsid w:val="588743D1"/>
    <w:rsid w:val="5887701A"/>
    <w:rsid w:val="5889510A"/>
    <w:rsid w:val="588C4ECA"/>
    <w:rsid w:val="588F2AB7"/>
    <w:rsid w:val="5895585D"/>
    <w:rsid w:val="58AF6A44"/>
    <w:rsid w:val="58BF6D7E"/>
    <w:rsid w:val="58C257CD"/>
    <w:rsid w:val="58CE0D6F"/>
    <w:rsid w:val="58D5034F"/>
    <w:rsid w:val="58E40592"/>
    <w:rsid w:val="58E93DFA"/>
    <w:rsid w:val="58ED5699"/>
    <w:rsid w:val="58F267A1"/>
    <w:rsid w:val="58F5454D"/>
    <w:rsid w:val="58FA5C29"/>
    <w:rsid w:val="58FA6008"/>
    <w:rsid w:val="5900361E"/>
    <w:rsid w:val="59036C6A"/>
    <w:rsid w:val="590429E2"/>
    <w:rsid w:val="590B1FC3"/>
    <w:rsid w:val="591F0ED8"/>
    <w:rsid w:val="59305585"/>
    <w:rsid w:val="5938302D"/>
    <w:rsid w:val="593B4656"/>
    <w:rsid w:val="59402A6B"/>
    <w:rsid w:val="594A4899"/>
    <w:rsid w:val="594B0611"/>
    <w:rsid w:val="595079D6"/>
    <w:rsid w:val="5955323E"/>
    <w:rsid w:val="595B4CF8"/>
    <w:rsid w:val="5963595B"/>
    <w:rsid w:val="59662CF7"/>
    <w:rsid w:val="59667E3B"/>
    <w:rsid w:val="596A6CE9"/>
    <w:rsid w:val="596D4A2C"/>
    <w:rsid w:val="597436C4"/>
    <w:rsid w:val="59747B68"/>
    <w:rsid w:val="597F6BFB"/>
    <w:rsid w:val="598002BB"/>
    <w:rsid w:val="59801273"/>
    <w:rsid w:val="59831B59"/>
    <w:rsid w:val="59837899"/>
    <w:rsid w:val="59837DAB"/>
    <w:rsid w:val="598558D1"/>
    <w:rsid w:val="59856944"/>
    <w:rsid w:val="598A738C"/>
    <w:rsid w:val="59B241EC"/>
    <w:rsid w:val="59B368E2"/>
    <w:rsid w:val="59BD150F"/>
    <w:rsid w:val="59C0439F"/>
    <w:rsid w:val="59C53F20"/>
    <w:rsid w:val="59D13ABB"/>
    <w:rsid w:val="59E24A40"/>
    <w:rsid w:val="59E53E60"/>
    <w:rsid w:val="59E545C2"/>
    <w:rsid w:val="59EF5B1B"/>
    <w:rsid w:val="59F12F67"/>
    <w:rsid w:val="59F1740B"/>
    <w:rsid w:val="59FE5393"/>
    <w:rsid w:val="59FE5684"/>
    <w:rsid w:val="5A00764E"/>
    <w:rsid w:val="5A0C7DA1"/>
    <w:rsid w:val="5A144EA7"/>
    <w:rsid w:val="5A1B4488"/>
    <w:rsid w:val="5A2055FA"/>
    <w:rsid w:val="5A245F89"/>
    <w:rsid w:val="5A3612C1"/>
    <w:rsid w:val="5A404FCE"/>
    <w:rsid w:val="5A4E01CD"/>
    <w:rsid w:val="5A4E660B"/>
    <w:rsid w:val="5A4F5EDF"/>
    <w:rsid w:val="5A5359CF"/>
    <w:rsid w:val="5A557999"/>
    <w:rsid w:val="5A577137"/>
    <w:rsid w:val="5A5B1DED"/>
    <w:rsid w:val="5A673229"/>
    <w:rsid w:val="5A6E45B7"/>
    <w:rsid w:val="5A731BCE"/>
    <w:rsid w:val="5A7F67C4"/>
    <w:rsid w:val="5A8C56CF"/>
    <w:rsid w:val="5A93401E"/>
    <w:rsid w:val="5A9545B4"/>
    <w:rsid w:val="5AA83C7B"/>
    <w:rsid w:val="5AA91A93"/>
    <w:rsid w:val="5AA955EF"/>
    <w:rsid w:val="5AAB75B9"/>
    <w:rsid w:val="5AAE0E58"/>
    <w:rsid w:val="5AB65E2A"/>
    <w:rsid w:val="5ABE2233"/>
    <w:rsid w:val="5AC95C92"/>
    <w:rsid w:val="5ACC12DE"/>
    <w:rsid w:val="5AD3266C"/>
    <w:rsid w:val="5AD563E4"/>
    <w:rsid w:val="5ADE1E7A"/>
    <w:rsid w:val="5AE26D53"/>
    <w:rsid w:val="5AE64A95"/>
    <w:rsid w:val="5AEB5C08"/>
    <w:rsid w:val="5AF076C2"/>
    <w:rsid w:val="5AF70A51"/>
    <w:rsid w:val="5B0373F5"/>
    <w:rsid w:val="5B062A42"/>
    <w:rsid w:val="5B24111A"/>
    <w:rsid w:val="5B2630E4"/>
    <w:rsid w:val="5B525C87"/>
    <w:rsid w:val="5B5B0FE0"/>
    <w:rsid w:val="5B5E0F00"/>
    <w:rsid w:val="5B5E287E"/>
    <w:rsid w:val="5B5E63DA"/>
    <w:rsid w:val="5B5F03A4"/>
    <w:rsid w:val="5B5F2152"/>
    <w:rsid w:val="5B871DD5"/>
    <w:rsid w:val="5B8A3673"/>
    <w:rsid w:val="5B915813"/>
    <w:rsid w:val="5B953DC6"/>
    <w:rsid w:val="5B982B09"/>
    <w:rsid w:val="5BA65FD3"/>
    <w:rsid w:val="5BA74225"/>
    <w:rsid w:val="5BA858A7"/>
    <w:rsid w:val="5BAA161F"/>
    <w:rsid w:val="5BAA7FD0"/>
    <w:rsid w:val="5BAD213A"/>
    <w:rsid w:val="5BAD7361"/>
    <w:rsid w:val="5BAF6C35"/>
    <w:rsid w:val="5BB10BFF"/>
    <w:rsid w:val="5BB141D7"/>
    <w:rsid w:val="5BC14BBB"/>
    <w:rsid w:val="5BC377A5"/>
    <w:rsid w:val="5BC57CCC"/>
    <w:rsid w:val="5BD3501A"/>
    <w:rsid w:val="5BDF5D95"/>
    <w:rsid w:val="5BE16142"/>
    <w:rsid w:val="5BF255C4"/>
    <w:rsid w:val="5BF62AB6"/>
    <w:rsid w:val="5BFD3E45"/>
    <w:rsid w:val="5BFE7528"/>
    <w:rsid w:val="5C003935"/>
    <w:rsid w:val="5C02145B"/>
    <w:rsid w:val="5C05719D"/>
    <w:rsid w:val="5C1B406E"/>
    <w:rsid w:val="5C1F3637"/>
    <w:rsid w:val="5C237623"/>
    <w:rsid w:val="5C2E04A2"/>
    <w:rsid w:val="5C34538D"/>
    <w:rsid w:val="5C384E7D"/>
    <w:rsid w:val="5C4131B7"/>
    <w:rsid w:val="5C4750C0"/>
    <w:rsid w:val="5C4E644E"/>
    <w:rsid w:val="5C613D4A"/>
    <w:rsid w:val="5C6336F0"/>
    <w:rsid w:val="5C6519EA"/>
    <w:rsid w:val="5C6E4D42"/>
    <w:rsid w:val="5C8005D2"/>
    <w:rsid w:val="5C8210D4"/>
    <w:rsid w:val="5C875E04"/>
    <w:rsid w:val="5C89392A"/>
    <w:rsid w:val="5C8956D8"/>
    <w:rsid w:val="5C8D3328"/>
    <w:rsid w:val="5C961BA3"/>
    <w:rsid w:val="5C9D2F32"/>
    <w:rsid w:val="5CA0283D"/>
    <w:rsid w:val="5CA63ECF"/>
    <w:rsid w:val="5CA93FCD"/>
    <w:rsid w:val="5CBD1826"/>
    <w:rsid w:val="5CBF10FA"/>
    <w:rsid w:val="5CBF2333"/>
    <w:rsid w:val="5CC15124"/>
    <w:rsid w:val="5CC20BEA"/>
    <w:rsid w:val="5CC93D27"/>
    <w:rsid w:val="5CCD3F6D"/>
    <w:rsid w:val="5CCE2780"/>
    <w:rsid w:val="5CDA4186"/>
    <w:rsid w:val="5CE46DB3"/>
    <w:rsid w:val="5CE73716"/>
    <w:rsid w:val="5CE84AF5"/>
    <w:rsid w:val="5CEE5E83"/>
    <w:rsid w:val="5CF7587D"/>
    <w:rsid w:val="5CFB5EAA"/>
    <w:rsid w:val="5D015BB7"/>
    <w:rsid w:val="5D0B07E3"/>
    <w:rsid w:val="5D187149"/>
    <w:rsid w:val="5D1A4582"/>
    <w:rsid w:val="5D1C2B72"/>
    <w:rsid w:val="5D2378DB"/>
    <w:rsid w:val="5D292A17"/>
    <w:rsid w:val="5D30024A"/>
    <w:rsid w:val="5D4569AE"/>
    <w:rsid w:val="5D465377"/>
    <w:rsid w:val="5D485594"/>
    <w:rsid w:val="5D4930BA"/>
    <w:rsid w:val="5D4B0BE0"/>
    <w:rsid w:val="5D4D6706"/>
    <w:rsid w:val="5D4D7E0E"/>
    <w:rsid w:val="5D505750"/>
    <w:rsid w:val="5D5C103F"/>
    <w:rsid w:val="5D5F6439"/>
    <w:rsid w:val="5D69550A"/>
    <w:rsid w:val="5D740137"/>
    <w:rsid w:val="5D752101"/>
    <w:rsid w:val="5D755C5D"/>
    <w:rsid w:val="5D7B626B"/>
    <w:rsid w:val="5D944335"/>
    <w:rsid w:val="5D973E25"/>
    <w:rsid w:val="5D9E1657"/>
    <w:rsid w:val="5D9E3405"/>
    <w:rsid w:val="5DC015CE"/>
    <w:rsid w:val="5DCA41FA"/>
    <w:rsid w:val="5DD60DF1"/>
    <w:rsid w:val="5DD72473"/>
    <w:rsid w:val="5DDD2180"/>
    <w:rsid w:val="5DDE6F83"/>
    <w:rsid w:val="5DE11544"/>
    <w:rsid w:val="5DE66B5A"/>
    <w:rsid w:val="5DE74DAC"/>
    <w:rsid w:val="5DF23751"/>
    <w:rsid w:val="5DF43025"/>
    <w:rsid w:val="5DF50B4C"/>
    <w:rsid w:val="5DFB43B4"/>
    <w:rsid w:val="5DFC1EDA"/>
    <w:rsid w:val="5E062D59"/>
    <w:rsid w:val="5E2467F1"/>
    <w:rsid w:val="5E2A2EEB"/>
    <w:rsid w:val="5E2E29DB"/>
    <w:rsid w:val="5E420235"/>
    <w:rsid w:val="5E421FE3"/>
    <w:rsid w:val="5E49679A"/>
    <w:rsid w:val="5E677C9B"/>
    <w:rsid w:val="5E775B46"/>
    <w:rsid w:val="5E8C325E"/>
    <w:rsid w:val="5E987E55"/>
    <w:rsid w:val="5E9D546B"/>
    <w:rsid w:val="5EA20CD3"/>
    <w:rsid w:val="5EB757F1"/>
    <w:rsid w:val="5EB97DCB"/>
    <w:rsid w:val="5EC155FD"/>
    <w:rsid w:val="5ECB022A"/>
    <w:rsid w:val="5ED30E8D"/>
    <w:rsid w:val="5EE720B8"/>
    <w:rsid w:val="5EE74938"/>
    <w:rsid w:val="5EED0F7D"/>
    <w:rsid w:val="5F0B0627"/>
    <w:rsid w:val="5F0B56FE"/>
    <w:rsid w:val="5F131BD1"/>
    <w:rsid w:val="5F13397F"/>
    <w:rsid w:val="5F1576F7"/>
    <w:rsid w:val="5F16521D"/>
    <w:rsid w:val="5F1A2B43"/>
    <w:rsid w:val="5F2416E8"/>
    <w:rsid w:val="5F265461"/>
    <w:rsid w:val="5F2931A3"/>
    <w:rsid w:val="5F322057"/>
    <w:rsid w:val="5F3333FF"/>
    <w:rsid w:val="5F334021"/>
    <w:rsid w:val="5F34655F"/>
    <w:rsid w:val="5F3833E6"/>
    <w:rsid w:val="5F3B6A32"/>
    <w:rsid w:val="5F3F6522"/>
    <w:rsid w:val="5F4B4EC7"/>
    <w:rsid w:val="5F4E2C09"/>
    <w:rsid w:val="5F534081"/>
    <w:rsid w:val="5F55367B"/>
    <w:rsid w:val="5F5C5FB8"/>
    <w:rsid w:val="5F6366B5"/>
    <w:rsid w:val="5F6515CF"/>
    <w:rsid w:val="5F69359F"/>
    <w:rsid w:val="5F7075C8"/>
    <w:rsid w:val="5F881C77"/>
    <w:rsid w:val="5F906D7E"/>
    <w:rsid w:val="5F922AF6"/>
    <w:rsid w:val="5F9E593F"/>
    <w:rsid w:val="5F9F7739"/>
    <w:rsid w:val="5FA55FAD"/>
    <w:rsid w:val="5FAA6092"/>
    <w:rsid w:val="5FAF21C4"/>
    <w:rsid w:val="5FB213EA"/>
    <w:rsid w:val="5FB837BB"/>
    <w:rsid w:val="5FBC4017"/>
    <w:rsid w:val="5FBE1B3D"/>
    <w:rsid w:val="5FCA04E2"/>
    <w:rsid w:val="5FCA6734"/>
    <w:rsid w:val="5FD01870"/>
    <w:rsid w:val="5FD347F8"/>
    <w:rsid w:val="5FDC1FC3"/>
    <w:rsid w:val="5FE771E7"/>
    <w:rsid w:val="5FEA294A"/>
    <w:rsid w:val="5FFE1F39"/>
    <w:rsid w:val="600D03CE"/>
    <w:rsid w:val="60121E89"/>
    <w:rsid w:val="601259E5"/>
    <w:rsid w:val="60206354"/>
    <w:rsid w:val="60234096"/>
    <w:rsid w:val="602E6822"/>
    <w:rsid w:val="60326087"/>
    <w:rsid w:val="604531E7"/>
    <w:rsid w:val="604F4E8B"/>
    <w:rsid w:val="60522285"/>
    <w:rsid w:val="60545FFD"/>
    <w:rsid w:val="60564844"/>
    <w:rsid w:val="60575AEE"/>
    <w:rsid w:val="605B3830"/>
    <w:rsid w:val="606A6DD6"/>
    <w:rsid w:val="60730B79"/>
    <w:rsid w:val="607E307A"/>
    <w:rsid w:val="608508AD"/>
    <w:rsid w:val="608C39E9"/>
    <w:rsid w:val="60917251"/>
    <w:rsid w:val="609515E2"/>
    <w:rsid w:val="609F196E"/>
    <w:rsid w:val="60A056E7"/>
    <w:rsid w:val="60A704C8"/>
    <w:rsid w:val="60A9459B"/>
    <w:rsid w:val="60AA0313"/>
    <w:rsid w:val="60AA3E6F"/>
    <w:rsid w:val="60AC408B"/>
    <w:rsid w:val="60AE00AB"/>
    <w:rsid w:val="60AE0721"/>
    <w:rsid w:val="60B42F6F"/>
    <w:rsid w:val="60B46A9C"/>
    <w:rsid w:val="60B53A52"/>
    <w:rsid w:val="60B82A30"/>
    <w:rsid w:val="60B9084B"/>
    <w:rsid w:val="60BB42CE"/>
    <w:rsid w:val="60CB2763"/>
    <w:rsid w:val="60CC405A"/>
    <w:rsid w:val="60D13AF2"/>
    <w:rsid w:val="60DB227B"/>
    <w:rsid w:val="60DB671F"/>
    <w:rsid w:val="60E455D3"/>
    <w:rsid w:val="60E655DC"/>
    <w:rsid w:val="60F5158E"/>
    <w:rsid w:val="60F63558"/>
    <w:rsid w:val="60FF240D"/>
    <w:rsid w:val="610C14FE"/>
    <w:rsid w:val="610F0176"/>
    <w:rsid w:val="611001C7"/>
    <w:rsid w:val="61135EB8"/>
    <w:rsid w:val="6114688D"/>
    <w:rsid w:val="61273712"/>
    <w:rsid w:val="612E2CF2"/>
    <w:rsid w:val="612E684E"/>
    <w:rsid w:val="613C71BD"/>
    <w:rsid w:val="614B38A4"/>
    <w:rsid w:val="615E35D8"/>
    <w:rsid w:val="61616C24"/>
    <w:rsid w:val="61691F7C"/>
    <w:rsid w:val="61792E3A"/>
    <w:rsid w:val="618172C6"/>
    <w:rsid w:val="619F774C"/>
    <w:rsid w:val="61AB4343"/>
    <w:rsid w:val="61AE5BE1"/>
    <w:rsid w:val="61B56F70"/>
    <w:rsid w:val="61C64CD9"/>
    <w:rsid w:val="61CC3E4D"/>
    <w:rsid w:val="61D90EB0"/>
    <w:rsid w:val="61E215D8"/>
    <w:rsid w:val="61E57855"/>
    <w:rsid w:val="61EA6C19"/>
    <w:rsid w:val="62040ACF"/>
    <w:rsid w:val="620A72BB"/>
    <w:rsid w:val="621B3775"/>
    <w:rsid w:val="621C2B4B"/>
    <w:rsid w:val="6220088D"/>
    <w:rsid w:val="622D4D58"/>
    <w:rsid w:val="623057E8"/>
    <w:rsid w:val="62361E5F"/>
    <w:rsid w:val="62364782"/>
    <w:rsid w:val="62400DDA"/>
    <w:rsid w:val="62410803"/>
    <w:rsid w:val="62514EEA"/>
    <w:rsid w:val="62614A02"/>
    <w:rsid w:val="62682234"/>
    <w:rsid w:val="626F35C2"/>
    <w:rsid w:val="62744340"/>
    <w:rsid w:val="6280132C"/>
    <w:rsid w:val="62A60FB0"/>
    <w:rsid w:val="62AA0157"/>
    <w:rsid w:val="62AC2121"/>
    <w:rsid w:val="62B114E5"/>
    <w:rsid w:val="62B45479"/>
    <w:rsid w:val="62B67FAD"/>
    <w:rsid w:val="62BD60DC"/>
    <w:rsid w:val="62C90F25"/>
    <w:rsid w:val="62CE653B"/>
    <w:rsid w:val="62D17DD9"/>
    <w:rsid w:val="62EC69C1"/>
    <w:rsid w:val="6300421A"/>
    <w:rsid w:val="63040DEB"/>
    <w:rsid w:val="630E6937"/>
    <w:rsid w:val="63194464"/>
    <w:rsid w:val="631D4DCC"/>
    <w:rsid w:val="63316ACA"/>
    <w:rsid w:val="63377DE5"/>
    <w:rsid w:val="63534C92"/>
    <w:rsid w:val="63556314"/>
    <w:rsid w:val="635A7DCF"/>
    <w:rsid w:val="63676048"/>
    <w:rsid w:val="637075F2"/>
    <w:rsid w:val="63715118"/>
    <w:rsid w:val="6384309D"/>
    <w:rsid w:val="63870498"/>
    <w:rsid w:val="6394356A"/>
    <w:rsid w:val="639D5F0D"/>
    <w:rsid w:val="639F3A33"/>
    <w:rsid w:val="639F57E1"/>
    <w:rsid w:val="63A728E8"/>
    <w:rsid w:val="63AE1EC8"/>
    <w:rsid w:val="63C33BC6"/>
    <w:rsid w:val="63C61B2C"/>
    <w:rsid w:val="63C74D38"/>
    <w:rsid w:val="63CE7F9C"/>
    <w:rsid w:val="63CF256B"/>
    <w:rsid w:val="63D40BE9"/>
    <w:rsid w:val="63D57455"/>
    <w:rsid w:val="63D95396"/>
    <w:rsid w:val="63E63410"/>
    <w:rsid w:val="63FA3360"/>
    <w:rsid w:val="6404052D"/>
    <w:rsid w:val="64102431"/>
    <w:rsid w:val="641C6E32"/>
    <w:rsid w:val="641D1E2B"/>
    <w:rsid w:val="643E0066"/>
    <w:rsid w:val="644017A3"/>
    <w:rsid w:val="64512929"/>
    <w:rsid w:val="64541B13"/>
    <w:rsid w:val="64555096"/>
    <w:rsid w:val="64572560"/>
    <w:rsid w:val="645760BC"/>
    <w:rsid w:val="645A795A"/>
    <w:rsid w:val="646A5DEF"/>
    <w:rsid w:val="646D768E"/>
    <w:rsid w:val="647C3D75"/>
    <w:rsid w:val="648624EA"/>
    <w:rsid w:val="64872E45"/>
    <w:rsid w:val="64A265D3"/>
    <w:rsid w:val="64A357A5"/>
    <w:rsid w:val="64A5243A"/>
    <w:rsid w:val="64A62BA0"/>
    <w:rsid w:val="64A84855"/>
    <w:rsid w:val="64B96D77"/>
    <w:rsid w:val="64C318CC"/>
    <w:rsid w:val="64CC6AAA"/>
    <w:rsid w:val="64D23DC0"/>
    <w:rsid w:val="64D37E39"/>
    <w:rsid w:val="64D43BB1"/>
    <w:rsid w:val="64E21E2A"/>
    <w:rsid w:val="64E6182C"/>
    <w:rsid w:val="64E831B8"/>
    <w:rsid w:val="64F531DE"/>
    <w:rsid w:val="64FD3107"/>
    <w:rsid w:val="65055B18"/>
    <w:rsid w:val="650B6F5C"/>
    <w:rsid w:val="650E0E71"/>
    <w:rsid w:val="651915C4"/>
    <w:rsid w:val="653528A1"/>
    <w:rsid w:val="65373578"/>
    <w:rsid w:val="654F3237"/>
    <w:rsid w:val="65530F79"/>
    <w:rsid w:val="655645C6"/>
    <w:rsid w:val="655B398A"/>
    <w:rsid w:val="656C203B"/>
    <w:rsid w:val="656F7435"/>
    <w:rsid w:val="657617E2"/>
    <w:rsid w:val="65812464"/>
    <w:rsid w:val="658904F7"/>
    <w:rsid w:val="659A6BA8"/>
    <w:rsid w:val="659D3FA3"/>
    <w:rsid w:val="65A76BCF"/>
    <w:rsid w:val="65AC2438"/>
    <w:rsid w:val="65B00957"/>
    <w:rsid w:val="65D22760"/>
    <w:rsid w:val="65D73958"/>
    <w:rsid w:val="65DA6FA5"/>
    <w:rsid w:val="65F067C8"/>
    <w:rsid w:val="65F30067"/>
    <w:rsid w:val="65F75DA9"/>
    <w:rsid w:val="660D2ED6"/>
    <w:rsid w:val="660D737A"/>
    <w:rsid w:val="661B7C6A"/>
    <w:rsid w:val="6623310C"/>
    <w:rsid w:val="662D17CA"/>
    <w:rsid w:val="66326DE1"/>
    <w:rsid w:val="663847D2"/>
    <w:rsid w:val="663E5786"/>
    <w:rsid w:val="66410DD2"/>
    <w:rsid w:val="664408C2"/>
    <w:rsid w:val="66495ED8"/>
    <w:rsid w:val="6650370B"/>
    <w:rsid w:val="665242EE"/>
    <w:rsid w:val="665925BF"/>
    <w:rsid w:val="665F74AA"/>
    <w:rsid w:val="66704C19"/>
    <w:rsid w:val="667F18FA"/>
    <w:rsid w:val="6686712D"/>
    <w:rsid w:val="668B64F1"/>
    <w:rsid w:val="668B6F81"/>
    <w:rsid w:val="668F4233"/>
    <w:rsid w:val="669453A6"/>
    <w:rsid w:val="66963446"/>
    <w:rsid w:val="66990C0E"/>
    <w:rsid w:val="669E6224"/>
    <w:rsid w:val="66A15D14"/>
    <w:rsid w:val="66A575B3"/>
    <w:rsid w:val="66A82BFF"/>
    <w:rsid w:val="66AD46B9"/>
    <w:rsid w:val="66B477F6"/>
    <w:rsid w:val="66B71094"/>
    <w:rsid w:val="66B912B0"/>
    <w:rsid w:val="66BA7313"/>
    <w:rsid w:val="66BE0674"/>
    <w:rsid w:val="66C814F3"/>
    <w:rsid w:val="66CB4B3F"/>
    <w:rsid w:val="66D165FA"/>
    <w:rsid w:val="66D87988"/>
    <w:rsid w:val="66DE2AC5"/>
    <w:rsid w:val="66E005EB"/>
    <w:rsid w:val="66E71979"/>
    <w:rsid w:val="67010561"/>
    <w:rsid w:val="67071C06"/>
    <w:rsid w:val="671F124A"/>
    <w:rsid w:val="67281F92"/>
    <w:rsid w:val="672C1A82"/>
    <w:rsid w:val="673009E1"/>
    <w:rsid w:val="6736645D"/>
    <w:rsid w:val="673B33CB"/>
    <w:rsid w:val="67423054"/>
    <w:rsid w:val="6751290A"/>
    <w:rsid w:val="67515045"/>
    <w:rsid w:val="675608AD"/>
    <w:rsid w:val="6759340E"/>
    <w:rsid w:val="67694A84"/>
    <w:rsid w:val="67700F0C"/>
    <w:rsid w:val="6773145F"/>
    <w:rsid w:val="67774B40"/>
    <w:rsid w:val="677A33C6"/>
    <w:rsid w:val="678C42CF"/>
    <w:rsid w:val="67965D0E"/>
    <w:rsid w:val="679715F1"/>
    <w:rsid w:val="67A81366"/>
    <w:rsid w:val="67AC1177"/>
    <w:rsid w:val="67B01CAC"/>
    <w:rsid w:val="67B83316"/>
    <w:rsid w:val="67BF28F6"/>
    <w:rsid w:val="67C95523"/>
    <w:rsid w:val="67C972D1"/>
    <w:rsid w:val="67CD5013"/>
    <w:rsid w:val="67D363A2"/>
    <w:rsid w:val="67D55C76"/>
    <w:rsid w:val="67DB0DB2"/>
    <w:rsid w:val="67DD1F17"/>
    <w:rsid w:val="67DD2D7C"/>
    <w:rsid w:val="67E4235D"/>
    <w:rsid w:val="67F26828"/>
    <w:rsid w:val="67F84BAC"/>
    <w:rsid w:val="67FD3CDF"/>
    <w:rsid w:val="68024591"/>
    <w:rsid w:val="68093B71"/>
    <w:rsid w:val="680B5B3B"/>
    <w:rsid w:val="68107A6A"/>
    <w:rsid w:val="68182006"/>
    <w:rsid w:val="681A3FD0"/>
    <w:rsid w:val="681F3395"/>
    <w:rsid w:val="681F6961"/>
    <w:rsid w:val="68212C69"/>
    <w:rsid w:val="682E5386"/>
    <w:rsid w:val="6846773F"/>
    <w:rsid w:val="684B418A"/>
    <w:rsid w:val="68534DEC"/>
    <w:rsid w:val="68610A2F"/>
    <w:rsid w:val="686314D3"/>
    <w:rsid w:val="68680898"/>
    <w:rsid w:val="686A7177"/>
    <w:rsid w:val="68703BF0"/>
    <w:rsid w:val="687731D1"/>
    <w:rsid w:val="687A451E"/>
    <w:rsid w:val="687A4A6F"/>
    <w:rsid w:val="687A681D"/>
    <w:rsid w:val="68805514"/>
    <w:rsid w:val="68945B31"/>
    <w:rsid w:val="689618A9"/>
    <w:rsid w:val="6897117D"/>
    <w:rsid w:val="68A33FC6"/>
    <w:rsid w:val="68B41D2F"/>
    <w:rsid w:val="68B57855"/>
    <w:rsid w:val="68BC6E36"/>
    <w:rsid w:val="68CB7079"/>
    <w:rsid w:val="68CD1043"/>
    <w:rsid w:val="68D45F2D"/>
    <w:rsid w:val="68DE6DAC"/>
    <w:rsid w:val="68DF13FF"/>
    <w:rsid w:val="68E24AEE"/>
    <w:rsid w:val="68E50078"/>
    <w:rsid w:val="68E50702"/>
    <w:rsid w:val="68E63EB3"/>
    <w:rsid w:val="68F14D31"/>
    <w:rsid w:val="68F4037D"/>
    <w:rsid w:val="68F71C1C"/>
    <w:rsid w:val="68FC7232"/>
    <w:rsid w:val="69006820"/>
    <w:rsid w:val="69117139"/>
    <w:rsid w:val="69236EB5"/>
    <w:rsid w:val="692A3D9F"/>
    <w:rsid w:val="69316E2F"/>
    <w:rsid w:val="69327054"/>
    <w:rsid w:val="693E3CEF"/>
    <w:rsid w:val="69482477"/>
    <w:rsid w:val="694831A6"/>
    <w:rsid w:val="694C1F68"/>
    <w:rsid w:val="694E2071"/>
    <w:rsid w:val="694F3806"/>
    <w:rsid w:val="695B1556"/>
    <w:rsid w:val="6965127B"/>
    <w:rsid w:val="696C085C"/>
    <w:rsid w:val="696D1EDE"/>
    <w:rsid w:val="69766163"/>
    <w:rsid w:val="697A3B33"/>
    <w:rsid w:val="697B45FB"/>
    <w:rsid w:val="69801C11"/>
    <w:rsid w:val="69823BDB"/>
    <w:rsid w:val="69833542"/>
    <w:rsid w:val="69886D18"/>
    <w:rsid w:val="698C6808"/>
    <w:rsid w:val="69986486"/>
    <w:rsid w:val="699F653B"/>
    <w:rsid w:val="69A00505"/>
    <w:rsid w:val="69B0699A"/>
    <w:rsid w:val="69C04704"/>
    <w:rsid w:val="69C54260"/>
    <w:rsid w:val="69C67F6C"/>
    <w:rsid w:val="69D44760"/>
    <w:rsid w:val="69F61ED3"/>
    <w:rsid w:val="6A040A94"/>
    <w:rsid w:val="6A06093A"/>
    <w:rsid w:val="6A1F142A"/>
    <w:rsid w:val="6A276531"/>
    <w:rsid w:val="6A282268"/>
    <w:rsid w:val="6A3053E5"/>
    <w:rsid w:val="6A31115D"/>
    <w:rsid w:val="6A334ED5"/>
    <w:rsid w:val="6A462E5B"/>
    <w:rsid w:val="6A4E589C"/>
    <w:rsid w:val="6A520EC7"/>
    <w:rsid w:val="6A5B3DFF"/>
    <w:rsid w:val="6A694D9B"/>
    <w:rsid w:val="6A721EA2"/>
    <w:rsid w:val="6A784F62"/>
    <w:rsid w:val="6A7E0847"/>
    <w:rsid w:val="6A841BD5"/>
    <w:rsid w:val="6A8D2838"/>
    <w:rsid w:val="6A973B65"/>
    <w:rsid w:val="6A9811DC"/>
    <w:rsid w:val="6AA119E1"/>
    <w:rsid w:val="6AA645AA"/>
    <w:rsid w:val="6AA87672"/>
    <w:rsid w:val="6AB37DC4"/>
    <w:rsid w:val="6AB62858"/>
    <w:rsid w:val="6ABE0C43"/>
    <w:rsid w:val="6ABE6E95"/>
    <w:rsid w:val="6AC016B9"/>
    <w:rsid w:val="6ACB15B2"/>
    <w:rsid w:val="6ACD532A"/>
    <w:rsid w:val="6ACE4BFE"/>
    <w:rsid w:val="6AD97004"/>
    <w:rsid w:val="6ADC556D"/>
    <w:rsid w:val="6AE10DD5"/>
    <w:rsid w:val="6AE514AA"/>
    <w:rsid w:val="6AF405C0"/>
    <w:rsid w:val="6AF503DD"/>
    <w:rsid w:val="6AF6662F"/>
    <w:rsid w:val="6AF87E20"/>
    <w:rsid w:val="6B013226"/>
    <w:rsid w:val="6B0C5BC4"/>
    <w:rsid w:val="6B0D3978"/>
    <w:rsid w:val="6B0F5943"/>
    <w:rsid w:val="6B106FC5"/>
    <w:rsid w:val="6B146AB5"/>
    <w:rsid w:val="6B19056F"/>
    <w:rsid w:val="6B23319C"/>
    <w:rsid w:val="6B2667E8"/>
    <w:rsid w:val="6B2A452A"/>
    <w:rsid w:val="6B322639"/>
    <w:rsid w:val="6B34649F"/>
    <w:rsid w:val="6B3607EC"/>
    <w:rsid w:val="6B373FF0"/>
    <w:rsid w:val="6B452F3D"/>
    <w:rsid w:val="6B4B624F"/>
    <w:rsid w:val="6B5670CE"/>
    <w:rsid w:val="6B5E5C9A"/>
    <w:rsid w:val="6B60619E"/>
    <w:rsid w:val="6B61461B"/>
    <w:rsid w:val="6B680BAF"/>
    <w:rsid w:val="6B797260"/>
    <w:rsid w:val="6B7D3277"/>
    <w:rsid w:val="6B8E7776"/>
    <w:rsid w:val="6B9D4CFC"/>
    <w:rsid w:val="6B9E0A74"/>
    <w:rsid w:val="6B9F79B8"/>
    <w:rsid w:val="6BA918F3"/>
    <w:rsid w:val="6BAD2A66"/>
    <w:rsid w:val="6BC06C3D"/>
    <w:rsid w:val="6BCA6012"/>
    <w:rsid w:val="6BCC55E2"/>
    <w:rsid w:val="6BD050D2"/>
    <w:rsid w:val="6BD149A6"/>
    <w:rsid w:val="6BD8758A"/>
    <w:rsid w:val="6BE24E05"/>
    <w:rsid w:val="6BF123BD"/>
    <w:rsid w:val="6BF16DF6"/>
    <w:rsid w:val="6BF568E6"/>
    <w:rsid w:val="6C1238A1"/>
    <w:rsid w:val="6C132789"/>
    <w:rsid w:val="6C1672C1"/>
    <w:rsid w:val="6C1B20C5"/>
    <w:rsid w:val="6C386F35"/>
    <w:rsid w:val="6C3C4515"/>
    <w:rsid w:val="6C4433CA"/>
    <w:rsid w:val="6C44786E"/>
    <w:rsid w:val="6C4D6722"/>
    <w:rsid w:val="6C5F3CBB"/>
    <w:rsid w:val="6C624437"/>
    <w:rsid w:val="6C636C38"/>
    <w:rsid w:val="6C653CD7"/>
    <w:rsid w:val="6C691082"/>
    <w:rsid w:val="6C6D0B73"/>
    <w:rsid w:val="6C7A7069"/>
    <w:rsid w:val="6C7B240D"/>
    <w:rsid w:val="6C830396"/>
    <w:rsid w:val="6C891725"/>
    <w:rsid w:val="6C8E6023"/>
    <w:rsid w:val="6CA976D1"/>
    <w:rsid w:val="6CAB3449"/>
    <w:rsid w:val="6CAB51F7"/>
    <w:rsid w:val="6CAE4CE7"/>
    <w:rsid w:val="6CB322FE"/>
    <w:rsid w:val="6CBC7404"/>
    <w:rsid w:val="6CBF5146"/>
    <w:rsid w:val="6CC8224D"/>
    <w:rsid w:val="6CC87B57"/>
    <w:rsid w:val="6CCB3AEB"/>
    <w:rsid w:val="6CE626D3"/>
    <w:rsid w:val="6CE95D1F"/>
    <w:rsid w:val="6CE97F3A"/>
    <w:rsid w:val="6CEA21C3"/>
    <w:rsid w:val="6CEB7CE9"/>
    <w:rsid w:val="6CF3094C"/>
    <w:rsid w:val="6CF615CE"/>
    <w:rsid w:val="6CFE17CB"/>
    <w:rsid w:val="6CFE5C6F"/>
    <w:rsid w:val="6D076EF9"/>
    <w:rsid w:val="6D0A4613"/>
    <w:rsid w:val="6D0F4639"/>
    <w:rsid w:val="6D1B05CF"/>
    <w:rsid w:val="6D205BE5"/>
    <w:rsid w:val="6D2D0302"/>
    <w:rsid w:val="6D325918"/>
    <w:rsid w:val="6D45389E"/>
    <w:rsid w:val="6D4D2752"/>
    <w:rsid w:val="6D4D62AE"/>
    <w:rsid w:val="6D513FF0"/>
    <w:rsid w:val="6D54588F"/>
    <w:rsid w:val="6D5835D1"/>
    <w:rsid w:val="6D5E495F"/>
    <w:rsid w:val="6D626C4C"/>
    <w:rsid w:val="6D6A50B2"/>
    <w:rsid w:val="6D6D4BA2"/>
    <w:rsid w:val="6D77157D"/>
    <w:rsid w:val="6D855A48"/>
    <w:rsid w:val="6D910891"/>
    <w:rsid w:val="6D924450"/>
    <w:rsid w:val="6DA00AD4"/>
    <w:rsid w:val="6DA06D26"/>
    <w:rsid w:val="6DA265FA"/>
    <w:rsid w:val="6DAC3622"/>
    <w:rsid w:val="6DAE1443"/>
    <w:rsid w:val="6DB34098"/>
    <w:rsid w:val="6DB545B6"/>
    <w:rsid w:val="6DC02F24"/>
    <w:rsid w:val="6DC65442"/>
    <w:rsid w:val="6DCF13B9"/>
    <w:rsid w:val="6DD24A05"/>
    <w:rsid w:val="6DD95D94"/>
    <w:rsid w:val="6DDC61C8"/>
    <w:rsid w:val="6DDD7632"/>
    <w:rsid w:val="6DE02FB4"/>
    <w:rsid w:val="6DE24C48"/>
    <w:rsid w:val="6DE74955"/>
    <w:rsid w:val="6DE94229"/>
    <w:rsid w:val="6DEB2AE8"/>
    <w:rsid w:val="6DF36E56"/>
    <w:rsid w:val="6E0F17B6"/>
    <w:rsid w:val="6E1312A6"/>
    <w:rsid w:val="6E1868BC"/>
    <w:rsid w:val="6E1D3ED3"/>
    <w:rsid w:val="6E221493"/>
    <w:rsid w:val="6E2C680B"/>
    <w:rsid w:val="6E3000AA"/>
    <w:rsid w:val="6E37652D"/>
    <w:rsid w:val="6E3B3E98"/>
    <w:rsid w:val="6E421B8B"/>
    <w:rsid w:val="6E445903"/>
    <w:rsid w:val="6E4753F3"/>
    <w:rsid w:val="6E4B4EE4"/>
    <w:rsid w:val="6E4C47B8"/>
    <w:rsid w:val="6E514CED"/>
    <w:rsid w:val="6E515D26"/>
    <w:rsid w:val="6E531FEA"/>
    <w:rsid w:val="6E587601"/>
    <w:rsid w:val="6E5B2C4D"/>
    <w:rsid w:val="6E645FA5"/>
    <w:rsid w:val="6E6935BC"/>
    <w:rsid w:val="6E6B7334"/>
    <w:rsid w:val="6E7066F8"/>
    <w:rsid w:val="6E712470"/>
    <w:rsid w:val="6E745FC2"/>
    <w:rsid w:val="6E7E08C6"/>
    <w:rsid w:val="6E7F693B"/>
    <w:rsid w:val="6E846DFB"/>
    <w:rsid w:val="6E971ED7"/>
    <w:rsid w:val="6E987B71"/>
    <w:rsid w:val="6E9A5523"/>
    <w:rsid w:val="6EA231BE"/>
    <w:rsid w:val="6EAD6EF9"/>
    <w:rsid w:val="6EB563D5"/>
    <w:rsid w:val="6EC802E2"/>
    <w:rsid w:val="6ECB392F"/>
    <w:rsid w:val="6ECF78C3"/>
    <w:rsid w:val="6ED722D3"/>
    <w:rsid w:val="6ED92677"/>
    <w:rsid w:val="6EDF7DF4"/>
    <w:rsid w:val="6EEA6B63"/>
    <w:rsid w:val="6EF410D7"/>
    <w:rsid w:val="6EF81F37"/>
    <w:rsid w:val="6EF957F8"/>
    <w:rsid w:val="6EFC76D2"/>
    <w:rsid w:val="6F0357BE"/>
    <w:rsid w:val="6F046E40"/>
    <w:rsid w:val="6F196D90"/>
    <w:rsid w:val="6F1B2B08"/>
    <w:rsid w:val="6F225983"/>
    <w:rsid w:val="6F307C36"/>
    <w:rsid w:val="6F3B4C8B"/>
    <w:rsid w:val="6F3C2A7E"/>
    <w:rsid w:val="6F3E05A4"/>
    <w:rsid w:val="6F435BBB"/>
    <w:rsid w:val="6F4A6F49"/>
    <w:rsid w:val="6F4B0F13"/>
    <w:rsid w:val="6F4F4560"/>
    <w:rsid w:val="6F525DFE"/>
    <w:rsid w:val="6F5A4CB2"/>
    <w:rsid w:val="6F665FBF"/>
    <w:rsid w:val="6F711D60"/>
    <w:rsid w:val="6F7246F2"/>
    <w:rsid w:val="6F7B6C59"/>
    <w:rsid w:val="6F9D176F"/>
    <w:rsid w:val="6FA04DBB"/>
    <w:rsid w:val="6FA06B69"/>
    <w:rsid w:val="6FAB499B"/>
    <w:rsid w:val="6FB5098B"/>
    <w:rsid w:val="6FC36A12"/>
    <w:rsid w:val="6FCC7249"/>
    <w:rsid w:val="6FD131C7"/>
    <w:rsid w:val="6FE86762"/>
    <w:rsid w:val="6FEE1FCA"/>
    <w:rsid w:val="6FF80E15"/>
    <w:rsid w:val="6FFB46E7"/>
    <w:rsid w:val="6FFC5590"/>
    <w:rsid w:val="700370F8"/>
    <w:rsid w:val="700D7F77"/>
    <w:rsid w:val="700E61C9"/>
    <w:rsid w:val="7016507D"/>
    <w:rsid w:val="70182BA3"/>
    <w:rsid w:val="701E2184"/>
    <w:rsid w:val="70223A22"/>
    <w:rsid w:val="70231548"/>
    <w:rsid w:val="702C3243"/>
    <w:rsid w:val="702C748F"/>
    <w:rsid w:val="70330E8F"/>
    <w:rsid w:val="704C0A9F"/>
    <w:rsid w:val="704C27AA"/>
    <w:rsid w:val="70512559"/>
    <w:rsid w:val="70691651"/>
    <w:rsid w:val="706D1DD0"/>
    <w:rsid w:val="70700C31"/>
    <w:rsid w:val="7073427E"/>
    <w:rsid w:val="70741DA4"/>
    <w:rsid w:val="708420EC"/>
    <w:rsid w:val="70856B87"/>
    <w:rsid w:val="70871AD7"/>
    <w:rsid w:val="7089584F"/>
    <w:rsid w:val="709E4A5F"/>
    <w:rsid w:val="70A22DB5"/>
    <w:rsid w:val="70A24B63"/>
    <w:rsid w:val="70A408DB"/>
    <w:rsid w:val="70AC7790"/>
    <w:rsid w:val="70B1002D"/>
    <w:rsid w:val="70B36D70"/>
    <w:rsid w:val="70BF0736"/>
    <w:rsid w:val="70C46E21"/>
    <w:rsid w:val="70C66AA3"/>
    <w:rsid w:val="70D527EE"/>
    <w:rsid w:val="70E1568B"/>
    <w:rsid w:val="70E60EF4"/>
    <w:rsid w:val="70E70404"/>
    <w:rsid w:val="70E92792"/>
    <w:rsid w:val="70F03B20"/>
    <w:rsid w:val="70F21646"/>
    <w:rsid w:val="70F33611"/>
    <w:rsid w:val="70F96E79"/>
    <w:rsid w:val="71015D2D"/>
    <w:rsid w:val="710F044A"/>
    <w:rsid w:val="71125845"/>
    <w:rsid w:val="71146042"/>
    <w:rsid w:val="712612F0"/>
    <w:rsid w:val="712B6906"/>
    <w:rsid w:val="713C6D66"/>
    <w:rsid w:val="714125CE"/>
    <w:rsid w:val="714416E5"/>
    <w:rsid w:val="71453E6C"/>
    <w:rsid w:val="71520337"/>
    <w:rsid w:val="71526589"/>
    <w:rsid w:val="715B5300"/>
    <w:rsid w:val="71792783"/>
    <w:rsid w:val="71793B16"/>
    <w:rsid w:val="71862CD7"/>
    <w:rsid w:val="71871F2A"/>
    <w:rsid w:val="718F549D"/>
    <w:rsid w:val="71926986"/>
    <w:rsid w:val="719621B0"/>
    <w:rsid w:val="71A05546"/>
    <w:rsid w:val="71A32941"/>
    <w:rsid w:val="71AA3CCF"/>
    <w:rsid w:val="71AF5789"/>
    <w:rsid w:val="71B27028"/>
    <w:rsid w:val="71B72890"/>
    <w:rsid w:val="71BA7C8A"/>
    <w:rsid w:val="71BD6E88"/>
    <w:rsid w:val="71C31235"/>
    <w:rsid w:val="71CC1D9D"/>
    <w:rsid w:val="71CF7BDA"/>
    <w:rsid w:val="71D00463"/>
    <w:rsid w:val="71D27F8A"/>
    <w:rsid w:val="71D90A58"/>
    <w:rsid w:val="71DA0690"/>
    <w:rsid w:val="71DE00AC"/>
    <w:rsid w:val="71E323B9"/>
    <w:rsid w:val="71F4319C"/>
    <w:rsid w:val="71F47640"/>
    <w:rsid w:val="71F907B3"/>
    <w:rsid w:val="71F92EA9"/>
    <w:rsid w:val="71FE111C"/>
    <w:rsid w:val="720D425E"/>
    <w:rsid w:val="720F7FD6"/>
    <w:rsid w:val="721101F2"/>
    <w:rsid w:val="721750DD"/>
    <w:rsid w:val="721A2C2C"/>
    <w:rsid w:val="7225116A"/>
    <w:rsid w:val="722577FA"/>
    <w:rsid w:val="72274603"/>
    <w:rsid w:val="722D66AE"/>
    <w:rsid w:val="723B701D"/>
    <w:rsid w:val="723F4D5F"/>
    <w:rsid w:val="7242215A"/>
    <w:rsid w:val="72532286"/>
    <w:rsid w:val="725400DF"/>
    <w:rsid w:val="72553024"/>
    <w:rsid w:val="72563E57"/>
    <w:rsid w:val="72600832"/>
    <w:rsid w:val="72677E12"/>
    <w:rsid w:val="726C5429"/>
    <w:rsid w:val="72795E7F"/>
    <w:rsid w:val="727F515C"/>
    <w:rsid w:val="72834520"/>
    <w:rsid w:val="728704B4"/>
    <w:rsid w:val="728A3B01"/>
    <w:rsid w:val="728A58AF"/>
    <w:rsid w:val="728F1117"/>
    <w:rsid w:val="729A1F96"/>
    <w:rsid w:val="729F75AC"/>
    <w:rsid w:val="72AA0252"/>
    <w:rsid w:val="72AE5A41"/>
    <w:rsid w:val="72AF5315"/>
    <w:rsid w:val="72B50B7E"/>
    <w:rsid w:val="72B80D23"/>
    <w:rsid w:val="72D734C3"/>
    <w:rsid w:val="72F54EC0"/>
    <w:rsid w:val="72FF004B"/>
    <w:rsid w:val="72FF629D"/>
    <w:rsid w:val="730E64E0"/>
    <w:rsid w:val="73104006"/>
    <w:rsid w:val="73122968"/>
    <w:rsid w:val="731A4E85"/>
    <w:rsid w:val="731F5D5E"/>
    <w:rsid w:val="73261A7B"/>
    <w:rsid w:val="7327134F"/>
    <w:rsid w:val="732B7092"/>
    <w:rsid w:val="732D2E0A"/>
    <w:rsid w:val="73305DFD"/>
    <w:rsid w:val="73337CF4"/>
    <w:rsid w:val="73365276"/>
    <w:rsid w:val="733E6DC5"/>
    <w:rsid w:val="733F48EB"/>
    <w:rsid w:val="73504D4A"/>
    <w:rsid w:val="735B7F50"/>
    <w:rsid w:val="735F0AE9"/>
    <w:rsid w:val="735F68D1"/>
    <w:rsid w:val="73644352"/>
    <w:rsid w:val="736762F1"/>
    <w:rsid w:val="737A5923"/>
    <w:rsid w:val="7386076C"/>
    <w:rsid w:val="73922C6D"/>
    <w:rsid w:val="73935046"/>
    <w:rsid w:val="73993FFB"/>
    <w:rsid w:val="73A33523"/>
    <w:rsid w:val="73AA26AC"/>
    <w:rsid w:val="73B07597"/>
    <w:rsid w:val="73C51AD5"/>
    <w:rsid w:val="73CF3EC1"/>
    <w:rsid w:val="73D613B3"/>
    <w:rsid w:val="73DB2866"/>
    <w:rsid w:val="73DD4830"/>
    <w:rsid w:val="73DE4104"/>
    <w:rsid w:val="73E7745D"/>
    <w:rsid w:val="7402348D"/>
    <w:rsid w:val="740A456F"/>
    <w:rsid w:val="740A710D"/>
    <w:rsid w:val="740E58DB"/>
    <w:rsid w:val="74171692"/>
    <w:rsid w:val="741915E0"/>
    <w:rsid w:val="741E793C"/>
    <w:rsid w:val="742064CB"/>
    <w:rsid w:val="74251D33"/>
    <w:rsid w:val="74254024"/>
    <w:rsid w:val="74257F85"/>
    <w:rsid w:val="74296F20"/>
    <w:rsid w:val="742D440C"/>
    <w:rsid w:val="74312486"/>
    <w:rsid w:val="7431692A"/>
    <w:rsid w:val="7432618B"/>
    <w:rsid w:val="743401C8"/>
    <w:rsid w:val="74384AB6"/>
    <w:rsid w:val="743B3304"/>
    <w:rsid w:val="744523D5"/>
    <w:rsid w:val="74455F31"/>
    <w:rsid w:val="744E128A"/>
    <w:rsid w:val="74542618"/>
    <w:rsid w:val="74591FEB"/>
    <w:rsid w:val="745E3944"/>
    <w:rsid w:val="74666AEA"/>
    <w:rsid w:val="746740F9"/>
    <w:rsid w:val="74714F78"/>
    <w:rsid w:val="74716D26"/>
    <w:rsid w:val="74780A2A"/>
    <w:rsid w:val="74795BDB"/>
    <w:rsid w:val="747B5DF7"/>
    <w:rsid w:val="74822CE1"/>
    <w:rsid w:val="74862DDB"/>
    <w:rsid w:val="748E78D8"/>
    <w:rsid w:val="749B1FF5"/>
    <w:rsid w:val="749E2A80"/>
    <w:rsid w:val="74BB61F3"/>
    <w:rsid w:val="74BD1F6B"/>
    <w:rsid w:val="74BD4819"/>
    <w:rsid w:val="74D17E92"/>
    <w:rsid w:val="74D3353D"/>
    <w:rsid w:val="74D84FF7"/>
    <w:rsid w:val="74DD43BC"/>
    <w:rsid w:val="74E41C03"/>
    <w:rsid w:val="74EE481B"/>
    <w:rsid w:val="74FA6D1C"/>
    <w:rsid w:val="75022074"/>
    <w:rsid w:val="75091655"/>
    <w:rsid w:val="750D315E"/>
    <w:rsid w:val="75296EEB"/>
    <w:rsid w:val="753C7334"/>
    <w:rsid w:val="753F5DD7"/>
    <w:rsid w:val="7545354C"/>
    <w:rsid w:val="75575526"/>
    <w:rsid w:val="757C5983"/>
    <w:rsid w:val="758F1B5A"/>
    <w:rsid w:val="75970A0E"/>
    <w:rsid w:val="759E3B4B"/>
    <w:rsid w:val="759F0162"/>
    <w:rsid w:val="759F78C3"/>
    <w:rsid w:val="75A373B3"/>
    <w:rsid w:val="75A66EA3"/>
    <w:rsid w:val="75A90742"/>
    <w:rsid w:val="75B3511C"/>
    <w:rsid w:val="75C31803"/>
    <w:rsid w:val="75C37A55"/>
    <w:rsid w:val="75C744B1"/>
    <w:rsid w:val="75D02172"/>
    <w:rsid w:val="75D457BF"/>
    <w:rsid w:val="75D825F8"/>
    <w:rsid w:val="75E342E9"/>
    <w:rsid w:val="75E83951"/>
    <w:rsid w:val="75F145C2"/>
    <w:rsid w:val="75F37DD8"/>
    <w:rsid w:val="75FA2D4B"/>
    <w:rsid w:val="760E7543"/>
    <w:rsid w:val="760F67F7"/>
    <w:rsid w:val="761330E9"/>
    <w:rsid w:val="76143E0D"/>
    <w:rsid w:val="761B33ED"/>
    <w:rsid w:val="762304F4"/>
    <w:rsid w:val="76236746"/>
    <w:rsid w:val="76252C1A"/>
    <w:rsid w:val="762A53DF"/>
    <w:rsid w:val="76301029"/>
    <w:rsid w:val="76326989"/>
    <w:rsid w:val="7635099D"/>
    <w:rsid w:val="764D5571"/>
    <w:rsid w:val="76571F4C"/>
    <w:rsid w:val="76651207"/>
    <w:rsid w:val="766A4D32"/>
    <w:rsid w:val="766D79C1"/>
    <w:rsid w:val="767C19B2"/>
    <w:rsid w:val="767D7C04"/>
    <w:rsid w:val="767E491D"/>
    <w:rsid w:val="7687606F"/>
    <w:rsid w:val="76937428"/>
    <w:rsid w:val="76A07565"/>
    <w:rsid w:val="76A5715B"/>
    <w:rsid w:val="76AF1D88"/>
    <w:rsid w:val="76BB697E"/>
    <w:rsid w:val="76C84BF7"/>
    <w:rsid w:val="76CD220E"/>
    <w:rsid w:val="76D0185E"/>
    <w:rsid w:val="76D31F1A"/>
    <w:rsid w:val="76D55C89"/>
    <w:rsid w:val="76D65566"/>
    <w:rsid w:val="76E060E7"/>
    <w:rsid w:val="76E61C4D"/>
    <w:rsid w:val="76E77774"/>
    <w:rsid w:val="76EB1F61"/>
    <w:rsid w:val="76F31C74"/>
    <w:rsid w:val="770519A8"/>
    <w:rsid w:val="77057BFA"/>
    <w:rsid w:val="771147F0"/>
    <w:rsid w:val="77117455"/>
    <w:rsid w:val="771816DB"/>
    <w:rsid w:val="7722255A"/>
    <w:rsid w:val="772E0EFE"/>
    <w:rsid w:val="77304C77"/>
    <w:rsid w:val="773504DF"/>
    <w:rsid w:val="77381D7D"/>
    <w:rsid w:val="774B09F6"/>
    <w:rsid w:val="7758241F"/>
    <w:rsid w:val="77591C5E"/>
    <w:rsid w:val="7767181A"/>
    <w:rsid w:val="776963DA"/>
    <w:rsid w:val="7770413C"/>
    <w:rsid w:val="7772528F"/>
    <w:rsid w:val="77746F28"/>
    <w:rsid w:val="77762421"/>
    <w:rsid w:val="777A4ABB"/>
    <w:rsid w:val="77974CF6"/>
    <w:rsid w:val="779A6594"/>
    <w:rsid w:val="77A13DC6"/>
    <w:rsid w:val="77A954AE"/>
    <w:rsid w:val="77B56B1F"/>
    <w:rsid w:val="77CA50CB"/>
    <w:rsid w:val="77DE0B76"/>
    <w:rsid w:val="77E048EF"/>
    <w:rsid w:val="77E45A61"/>
    <w:rsid w:val="77E909CF"/>
    <w:rsid w:val="77EA751B"/>
    <w:rsid w:val="78054355"/>
    <w:rsid w:val="780640CC"/>
    <w:rsid w:val="780E12E6"/>
    <w:rsid w:val="780F09F4"/>
    <w:rsid w:val="78142CAB"/>
    <w:rsid w:val="7820118F"/>
    <w:rsid w:val="78232A2D"/>
    <w:rsid w:val="782A0E50"/>
    <w:rsid w:val="782E0D4D"/>
    <w:rsid w:val="78363A9B"/>
    <w:rsid w:val="78436C2C"/>
    <w:rsid w:val="784A1D68"/>
    <w:rsid w:val="784A7FBA"/>
    <w:rsid w:val="78510EB8"/>
    <w:rsid w:val="785901FD"/>
    <w:rsid w:val="78591FAB"/>
    <w:rsid w:val="785E1994"/>
    <w:rsid w:val="7860158C"/>
    <w:rsid w:val="78767001"/>
    <w:rsid w:val="787E58F4"/>
    <w:rsid w:val="7880578A"/>
    <w:rsid w:val="78857244"/>
    <w:rsid w:val="78897520"/>
    <w:rsid w:val="788D2783"/>
    <w:rsid w:val="78A21BA4"/>
    <w:rsid w:val="78A23952"/>
    <w:rsid w:val="78A43760"/>
    <w:rsid w:val="78A90480"/>
    <w:rsid w:val="78A96B8E"/>
    <w:rsid w:val="78AA0A59"/>
    <w:rsid w:val="78B86803"/>
    <w:rsid w:val="78CD346B"/>
    <w:rsid w:val="78D67AA0"/>
    <w:rsid w:val="78E0447A"/>
    <w:rsid w:val="78EF290F"/>
    <w:rsid w:val="78F13B18"/>
    <w:rsid w:val="78F723CF"/>
    <w:rsid w:val="78F87A16"/>
    <w:rsid w:val="790C526F"/>
    <w:rsid w:val="79181E66"/>
    <w:rsid w:val="7927654D"/>
    <w:rsid w:val="79314CD6"/>
    <w:rsid w:val="79366790"/>
    <w:rsid w:val="79415E38"/>
    <w:rsid w:val="7943071A"/>
    <w:rsid w:val="794C0319"/>
    <w:rsid w:val="7956298E"/>
    <w:rsid w:val="795B7FA5"/>
    <w:rsid w:val="795E6047"/>
    <w:rsid w:val="796230E1"/>
    <w:rsid w:val="79874250"/>
    <w:rsid w:val="798B6ADC"/>
    <w:rsid w:val="79A00398"/>
    <w:rsid w:val="79A4194C"/>
    <w:rsid w:val="79A445D1"/>
    <w:rsid w:val="79A656C4"/>
    <w:rsid w:val="79AC25AE"/>
    <w:rsid w:val="79AE27CB"/>
    <w:rsid w:val="79B55907"/>
    <w:rsid w:val="79C93160"/>
    <w:rsid w:val="79CD0EA3"/>
    <w:rsid w:val="79D2573A"/>
    <w:rsid w:val="79D55FA9"/>
    <w:rsid w:val="79E47F9A"/>
    <w:rsid w:val="79EB757B"/>
    <w:rsid w:val="79ED7714"/>
    <w:rsid w:val="79F226B7"/>
    <w:rsid w:val="79F77CCE"/>
    <w:rsid w:val="7A0348C4"/>
    <w:rsid w:val="7A0F3269"/>
    <w:rsid w:val="7A150FFD"/>
    <w:rsid w:val="7A1C14E2"/>
    <w:rsid w:val="7A235371"/>
    <w:rsid w:val="7A364017"/>
    <w:rsid w:val="7A3F3423"/>
    <w:rsid w:val="7A41363F"/>
    <w:rsid w:val="7A456C8B"/>
    <w:rsid w:val="7A4B1DC7"/>
    <w:rsid w:val="7A4B626B"/>
    <w:rsid w:val="7A545120"/>
    <w:rsid w:val="7A546ECE"/>
    <w:rsid w:val="7A592736"/>
    <w:rsid w:val="7A614D7B"/>
    <w:rsid w:val="7A65396B"/>
    <w:rsid w:val="7A712187"/>
    <w:rsid w:val="7A717AEC"/>
    <w:rsid w:val="7A7255A6"/>
    <w:rsid w:val="7A7B08FF"/>
    <w:rsid w:val="7A805F15"/>
    <w:rsid w:val="7A8265E1"/>
    <w:rsid w:val="7A884DCA"/>
    <w:rsid w:val="7A8A1EF0"/>
    <w:rsid w:val="7A990A69"/>
    <w:rsid w:val="7A990D85"/>
    <w:rsid w:val="7A992B33"/>
    <w:rsid w:val="7A9D668D"/>
    <w:rsid w:val="7AA12B22"/>
    <w:rsid w:val="7AAA11E4"/>
    <w:rsid w:val="7AAD7FC5"/>
    <w:rsid w:val="7AB67B89"/>
    <w:rsid w:val="7AC51B7A"/>
    <w:rsid w:val="7ACF29F8"/>
    <w:rsid w:val="7AD20620"/>
    <w:rsid w:val="7AD61FD9"/>
    <w:rsid w:val="7AED400F"/>
    <w:rsid w:val="7B05466C"/>
    <w:rsid w:val="7B0C77A9"/>
    <w:rsid w:val="7B152B01"/>
    <w:rsid w:val="7B25086A"/>
    <w:rsid w:val="7B2C2D25"/>
    <w:rsid w:val="7B451E91"/>
    <w:rsid w:val="7B483FA9"/>
    <w:rsid w:val="7B48416D"/>
    <w:rsid w:val="7B503B39"/>
    <w:rsid w:val="7B533629"/>
    <w:rsid w:val="7B5829EE"/>
    <w:rsid w:val="7B58479C"/>
    <w:rsid w:val="7B643141"/>
    <w:rsid w:val="7B66335D"/>
    <w:rsid w:val="7B686D42"/>
    <w:rsid w:val="7B6A5E33"/>
    <w:rsid w:val="7B7315D6"/>
    <w:rsid w:val="7B784E3E"/>
    <w:rsid w:val="7B804ED2"/>
    <w:rsid w:val="7B841746"/>
    <w:rsid w:val="7B876E2F"/>
    <w:rsid w:val="7B8A691F"/>
    <w:rsid w:val="7B8F3F36"/>
    <w:rsid w:val="7BB345F3"/>
    <w:rsid w:val="7BB37C24"/>
    <w:rsid w:val="7BBB4D2B"/>
    <w:rsid w:val="7BD06A28"/>
    <w:rsid w:val="7BDC361F"/>
    <w:rsid w:val="7BDE7397"/>
    <w:rsid w:val="7BE40725"/>
    <w:rsid w:val="7BE61DA8"/>
    <w:rsid w:val="7BE73D72"/>
    <w:rsid w:val="7BF02C26"/>
    <w:rsid w:val="7BFD5343"/>
    <w:rsid w:val="7BFF730D"/>
    <w:rsid w:val="7C003181"/>
    <w:rsid w:val="7C0350FC"/>
    <w:rsid w:val="7C0B180E"/>
    <w:rsid w:val="7C0B3F04"/>
    <w:rsid w:val="7C0E7550"/>
    <w:rsid w:val="7C13614C"/>
    <w:rsid w:val="7C1822AA"/>
    <w:rsid w:val="7C2154D6"/>
    <w:rsid w:val="7C2D3E7B"/>
    <w:rsid w:val="7C2E4018"/>
    <w:rsid w:val="7C352D2F"/>
    <w:rsid w:val="7C376AA7"/>
    <w:rsid w:val="7C38101F"/>
    <w:rsid w:val="7C442F72"/>
    <w:rsid w:val="7C484810"/>
    <w:rsid w:val="7C4B60AF"/>
    <w:rsid w:val="7C4D71DF"/>
    <w:rsid w:val="7C65520E"/>
    <w:rsid w:val="7C6C5AC7"/>
    <w:rsid w:val="7C6D071B"/>
    <w:rsid w:val="7C727ADF"/>
    <w:rsid w:val="7C817D22"/>
    <w:rsid w:val="7C830D82"/>
    <w:rsid w:val="7C9061B7"/>
    <w:rsid w:val="7C9723A3"/>
    <w:rsid w:val="7C975798"/>
    <w:rsid w:val="7CA57EB5"/>
    <w:rsid w:val="7CAA0D67"/>
    <w:rsid w:val="7CB2612E"/>
    <w:rsid w:val="7CC16CBC"/>
    <w:rsid w:val="7CC6544B"/>
    <w:rsid w:val="7CD40F40"/>
    <w:rsid w:val="7CD871A5"/>
    <w:rsid w:val="7CE02C9B"/>
    <w:rsid w:val="7CE502B1"/>
    <w:rsid w:val="7CF46746"/>
    <w:rsid w:val="7CFD384D"/>
    <w:rsid w:val="7D00333D"/>
    <w:rsid w:val="7D0239FF"/>
    <w:rsid w:val="7D060495"/>
    <w:rsid w:val="7D1E37C3"/>
    <w:rsid w:val="7D202DCA"/>
    <w:rsid w:val="7D31427A"/>
    <w:rsid w:val="7D513B99"/>
    <w:rsid w:val="7D580A83"/>
    <w:rsid w:val="7D5E40CD"/>
    <w:rsid w:val="7D68553C"/>
    <w:rsid w:val="7D6869EF"/>
    <w:rsid w:val="7D731D61"/>
    <w:rsid w:val="7D752025"/>
    <w:rsid w:val="7D761851"/>
    <w:rsid w:val="7D851991"/>
    <w:rsid w:val="7D8B5E5A"/>
    <w:rsid w:val="7D937D0D"/>
    <w:rsid w:val="7D9F333B"/>
    <w:rsid w:val="7DA0242A"/>
    <w:rsid w:val="7DA22646"/>
    <w:rsid w:val="7DB859C6"/>
    <w:rsid w:val="7DBF0B02"/>
    <w:rsid w:val="7DC223A1"/>
    <w:rsid w:val="7DCD56F2"/>
    <w:rsid w:val="7DCF4ABD"/>
    <w:rsid w:val="7DD547CA"/>
    <w:rsid w:val="7DE247F1"/>
    <w:rsid w:val="7DE36342"/>
    <w:rsid w:val="7DE70059"/>
    <w:rsid w:val="7DF05160"/>
    <w:rsid w:val="7E01111B"/>
    <w:rsid w:val="7E026C41"/>
    <w:rsid w:val="7E070777"/>
    <w:rsid w:val="7E096221"/>
    <w:rsid w:val="7E0C7AC0"/>
    <w:rsid w:val="7E176B90"/>
    <w:rsid w:val="7E1A3F8B"/>
    <w:rsid w:val="7E2272E3"/>
    <w:rsid w:val="7E2E3EDA"/>
    <w:rsid w:val="7E3037AE"/>
    <w:rsid w:val="7E33504C"/>
    <w:rsid w:val="7E3C60AD"/>
    <w:rsid w:val="7E434BEB"/>
    <w:rsid w:val="7E437985"/>
    <w:rsid w:val="7E4E00D8"/>
    <w:rsid w:val="7E5D031B"/>
    <w:rsid w:val="7E6416AA"/>
    <w:rsid w:val="7E68119A"/>
    <w:rsid w:val="7E775881"/>
    <w:rsid w:val="7E7A0ECD"/>
    <w:rsid w:val="7E813212"/>
    <w:rsid w:val="7E830842"/>
    <w:rsid w:val="7E8A7362"/>
    <w:rsid w:val="7E8F2BCB"/>
    <w:rsid w:val="7EA146AC"/>
    <w:rsid w:val="7EA62941"/>
    <w:rsid w:val="7EAF6DC9"/>
    <w:rsid w:val="7EC33B74"/>
    <w:rsid w:val="7EE66563"/>
    <w:rsid w:val="7EF446F5"/>
    <w:rsid w:val="7EF4746D"/>
    <w:rsid w:val="7EF95DA4"/>
    <w:rsid w:val="7F001CE7"/>
    <w:rsid w:val="7F005876"/>
    <w:rsid w:val="7F054C3B"/>
    <w:rsid w:val="7F076C05"/>
    <w:rsid w:val="7F0A7BEE"/>
    <w:rsid w:val="7F0D1D41"/>
    <w:rsid w:val="7F10064C"/>
    <w:rsid w:val="7F1255AA"/>
    <w:rsid w:val="7F1629A4"/>
    <w:rsid w:val="7F181BB2"/>
    <w:rsid w:val="7F2A46A1"/>
    <w:rsid w:val="7F390D88"/>
    <w:rsid w:val="7F3E014D"/>
    <w:rsid w:val="7F453289"/>
    <w:rsid w:val="7F477001"/>
    <w:rsid w:val="7F487639"/>
    <w:rsid w:val="7F4A08A0"/>
    <w:rsid w:val="7F4C021D"/>
    <w:rsid w:val="7F5160D2"/>
    <w:rsid w:val="7F5E259D"/>
    <w:rsid w:val="7F6511EA"/>
    <w:rsid w:val="7F6B4C36"/>
    <w:rsid w:val="7F732443"/>
    <w:rsid w:val="7F7B314F"/>
    <w:rsid w:val="7F7B6CAB"/>
    <w:rsid w:val="7F820039"/>
    <w:rsid w:val="7F853FCE"/>
    <w:rsid w:val="7F8813C8"/>
    <w:rsid w:val="7F9D4E73"/>
    <w:rsid w:val="7F9E2999"/>
    <w:rsid w:val="7FB6091C"/>
    <w:rsid w:val="7FB64187"/>
    <w:rsid w:val="7FBD72C3"/>
    <w:rsid w:val="7FCA19E0"/>
    <w:rsid w:val="7FCE14D1"/>
    <w:rsid w:val="7FCE327F"/>
    <w:rsid w:val="7FD36AE7"/>
    <w:rsid w:val="7FDC1E3F"/>
    <w:rsid w:val="7FDF36DE"/>
    <w:rsid w:val="7FE47E50"/>
    <w:rsid w:val="7FEE1B73"/>
    <w:rsid w:val="7FF5585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3">
    <w:name w:val="table of authorities"/>
    <w:basedOn w:val="1"/>
    <w:next w:val="1"/>
    <w:qFormat/>
    <w:locked/>
    <w:uiPriority w:val="0"/>
    <w:pPr>
      <w:ind w:left="420" w:leftChars="200"/>
    </w:pPr>
  </w:style>
  <w:style w:type="paragraph" w:styleId="4">
    <w:name w:val="annotation text"/>
    <w:basedOn w:val="1"/>
    <w:link w:val="35"/>
    <w:semiHidden/>
    <w:qFormat/>
    <w:uiPriority w:val="0"/>
    <w:pPr>
      <w:jc w:val="left"/>
    </w:pPr>
    <w:rPr>
      <w:kern w:val="0"/>
      <w:sz w:val="24"/>
      <w:szCs w:val="20"/>
    </w:rPr>
  </w:style>
  <w:style w:type="paragraph" w:styleId="5">
    <w:name w:val="Body Text"/>
    <w:basedOn w:val="1"/>
    <w:link w:val="32"/>
    <w:qFormat/>
    <w:uiPriority w:val="0"/>
    <w:pPr>
      <w:widowControl/>
      <w:snapToGrid w:val="0"/>
      <w:spacing w:before="60" w:after="160" w:line="259" w:lineRule="auto"/>
      <w:ind w:right="113"/>
    </w:pPr>
    <w:rPr>
      <w:kern w:val="0"/>
      <w:sz w:val="18"/>
      <w:szCs w:val="20"/>
    </w:rPr>
  </w:style>
  <w:style w:type="paragraph" w:styleId="6">
    <w:name w:val="Body Text Indent"/>
    <w:basedOn w:val="1"/>
    <w:next w:val="7"/>
    <w:link w:val="36"/>
    <w:qFormat/>
    <w:uiPriority w:val="0"/>
    <w:pPr>
      <w:spacing w:after="120"/>
      <w:ind w:left="420" w:leftChars="200"/>
    </w:pPr>
    <w:rPr>
      <w:kern w:val="0"/>
      <w:sz w:val="24"/>
      <w:szCs w:val="20"/>
    </w:rPr>
  </w:style>
  <w:style w:type="paragraph" w:styleId="7">
    <w:name w:val="header"/>
    <w:basedOn w:val="1"/>
    <w:next w:val="8"/>
    <w:link w:val="27"/>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8">
    <w:name w:val="样式5"/>
    <w:qFormat/>
    <w:uiPriority w:val="0"/>
    <w:pPr>
      <w:widowControl w:val="0"/>
      <w:snapToGrid w:val="0"/>
      <w:spacing w:line="360" w:lineRule="auto"/>
      <w:ind w:firstLine="510"/>
      <w:jc w:val="both"/>
    </w:pPr>
    <w:rPr>
      <w:rFonts w:ascii="Times New Roman" w:hAnsi="Times New Roman" w:eastAsia="宋体" w:cs="Times New Roman"/>
      <w:kern w:val="2"/>
      <w:sz w:val="24"/>
      <w:szCs w:val="24"/>
      <w:lang w:val="en-US" w:eastAsia="zh-CN" w:bidi="ar-SA"/>
    </w:rPr>
  </w:style>
  <w:style w:type="paragraph" w:styleId="9">
    <w:name w:val="Date"/>
    <w:basedOn w:val="1"/>
    <w:next w:val="1"/>
    <w:link w:val="37"/>
    <w:qFormat/>
    <w:uiPriority w:val="0"/>
    <w:pPr>
      <w:ind w:left="100" w:leftChars="2500"/>
    </w:pPr>
    <w:rPr>
      <w:kern w:val="0"/>
      <w:sz w:val="24"/>
      <w:szCs w:val="20"/>
    </w:rPr>
  </w:style>
  <w:style w:type="paragraph" w:styleId="10">
    <w:name w:val="Balloon Text"/>
    <w:basedOn w:val="1"/>
    <w:link w:val="38"/>
    <w:semiHidden/>
    <w:qFormat/>
    <w:uiPriority w:val="0"/>
    <w:rPr>
      <w:kern w:val="0"/>
      <w:sz w:val="18"/>
      <w:szCs w:val="20"/>
    </w:rPr>
  </w:style>
  <w:style w:type="paragraph" w:styleId="11">
    <w:name w:val="footer"/>
    <w:basedOn w:val="1"/>
    <w:link w:val="39"/>
    <w:qFormat/>
    <w:uiPriority w:val="99"/>
    <w:pPr>
      <w:tabs>
        <w:tab w:val="center" w:pos="4153"/>
        <w:tab w:val="right" w:pos="8306"/>
      </w:tabs>
      <w:snapToGrid w:val="0"/>
      <w:jc w:val="left"/>
    </w:pPr>
    <w:rPr>
      <w:kern w:val="0"/>
      <w:sz w:val="18"/>
      <w:szCs w:val="20"/>
    </w:rPr>
  </w:style>
  <w:style w:type="paragraph" w:styleId="12">
    <w:name w:val="toc 1"/>
    <w:basedOn w:val="1"/>
    <w:next w:val="1"/>
    <w:qFormat/>
    <w:locked/>
    <w:uiPriority w:val="0"/>
  </w:style>
  <w:style w:type="paragraph" w:styleId="13">
    <w:name w:val="List"/>
    <w:basedOn w:val="1"/>
    <w:next w:val="1"/>
    <w:unhideWhenUsed/>
    <w:qFormat/>
    <w:locked/>
    <w:uiPriority w:val="99"/>
    <w:pPr>
      <w:adjustRightInd w:val="0"/>
      <w:snapToGrid w:val="0"/>
      <w:spacing w:beforeLines="0" w:afterLines="0" w:line="360" w:lineRule="auto"/>
      <w:ind w:left="200" w:hanging="200" w:hangingChars="200"/>
    </w:pPr>
    <w:rPr>
      <w:rFonts w:hint="default" w:cs="Calibri"/>
      <w:color w:val="000000"/>
      <w:sz w:val="24"/>
      <w:szCs w:val="24"/>
    </w:rPr>
  </w:style>
  <w:style w:type="paragraph" w:styleId="14">
    <w:name w:val="Normal (Web)"/>
    <w:basedOn w:val="1"/>
    <w:link w:val="40"/>
    <w:qFormat/>
    <w:uiPriority w:val="0"/>
    <w:pPr>
      <w:widowControl/>
      <w:spacing w:before="100" w:beforeAutospacing="1" w:after="100" w:afterAutospacing="1"/>
      <w:jc w:val="left"/>
    </w:pPr>
    <w:rPr>
      <w:rFonts w:ascii="宋体" w:hAnsi="宋体"/>
      <w:kern w:val="0"/>
      <w:sz w:val="24"/>
      <w:szCs w:val="20"/>
    </w:rPr>
  </w:style>
  <w:style w:type="paragraph" w:styleId="15">
    <w:name w:val="annotation subject"/>
    <w:basedOn w:val="4"/>
    <w:next w:val="4"/>
    <w:link w:val="41"/>
    <w:semiHidden/>
    <w:qFormat/>
    <w:uiPriority w:val="0"/>
    <w:rPr>
      <w:b/>
      <w:sz w:val="24"/>
      <w:szCs w:val="20"/>
    </w:rPr>
  </w:style>
  <w:style w:type="paragraph" w:styleId="16">
    <w:name w:val="Body Text First Indent"/>
    <w:basedOn w:val="5"/>
    <w:next w:val="1"/>
    <w:unhideWhenUsed/>
    <w:qFormat/>
    <w:locked/>
    <w:uiPriority w:val="99"/>
    <w:pPr>
      <w:spacing w:line="360" w:lineRule="auto"/>
      <w:ind w:right="0" w:firstLine="720" w:firstLineChars="200"/>
    </w:pPr>
    <w:rPr>
      <w:sz w:val="21"/>
    </w:rPr>
  </w:style>
  <w:style w:type="paragraph" w:styleId="17">
    <w:name w:val="Body Text First Indent 2"/>
    <w:next w:val="1"/>
    <w:autoRedefine/>
    <w:qFormat/>
    <w:locked/>
    <w:uiPriority w:val="0"/>
    <w:pPr>
      <w:widowControl w:val="0"/>
      <w:spacing w:after="120"/>
      <w:ind w:left="420" w:leftChars="200" w:firstLine="420"/>
      <w:jc w:val="both"/>
    </w:pPr>
    <w:rPr>
      <w:rFonts w:ascii="Times New Roman" w:hAnsi="Times New Roman" w:eastAsia="宋体" w:cs="Times New Roman"/>
      <w:kern w:val="0"/>
      <w:sz w:val="24"/>
      <w:szCs w:val="20"/>
      <w:lang w:val="en-US" w:eastAsia="zh-CN" w:bidi="ar-SA"/>
    </w:rPr>
  </w:style>
  <w:style w:type="table" w:styleId="19">
    <w:name w:val="Table Grid"/>
    <w:basedOn w:val="18"/>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locked/>
    <w:uiPriority w:val="0"/>
    <w:rPr>
      <w:b/>
    </w:rPr>
  </w:style>
  <w:style w:type="character" w:styleId="22">
    <w:name w:val="page number"/>
    <w:basedOn w:val="20"/>
    <w:qFormat/>
    <w:locked/>
    <w:uiPriority w:val="0"/>
  </w:style>
  <w:style w:type="character" w:styleId="23">
    <w:name w:val="Emphasis"/>
    <w:basedOn w:val="20"/>
    <w:qFormat/>
    <w:locked/>
    <w:uiPriority w:val="0"/>
    <w:rPr>
      <w:i/>
    </w:rPr>
  </w:style>
  <w:style w:type="character" w:styleId="24">
    <w:name w:val="annotation reference"/>
    <w:semiHidden/>
    <w:qFormat/>
    <w:uiPriority w:val="0"/>
    <w:rPr>
      <w:sz w:val="21"/>
    </w:rPr>
  </w:style>
  <w:style w:type="paragraph" w:customStyle="1" w:styleId="25">
    <w:name w:val="Default"/>
    <w:basedOn w:val="26"/>
    <w:next w:val="13"/>
    <w:autoRedefine/>
    <w:qFormat/>
    <w:uiPriority w:val="0"/>
    <w:pPr>
      <w:widowControl w:val="0"/>
      <w:autoSpaceDE w:val="0"/>
      <w:autoSpaceDN w:val="0"/>
      <w:adjustRightInd w:val="0"/>
      <w:spacing w:line="360" w:lineRule="auto"/>
    </w:pPr>
    <w:rPr>
      <w:rFonts w:hint="eastAsia" w:ascii="宋体" w:hAnsi="宋体" w:eastAsia="宋体"/>
      <w:color w:val="000000"/>
      <w:kern w:val="2"/>
      <w:sz w:val="21"/>
      <w:szCs w:val="24"/>
    </w:rPr>
  </w:style>
  <w:style w:type="paragraph" w:customStyle="1" w:styleId="26">
    <w:name w:val="纯文本1"/>
    <w:basedOn w:val="1"/>
    <w:unhideWhenUsed/>
    <w:qFormat/>
    <w:uiPriority w:val="0"/>
    <w:pPr>
      <w:adjustRightInd w:val="0"/>
      <w:spacing w:beforeLines="0" w:afterLines="0"/>
    </w:pPr>
    <w:rPr>
      <w:rFonts w:hint="eastAsia" w:ascii="Times New Roman" w:hAnsi="Courier New" w:eastAsia="Times New Roman"/>
      <w:sz w:val="21"/>
      <w:szCs w:val="24"/>
    </w:rPr>
  </w:style>
  <w:style w:type="character" w:customStyle="1" w:styleId="27">
    <w:name w:val="页眉 Char"/>
    <w:link w:val="7"/>
    <w:qFormat/>
    <w:locked/>
    <w:uiPriority w:val="0"/>
    <w:rPr>
      <w:sz w:val="18"/>
    </w:rPr>
  </w:style>
  <w:style w:type="paragraph" w:customStyle="1" w:styleId="28">
    <w:name w:val="环评正文"/>
    <w:basedOn w:val="1"/>
    <w:qFormat/>
    <w:uiPriority w:val="0"/>
    <w:pPr>
      <w:widowControl/>
      <w:adjustRightInd w:val="0"/>
      <w:snapToGrid w:val="0"/>
      <w:spacing w:beforeLines="0" w:afterLines="0" w:line="360" w:lineRule="auto"/>
      <w:ind w:firstLine="1044" w:firstLineChars="200"/>
      <w:contextualSpacing/>
      <w:jc w:val="both"/>
      <w:outlineLvl w:val="1"/>
    </w:pPr>
    <w:rPr>
      <w:rFonts w:ascii="Times New Roman" w:hAnsi="Times New Roman" w:eastAsia="宋体" w:cs="Times New Roman"/>
      <w:b/>
      <w:sz w:val="24"/>
    </w:rPr>
  </w:style>
  <w:style w:type="paragraph" w:customStyle="1" w:styleId="29">
    <w:name w:val="文本正文"/>
    <w:basedOn w:val="1"/>
    <w:qFormat/>
    <w:uiPriority w:val="0"/>
    <w:pPr>
      <w:adjustRightInd/>
      <w:snapToGrid/>
      <w:spacing w:after="2" w:line="360" w:lineRule="auto"/>
      <w:ind w:firstLine="420" w:firstLineChars="200"/>
    </w:pPr>
    <w:rPr>
      <w:rFonts w:ascii="Calibri" w:hAnsi="Calibri" w:eastAsia="宋体" w:cs="Times New Roman"/>
      <w:sz w:val="24"/>
      <w:szCs w:val="22"/>
    </w:rPr>
  </w:style>
  <w:style w:type="paragraph" w:customStyle="1" w:styleId="30">
    <w:name w:val="文本表格"/>
    <w:basedOn w:val="1"/>
    <w:qFormat/>
    <w:uiPriority w:val="0"/>
    <w:pPr>
      <w:adjustRightInd/>
      <w:snapToGrid/>
      <w:spacing w:line="240" w:lineRule="auto"/>
      <w:ind w:firstLine="0" w:firstLineChars="0"/>
      <w:jc w:val="center"/>
    </w:pPr>
    <w:rPr>
      <w:rFonts w:hint="eastAsia" w:ascii="宋体" w:hAnsi="宋体" w:eastAsia="宋体" w:cs="宋体"/>
      <w:sz w:val="21"/>
    </w:rPr>
  </w:style>
  <w:style w:type="paragraph" w:customStyle="1" w:styleId="31">
    <w:name w:val="文本表头"/>
    <w:basedOn w:val="1"/>
    <w:qFormat/>
    <w:uiPriority w:val="0"/>
    <w:pPr>
      <w:autoSpaceDE/>
      <w:autoSpaceDN/>
      <w:adjustRightInd/>
      <w:snapToGrid/>
      <w:spacing w:before="50" w:beforeLines="50" w:line="240" w:lineRule="auto"/>
      <w:ind w:firstLine="0" w:firstLineChars="0"/>
      <w:jc w:val="center"/>
    </w:pPr>
    <w:rPr>
      <w:rFonts w:hint="eastAsia" w:ascii="宋体" w:hAnsi="宋体" w:eastAsia="宋体" w:cs="宋体"/>
      <w:b/>
      <w:sz w:val="21"/>
      <w:szCs w:val="22"/>
    </w:rPr>
  </w:style>
  <w:style w:type="character" w:customStyle="1" w:styleId="32">
    <w:name w:val="正文文本 Char"/>
    <w:link w:val="5"/>
    <w:qFormat/>
    <w:locked/>
    <w:uiPriority w:val="0"/>
    <w:rPr>
      <w:sz w:val="18"/>
    </w:rPr>
  </w:style>
  <w:style w:type="paragraph" w:customStyle="1" w:styleId="33">
    <w:name w:val="环评表头"/>
    <w:basedOn w:val="1"/>
    <w:qFormat/>
    <w:uiPriority w:val="0"/>
    <w:pPr>
      <w:jc w:val="center"/>
    </w:pPr>
    <w:rPr>
      <w:rFonts w:ascii="Times New Roman" w:hAnsi="Times New Roman"/>
      <w:b/>
      <w:szCs w:val="28"/>
    </w:rPr>
  </w:style>
  <w:style w:type="paragraph" w:customStyle="1" w:styleId="34">
    <w:name w:val="xl27"/>
    <w:basedOn w:val="3"/>
    <w:next w:val="1"/>
    <w:qFormat/>
    <w:uiPriority w:val="0"/>
    <w:pPr>
      <w:widowControl/>
      <w:pBdr>
        <w:bottom w:val="single" w:color="auto" w:sz="4" w:space="0"/>
        <w:right w:val="single" w:color="auto" w:sz="4" w:space="0"/>
      </w:pBdr>
      <w:spacing w:before="100" w:beforeAutospacing="1" w:after="100" w:afterAutospacing="1"/>
    </w:pPr>
    <w:rPr>
      <w:rFonts w:eastAsia="Arial Unicode MS"/>
      <w:kern w:val="0"/>
    </w:rPr>
  </w:style>
  <w:style w:type="character" w:customStyle="1" w:styleId="35">
    <w:name w:val="批注文字 Char"/>
    <w:link w:val="4"/>
    <w:qFormat/>
    <w:locked/>
    <w:uiPriority w:val="0"/>
    <w:rPr>
      <w:rFonts w:ascii="Times New Roman" w:hAnsi="Times New Roman" w:eastAsia="宋体"/>
      <w:sz w:val="24"/>
    </w:rPr>
  </w:style>
  <w:style w:type="character" w:customStyle="1" w:styleId="36">
    <w:name w:val="正文文本缩进 Char"/>
    <w:link w:val="6"/>
    <w:semiHidden/>
    <w:qFormat/>
    <w:locked/>
    <w:uiPriority w:val="0"/>
    <w:rPr>
      <w:rFonts w:ascii="Times New Roman" w:hAnsi="Times New Roman" w:eastAsia="宋体"/>
      <w:sz w:val="24"/>
    </w:rPr>
  </w:style>
  <w:style w:type="character" w:customStyle="1" w:styleId="37">
    <w:name w:val="日期 Char"/>
    <w:link w:val="9"/>
    <w:qFormat/>
    <w:locked/>
    <w:uiPriority w:val="0"/>
    <w:rPr>
      <w:rFonts w:ascii="Times New Roman" w:hAnsi="Times New Roman" w:eastAsia="宋体"/>
      <w:sz w:val="24"/>
    </w:rPr>
  </w:style>
  <w:style w:type="character" w:customStyle="1" w:styleId="38">
    <w:name w:val="批注框文本 Char"/>
    <w:link w:val="10"/>
    <w:semiHidden/>
    <w:qFormat/>
    <w:locked/>
    <w:uiPriority w:val="0"/>
    <w:rPr>
      <w:rFonts w:ascii="Times New Roman" w:hAnsi="Times New Roman" w:eastAsia="宋体"/>
      <w:sz w:val="18"/>
    </w:rPr>
  </w:style>
  <w:style w:type="character" w:customStyle="1" w:styleId="39">
    <w:name w:val="页脚 Char"/>
    <w:link w:val="11"/>
    <w:qFormat/>
    <w:locked/>
    <w:uiPriority w:val="99"/>
    <w:rPr>
      <w:sz w:val="18"/>
    </w:rPr>
  </w:style>
  <w:style w:type="character" w:customStyle="1" w:styleId="40">
    <w:name w:val="普通(网站) Char"/>
    <w:link w:val="14"/>
    <w:qFormat/>
    <w:locked/>
    <w:uiPriority w:val="0"/>
    <w:rPr>
      <w:rFonts w:ascii="宋体" w:hAnsi="宋体" w:eastAsia="宋体"/>
      <w:sz w:val="24"/>
    </w:rPr>
  </w:style>
  <w:style w:type="character" w:customStyle="1" w:styleId="41">
    <w:name w:val="批注主题 Char"/>
    <w:link w:val="15"/>
    <w:semiHidden/>
    <w:qFormat/>
    <w:locked/>
    <w:uiPriority w:val="0"/>
    <w:rPr>
      <w:rFonts w:ascii="Times New Roman" w:hAnsi="Times New Roman" w:eastAsia="宋体"/>
      <w:b/>
      <w:kern w:val="2"/>
      <w:sz w:val="24"/>
    </w:rPr>
  </w:style>
  <w:style w:type="character" w:customStyle="1" w:styleId="42">
    <w:name w:val="页脚 字符"/>
    <w:basedOn w:val="20"/>
    <w:qFormat/>
    <w:uiPriority w:val="99"/>
  </w:style>
  <w:style w:type="character" w:customStyle="1" w:styleId="43">
    <w:name w:val="正文文本 字符1"/>
    <w:semiHidden/>
    <w:qFormat/>
    <w:uiPriority w:val="0"/>
    <w:rPr>
      <w:rFonts w:ascii="Times New Roman" w:hAnsi="Times New Roman" w:eastAsia="宋体"/>
      <w:sz w:val="24"/>
    </w:rPr>
  </w:style>
  <w:style w:type="character" w:customStyle="1" w:styleId="44">
    <w:name w:val="表格 Char"/>
    <w:link w:val="45"/>
    <w:qFormat/>
    <w:locked/>
    <w:uiPriority w:val="0"/>
    <w:rPr>
      <w:rFonts w:ascii="宋体"/>
      <w:sz w:val="21"/>
    </w:rPr>
  </w:style>
  <w:style w:type="paragraph" w:customStyle="1" w:styleId="45">
    <w:name w:val="表格"/>
    <w:basedOn w:val="1"/>
    <w:next w:val="1"/>
    <w:link w:val="44"/>
    <w:qFormat/>
    <w:uiPriority w:val="0"/>
    <w:pPr>
      <w:adjustRightInd w:val="0"/>
      <w:snapToGrid w:val="0"/>
      <w:spacing w:beforeLines="10" w:afterLines="10" w:line="259" w:lineRule="auto"/>
      <w:jc w:val="center"/>
    </w:pPr>
    <w:rPr>
      <w:rFonts w:ascii="宋体"/>
      <w:kern w:val="0"/>
      <w:szCs w:val="20"/>
    </w:rPr>
  </w:style>
  <w:style w:type="character" w:customStyle="1" w:styleId="46">
    <w:name w:val="日期 字符"/>
    <w:semiHidden/>
    <w:qFormat/>
    <w:uiPriority w:val="0"/>
    <w:rPr>
      <w:rFonts w:ascii="Times New Roman" w:hAnsi="Times New Roman" w:eastAsia="宋体"/>
      <w:sz w:val="24"/>
    </w:rPr>
  </w:style>
  <w:style w:type="character" w:customStyle="1" w:styleId="47">
    <w:name w:val="批注文字 字符1"/>
    <w:semiHidden/>
    <w:qFormat/>
    <w:uiPriority w:val="0"/>
    <w:rPr>
      <w:rFonts w:ascii="Times New Roman" w:hAnsi="Times New Roman" w:eastAsia="宋体"/>
      <w:sz w:val="24"/>
    </w:rPr>
  </w:style>
  <w:style w:type="paragraph" w:customStyle="1" w:styleId="4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9">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0">
    <w:name w:val="font21"/>
    <w:basedOn w:val="20"/>
    <w:qFormat/>
    <w:uiPriority w:val="0"/>
    <w:rPr>
      <w:rFonts w:hint="default" w:ascii="Times New Roman" w:hAnsi="Times New Roman" w:cs="Times New Roman"/>
      <w:color w:val="000000"/>
      <w:sz w:val="18"/>
      <w:szCs w:val="18"/>
      <w:u w:val="none"/>
    </w:rPr>
  </w:style>
  <w:style w:type="character" w:customStyle="1" w:styleId="51">
    <w:name w:val="font31"/>
    <w:basedOn w:val="20"/>
    <w:qFormat/>
    <w:uiPriority w:val="0"/>
    <w:rPr>
      <w:rFonts w:hint="default" w:ascii="Times New Roman" w:hAnsi="Times New Roman" w:cs="Times New Roman"/>
      <w:color w:val="000000"/>
      <w:sz w:val="20"/>
      <w:szCs w:val="20"/>
      <w:u w:val="none"/>
    </w:rPr>
  </w:style>
  <w:style w:type="paragraph" w:customStyle="1" w:styleId="52">
    <w:name w:val="表格标题"/>
    <w:basedOn w:val="16"/>
    <w:qFormat/>
    <w:uiPriority w:val="0"/>
    <w:pPr>
      <w:spacing w:line="240" w:lineRule="auto"/>
    </w:pPr>
    <w:rPr>
      <w:rFonts w:eastAsia="黑体"/>
    </w:rPr>
  </w:style>
  <w:style w:type="paragraph" w:customStyle="1" w:styleId="53">
    <w:name w:val="表格内容"/>
    <w:basedOn w:val="1"/>
    <w:next w:val="1"/>
    <w:qFormat/>
    <w:uiPriority w:val="0"/>
    <w:rPr>
      <w:b/>
    </w:rPr>
  </w:style>
  <w:style w:type="paragraph" w:customStyle="1" w:styleId="54">
    <w:name w:val="正文-研兴"/>
    <w:qFormat/>
    <w:uiPriority w:val="0"/>
    <w:pPr>
      <w:wordWrap/>
      <w:spacing w:before="0" w:after="0" w:line="360" w:lineRule="auto"/>
      <w:ind w:right="0" w:firstLine="200" w:firstLineChars="200"/>
    </w:pPr>
    <w:rPr>
      <w:rFonts w:ascii="Times New Roman" w:hAnsi="Times New Roman" w:eastAsia="宋体" w:cs="Times New Roman"/>
      <w:sz w:val="21"/>
    </w:rPr>
  </w:style>
  <w:style w:type="paragraph" w:customStyle="1" w:styleId="55">
    <w:name w:val="图表标题（C）"/>
    <w:next w:val="1"/>
    <w:qFormat/>
    <w:uiPriority w:val="0"/>
    <w:pPr>
      <w:spacing w:before="50" w:beforeLines="50" w:line="240" w:lineRule="exact"/>
      <w:jc w:val="center"/>
    </w:pPr>
    <w:rPr>
      <w:rFonts w:ascii="Times New Roman" w:hAnsi="Times New Roman" w:eastAsia="宋体" w:cs="Times New Roman"/>
      <w:b/>
      <w:kern w:val="2"/>
      <w:sz w:val="21"/>
      <w:szCs w:val="22"/>
      <w:lang w:val="en-US" w:eastAsia="zh-CN" w:bidi="ar-SA"/>
    </w:rPr>
  </w:style>
  <w:style w:type="paragraph" w:customStyle="1" w:styleId="56">
    <w:name w:val="表格（C）"/>
    <w:basedOn w:val="1"/>
    <w:qFormat/>
    <w:uiPriority w:val="0"/>
    <w:pPr>
      <w:adjustRightInd w:val="0"/>
      <w:snapToGrid w:val="0"/>
      <w:spacing w:line="300" w:lineRule="exact"/>
      <w:ind w:firstLine="0" w:firstLineChars="0"/>
      <w:jc w:val="center"/>
    </w:pPr>
    <w:rPr>
      <w:kern w:val="0"/>
      <w:sz w:val="18"/>
      <w:szCs w:val="20"/>
    </w:rPr>
  </w:style>
  <w:style w:type="paragraph" w:customStyle="1" w:styleId="57">
    <w:name w:val="正文-大梦"/>
    <w:link w:val="58"/>
    <w:qFormat/>
    <w:uiPriority w:val="0"/>
    <w:pPr>
      <w:wordWrap/>
      <w:spacing w:before="0" w:after="0" w:line="360" w:lineRule="auto"/>
      <w:ind w:right="0" w:firstLine="200" w:firstLineChars="200"/>
    </w:pPr>
    <w:rPr>
      <w:rFonts w:ascii="Times New Roman" w:hAnsi="Times New Roman" w:eastAsia="宋体" w:cs="Times New Roman"/>
      <w:sz w:val="21"/>
    </w:rPr>
  </w:style>
  <w:style w:type="character" w:customStyle="1" w:styleId="58">
    <w:name w:val="正文-湘她他 Char"/>
    <w:link w:val="57"/>
    <w:qFormat/>
    <w:uiPriority w:val="0"/>
    <w:rPr>
      <w:rFonts w:ascii="Times New Roman" w:hAnsi="Times New Roman" w:eastAsia="宋体"/>
      <w:sz w:val="21"/>
    </w:rPr>
  </w:style>
  <w:style w:type="paragraph" w:customStyle="1" w:styleId="59">
    <w:name w:val="表头-大梦"/>
    <w:unhideWhenUsed/>
    <w:qFormat/>
    <w:uiPriority w:val="0"/>
    <w:pPr>
      <w:widowControl w:val="0"/>
      <w:adjustRightInd w:val="0"/>
      <w:spacing w:before="20" w:beforeLines="20" w:afterLines="0" w:line="340" w:lineRule="exact"/>
      <w:ind w:right="0"/>
      <w:jc w:val="center"/>
    </w:pPr>
    <w:rPr>
      <w:rFonts w:ascii="Times New Roman" w:hAnsi="Times New Roman" w:eastAsia="微软雅黑" w:cs="Times New Roman"/>
      <w:b/>
      <w:kern w:val="2"/>
      <w:sz w:val="18"/>
      <w:szCs w:val="24"/>
      <w:lang w:val="en-US" w:eastAsia="zh-CN" w:bidi="ar-SA"/>
    </w:rPr>
  </w:style>
  <w:style w:type="paragraph" w:customStyle="1" w:styleId="60">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61">
    <w:name w:val="表格文字-大梦"/>
    <w:qFormat/>
    <w:uiPriority w:val="0"/>
    <w:pPr>
      <w:widowControl w:val="0"/>
      <w:adjustRightInd w:val="0"/>
      <w:snapToGrid w:val="0"/>
      <w:spacing w:line="300" w:lineRule="exact"/>
      <w:ind w:right="0" w:rightChars="0" w:firstLine="0" w:firstLineChars="0"/>
      <w:jc w:val="center"/>
    </w:pPr>
    <w:rPr>
      <w:rFonts w:ascii="Times New Roman" w:hAnsi="Times New Roman" w:eastAsia="宋体" w:cs="Times New Roman"/>
      <w:kern w:val="0"/>
      <w:sz w:val="18"/>
      <w:szCs w:val="20"/>
      <w:lang w:val="en-US" w:eastAsia="zh-CN" w:bidi="ar-SA"/>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2.jpe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jpeg"/><Relationship Id="rId9" Type="http://schemas.openxmlformats.org/officeDocument/2006/relationships/footer" Target="footer7.xml"/><Relationship Id="rId89" Type="http://schemas.openxmlformats.org/officeDocument/2006/relationships/image" Target="media/image77.jpe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jpe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6.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5.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jpe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wmf"/><Relationship Id="rId26" Type="http://schemas.openxmlformats.org/officeDocument/2006/relationships/oleObject" Target="embeddings/oleObject2.bin"/><Relationship Id="rId25" Type="http://schemas.openxmlformats.org/officeDocument/2006/relationships/image" Target="media/image14.wmf"/><Relationship Id="rId24" Type="http://schemas.openxmlformats.org/officeDocument/2006/relationships/oleObject" Target="embeddings/oleObject1.bin"/><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aba3124c-97f1-4f2c-9b95-823fafe63047</errorID>
      <errorWord>-</errorWord>
      <group>L1_Format</group>
      <groupName>格式问题</groupName>
      <ability>L2_HalfPunc</ability>
      <abilityName>全半角检查</abilityName>
      <candidateList>
        <item>－</item>
      </candidateList>
      <explain>文本全半角错误。</explain>
      <paraID>347DB724</paraID>
      <start>14</start>
      <end>15</end>
      <status>ignored</status>
      <modifiedWord/>
      <trackRevisions>false</trackRevisions>
    </reviewItem>
    <reviewItem>
      <errorID>d72bd886-e88d-4138-a55e-8972deeb596a</errorID>
      <errorWord>-</errorWord>
      <group>L1_Format</group>
      <groupName>格式问题</groupName>
      <ability>L2_HalfPunc</ability>
      <abilityName>全半角检查</abilityName>
      <candidateList>
        <item>－</item>
      </candidateList>
      <explain>文本全半角错误。</explain>
      <paraID>347DB724</paraID>
      <start>15</start>
      <end>16</end>
      <status>ignored</status>
      <modifiedWord/>
      <trackRevisions>false</trackRevisions>
    </reviewItem>
    <reviewItem>
      <errorID>495170e2-9b86-4152-ad7e-6a082696414b</errorID>
      <errorWord>-</errorWord>
      <group>L1_Format</group>
      <groupName>格式问题</groupName>
      <ability>L2_HalfPunc</ability>
      <abilityName>全半角检查</abilityName>
      <candidateList>
        <item>－</item>
      </candidateList>
      <explain>文本全半角错误。</explain>
      <paraID>347DB724</paraID>
      <start>30</start>
      <end>31</end>
      <status>ignored</status>
      <modifiedWord/>
      <trackRevisions>false</trackRevisions>
    </reviewItem>
    <reviewItem>
      <errorID>124dea02-92a2-47b9-bc04-874bb549912c</errorID>
      <errorWord>》（试行）</errorWord>
      <group>L1_Word</group>
      <groupName>字词问题</groupName>
      <ability>L2_Typo</ability>
      <abilityName>字词错误</abilityName>
      <candidateList>
        <item>（试行）》</item>
      </candidateList>
      <explain/>
      <paraID>10A987EE</paraID>
      <start>27</start>
      <end>32</end>
      <status>ignored</status>
      <modifiedWord/>
      <trackRevisions>false</trackRevisions>
    </reviewItem>
    <reviewItem>
      <errorID>bdd13b85-6dcd-4ee7-9cd7-fa889252ba44</errorID>
      <errorWord>价</errorWord>
      <group>L1_Word</group>
      <groupName>字词问题</groupName>
      <ability>L2_Typo</ability>
      <abilityName>字词错误</abilityName>
      <candidateList>
        <item>价格</item>
      </candidateList>
      <explain/>
      <paraID>7DF57FCA</paraID>
      <start>0</start>
      <end>1</end>
      <status>ignored</status>
      <modifiedWord/>
      <trackRevisions>false</trackRevisions>
    </reviewItem>
    <reviewItem>
      <errorID>68295317-c848-4615-8a5f-8a459a5ba3ea</errorID>
      <errorWord>左列等</errorWord>
      <group>L1_Grammar</group>
      <groupName>语法问题</groupName>
      <ability>L2_Order</ability>
      <abilityName>语序不当</abilityName>
      <candidateList>
        <item>等左列</item>
      </candidateList>
      <explain>句子可能没有遵循时空、逻辑顺序，或者介词、关联词等位置不当。</explain>
      <paraID>5375F8EF</paraID>
      <start>11</start>
      <end>14</end>
      <status>ignored</status>
      <modifiedWord/>
      <trackRevisions>false</trackRevisions>
    </reviewItem>
    <reviewItem>
      <errorID>1a7b5d2e-57fc-4f79-a285-cf82ab6f1978</errorID>
      <errorWord>危险物质</errorWord>
      <group>L1_Word</group>
      <groupName>字词问题</groupName>
      <ability>L2_Typo</ability>
      <abilityName>字词错误</abilityName>
      <candidateList>
        <item>危险物资</item>
      </candidateList>
      <explain/>
      <paraID>20C988F4</paraID>
      <start>2</start>
      <end>6</end>
      <status>ignored</status>
      <modifiedWord/>
      <trackRevisions>false</trackRevisions>
    </reviewItem>
    <reviewItem>
      <errorID>db6887ac-88a0-4d88-98e3-b2ec8fdef4b8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6382F167</paraID>
      <start>0</start>
      <end>2</end>
      <status>ignored</status>
      <modifiedWord/>
      <trackRevisions>false</trackRevisions>
    </reviewItem>
    <reviewItem>
      <errorID>c437cd9c-f0f3-4edd-8e8d-4ce788416d20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1833C1F</paraID>
      <start>0</start>
      <end>2</end>
      <status>ignored</status>
      <modifiedWord/>
      <trackRevisions>false</trackRevisions>
    </reviewItem>
    <reviewItem>
      <errorID>bf1e56f6-d87b-4a93-ae6f-ae1935caba64</errorID>
      <errorWord>。</errorWord>
      <group>L1_Grammar</group>
      <groupName>语法问题</groupName>
      <ability>L2_Missing</ability>
      <abilityName>成分残缺</abilityName>
      <candidateList>
        <item>的物质。</item>
      </candidateList>
      <explain>句子中可能存在主谓宾、修饰语或者必要的词语残缺。</explain>
      <paraID>58E1F8AD</paraID>
      <start>37</start>
      <end>38</end>
      <status>ignored</status>
      <modifiedWord/>
      <trackRevisions>false</trackRevisions>
    </reviewItem>
    <reviewItem>
      <errorID>db327cd7-0b4e-4cfd-a00e-638e26396b94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44CB998</paraID>
      <start>0</start>
      <end>2</end>
      <status>ignored</status>
      <modifiedWord/>
      <trackRevisions>false</trackRevisions>
    </reviewItem>
    <reviewItem>
      <errorID>06138120-31f9-42a4-ac63-c48b49ffc065</errorID>
      <errorWord>。</errorWord>
      <group>L1_Punc</group>
      <groupName>标点问题</groupName>
      <ability>L2_Punc</ability>
      <abilityName>标点符号检查</abilityName>
      <candidateList/>
      <explain/>
      <paraID>2A5F9FC2</paraID>
      <start>0</start>
      <end>1</end>
      <status>unmodified</status>
      <modifiedWord/>
      <trackRevisions>false</trackRevisions>
    </reviewItem>
    <reviewItem>
      <errorID>525a4e6a-b23e-41e1-92a2-edeea4d11bcb</errorID>
      <errorWord>-</errorWord>
      <group>L1_Format</group>
      <groupName>格式问题</groupName>
      <ability>L2_HalfPunc</ability>
      <abilityName>全半角检查</abilityName>
      <candidateList>
        <item>－</item>
      </candidateList>
      <explain>文本全半角错误。</explain>
      <paraID>148E6907</paraID>
      <start>16</start>
      <end>17</end>
      <status>ignored</status>
      <modifiedWord/>
      <trackRevisions>false</trackRevisions>
    </reviewItem>
    <reviewItem>
      <errorID>bc5228e4-5b84-45c8-b0d3-17898638af9c</errorID>
      <errorWord>应从</errorWord>
      <group>L1_Word</group>
      <groupName>字词问题</groupName>
      <ability>L2_Typo</ability>
      <abilityName>字词错误</abilityName>
      <candidateList>
        <item>应</item>
      </candidateList>
      <explain/>
      <paraID>6AEEFA6B</paraID>
      <start>88</start>
      <end>90</end>
      <status>ignored</status>
      <modifiedWord/>
      <trackRevisions>false</trackRevisions>
    </reviewItem>
    <reviewItem>
      <errorID>bf9cb2b2-bb02-4aae-b434-4a9d15d64b43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4CD6E71F</paraID>
      <start>0</start>
      <end>2</end>
      <status>ignored</status>
      <modifiedWord/>
      <trackRevisions>false</trackRevisions>
    </reviewItem>
    <reviewItem>
      <errorID>59c40851-1d4c-49df-a8dd-3f0e9b7d12bc</errorID>
      <errorWord>[2010]第122号</errorWord>
      <group>L1_Knowledge</group>
      <groupName>知识性问题</groupName>
      <ability>L2_Knowledge</ability>
      <abilityName>其他知识</abilityName>
      <candidateList>
        <item>〔2010〕122号</item>
      </candidateList>
      <explain>发文字号格式错误。</explain>
      <paraID>10A1EB29</paraID>
      <start>77</start>
      <end>88</end>
      <status>unmodified</status>
      <modifiedWord/>
      <trackRevisions>false</trackRevisions>
    </reviewItem>
    <reviewItem>
      <errorID>15171bd7-fc91-42b1-ba6a-993fec3bd6f8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CE1AA92</paraID>
      <start>0</start>
      <end>2</end>
      <status>unmodified</status>
      <modifiedWord/>
      <trackRevisions>false</trackRevisions>
    </reviewItem>
    <reviewItem>
      <errorID>ab6c111f-eb30-4770-9454-9606669299ed</errorID>
      <errorWord>生态红线保护</errorWord>
      <group>L1_Political</group>
      <groupName>政治性问题</groupName>
      <ability>L2_Unpolitical</ability>
      <abilityName>政治敏感错误</abilityName>
      <candidateList>
        <item>生态保护红线</item>
      </candidateList>
      <explain/>
      <paraID> 56B3B29</paraID>
      <start>85</start>
      <end>91</end>
      <status>modified</status>
      <modifiedWord>生态保护红线</modifiedWord>
      <trackRevisions>false</trackRevisions>
    </reviewItem>
    <reviewItem>
      <errorID>01b32a94-5e66-4be9-8f41-42267b69721d</errorID>
      <errorWord>上线</errorWord>
      <group>L1_Word</group>
      <groupName>字词问题</groupName>
      <ability>L2_Typo</ability>
      <abilityName>字词错误</abilityName>
      <candidateList>
        <item>上限</item>
      </candidateList>
      <explain/>
      <paraID>253F6296</paraID>
      <start>25</start>
      <end>27</end>
      <status>modified</status>
      <modifiedWord>上限</modifiedWord>
      <trackRevisions>false</trackRevisions>
    </reviewItem>
    <reviewItem>
      <errorID>69f8eb58-046a-4c13-80f1-a0da6425d7c8</errorID>
      <errorWord>辅导产业</errorWord>
      <group>L1_Knowledge</group>
      <groupName>知识性问题</groupName>
      <ability>L2_Term</ability>
      <abilityName>专业术语</abilityName>
      <candidateList>
        <item>主导产业</item>
      </candidateList>
      <explain/>
      <paraID>7541C812</paraID>
      <start>85</start>
      <end>89</end>
      <status>ignored</status>
      <modifiedWord/>
      <trackRevisions>false</trackRevisions>
    </reviewItem>
    <reviewItem>
      <errorID>a80b3ad5-6bd3-436d-b160-f01fbcb42915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19FF4300</paraID>
      <start>0</start>
      <end>2</end>
      <status>unmodified</status>
      <modifiedWord/>
      <trackRevisions>false</trackRevisions>
    </reviewItem>
    <reviewItem>
      <errorID>5668ef1a-936b-4330-b486-4c9760f79599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39611FBF</paraID>
      <start>0</start>
      <end>2</end>
      <status>unmodified</status>
      <modifiedWord/>
      <trackRevisions>false</trackRevisions>
    </reviewItem>
    <reviewItem>
      <errorID>33b0bc11-121f-49d8-97fb-d1fb3ebecb1c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241048EB</paraID>
      <start>0</start>
      <end>2</end>
      <status>unmodified</status>
      <modifiedWord/>
      <trackRevisions>false</trackRevisions>
    </reviewItem>
    <reviewItem>
      <errorID>acd0ea43-4681-4dce-a854-39d194467144</errorID>
      <errorWord>其它废弃物</errorWord>
      <group>L1_Word</group>
      <groupName>字词问题</groupName>
      <ability>L2_Alias</ability>
      <abilityName>也作/曾用词</abilityName>
      <candidateList>
        <item>其他废弃物</item>
      </candidateList>
      <explain>词汇[其它废弃物]为不规范表述或旧称，其规范书面表述为[其他废弃物]。</explain>
      <paraID> D7A0E97</paraID>
      <start>139</start>
      <end>144</end>
      <status>modified</status>
      <modifiedWord>其他废弃物</modifiedWord>
      <trackRevisions>false</trackRevisions>
    </reviewItem>
    <reviewItem>
      <errorID>713a04f9-b29d-4922-a75a-5d791f8e1e1a</errorID>
      <errorWord>归</errorWord>
      <group>L1_Word</group>
      <groupName>字词问题</groupName>
      <ability>L2_Typo</ability>
      <abilityName>字词错误</abilityName>
      <candidateList>
        <item>规</item>
      </candidateList>
      <explain/>
      <paraID>773F03A0</paraID>
      <start>53</start>
      <end>54</end>
      <status>modified</status>
      <modifiedWord>规</modifiedWord>
      <trackRevisions>false</trackRevisions>
    </reviewItem>
    <reviewItem>
      <errorID>e2f242bc-ad09-4ce2-a1ef-cca7b9912db1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43E13FE</paraID>
      <start>0</start>
      <end>2</end>
      <status>unmodified</status>
      <modifiedWord/>
      <trackRevisions>false</trackRevisions>
    </reviewItem>
    <reviewItem>
      <errorID>ef6d9d5b-e928-4d8f-b038-d97d6b9bc5a9</errorID>
      <errorWord>【2021】61号</errorWord>
      <group>L1_Knowledge</group>
      <groupName>知识性问题</groupName>
      <ability>L2_Knowledge</ability>
      <abilityName>其他知识</abilityName>
      <candidateList>
        <item>〔2021〕61号</item>
      </candidateList>
      <explain>发文字号格式错误。</explain>
      <paraID>51920B18</paraID>
      <start>27</start>
      <end>36</end>
      <status>unmodified</status>
      <modifiedWord/>
      <trackRevisions>false</trackRevisions>
    </reviewItem>
    <reviewItem>
      <errorID>a7ae765d-295f-40fa-a88f-073444bd2aa8</errorID>
      <errorWord>【2021】61号</errorWord>
      <group>L1_Knowledge</group>
      <groupName>知识性问题</groupName>
      <ability>L2_Knowledge</ability>
      <abilityName>其他知识</abilityName>
      <candidateList>
        <item>〔2021〕61号</item>
      </candidateList>
      <explain>发文字号格式错误。</explain>
      <paraID>38DFE47C</paraID>
      <start>32</start>
      <end>41</end>
      <status>unmodified</status>
      <modifiedWord/>
      <trackRevisions>false</trackRevisions>
    </reviewItem>
    <reviewItem>
      <errorID>c1bb5fc4-56d6-411e-a229-a3c0935c23fc</errorID>
      <errorWord>生态环境总体管控</errorWord>
      <group>L1_Political</group>
      <groupName>政治性问题</groupName>
      <ability>L2_Keyword</ability>
      <abilityName>固定表述</abilityName>
      <candidateList>
        <item>生态环境分区管控</item>
      </candidateList>
      <explain>词汇“生态环境分区管控”在特定场景下为固定表述形式，请确认此处的“生态环境总体管控”是否存在不当。</explain>
      <paraID>33EDF99E</paraID>
      <start>25</start>
      <end>33</end>
      <status>ignored</status>
      <modifiedWord/>
      <trackRevisions>false</trackRevisions>
    </reviewItem>
    <reviewItem>
      <errorID>68358939-3dac-411a-8cf9-3e10e641cfc0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4985CD72</paraID>
      <start>0</start>
      <end>2</end>
      <status>unmodified</status>
      <modifiedWord/>
      <trackRevisions>false</trackRevisions>
    </reviewItem>
    <reviewItem>
      <errorID>abc3470e-e5f4-4ac1-a9f6-6187f3f0b617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5780D009</paraID>
      <start>0</start>
      <end>2</end>
      <status>unmodified</status>
      <modifiedWord/>
      <trackRevisions>false</trackRevisions>
    </reviewItem>
    <reviewItem>
      <errorID>d9b5f08c-af3c-45b8-a002-041cb2d11ee7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36CCD4FC</paraID>
      <start>0</start>
      <end>2</end>
      <status>unmodified</status>
      <modifiedWord/>
      <trackRevisions>false</trackRevisions>
    </reviewItem>
    <reviewItem>
      <errorID>008aafaf-4d49-4342-a9a5-3927eb33e4d4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75597E14</paraID>
      <start>0</start>
      <end>2</end>
      <status>unmodified</status>
      <modifiedWord/>
      <trackRevisions>false</trackRevisions>
    </reviewItem>
    <reviewItem>
      <errorID>6437bbda-f0d3-425d-ae39-d5cda1ed8df9</errorID>
      <errorWord>&lt;</errorWord>
      <group>L1_Format</group>
      <groupName>格式问题</groupName>
      <ability>L2_HalfPunc</ability>
      <abilityName>全半角检查</abilityName>
      <candidateList>
        <item>〈</item>
      </candidateList>
      <explain>文本全半角错误。</explain>
      <paraID>75597E14</paraID>
      <start>19</start>
      <end>20</end>
      <status>unmodified</status>
      <modifiedWord/>
      <trackRevisions>false</trackRevisions>
    </reviewItem>
    <reviewItem>
      <errorID>c7a48692-f9c6-432c-9c76-4539b1a87d0e</errorID>
      <errorWord>&gt;</errorWord>
      <group>L1_Format</group>
      <groupName>格式问题</groupName>
      <ability>L2_HalfPunc</ability>
      <abilityName>全半角检查</abilityName>
      <candidateList>
        <item>〉</item>
      </candidateList>
      <explain>文本全半角错误。</explain>
      <paraID>75597E14</paraID>
      <start>33</start>
      <end>34</end>
      <status>unmodified</status>
      <modifiedWord/>
      <trackRevisions>false</trackRevisions>
    </reviewItem>
    <reviewItem>
      <errorID>70ec4118-b6a2-4a2d-936b-429bd6a020a2</errorID>
      <errorWord>&lt;</errorWord>
      <group>L1_Format</group>
      <groupName>格式问题</groupName>
      <ability>L2_HalfPunc</ability>
      <abilityName>全半角检查</abilityName>
      <candidateList>
        <item>〈</item>
      </candidateList>
      <explain>文本全半角错误。</explain>
      <paraID>399ED60C</paraID>
      <start>20</start>
      <end>21</end>
      <status>unmodified</status>
      <modifiedWord/>
      <trackRevisions>false</trackRevisions>
    </reviewItem>
    <reviewItem>
      <errorID>c7ccf7f1-fe94-44c6-a1b2-615cd828da3a</errorID>
      <errorWord>&gt;</errorWord>
      <group>L1_Format</group>
      <groupName>格式问题</groupName>
      <ability>L2_HalfPunc</ability>
      <abilityName>全半角检查</abilityName>
      <candidateList>
        <item>〉</item>
      </candidateList>
      <explain>文本全半角错误。</explain>
      <paraID>399ED60C</paraID>
      <start>34</start>
      <end>35</end>
      <status>unmodified</status>
      <modifiedWord/>
      <trackRevisions>false</trackRevisions>
    </reviewItem>
    <reviewItem>
      <errorID>480a3129-2314-4be4-8d59-1d2df3d0ca9e</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1010A3AF</paraID>
      <start>0</start>
      <end>2</end>
      <status>unmodified</status>
      <modifiedWord/>
      <trackRevisions>false</trackRevisions>
    </reviewItem>
    <reviewItem>
      <errorID>92c82283-e266-42c2-bbbd-d71be98c4810</errorID>
      <errorWord>紫外光</errorWord>
      <group>L1_Word</group>
      <groupName>字词问题</groupName>
      <ability>L2_Typo</ability>
      <abilityName>字词错误</abilityName>
      <candidateList>
        <item>紫外线</item>
      </candidateList>
      <explain/>
      <paraID>5E30FBFE</paraID>
      <start>32</start>
      <end>35</end>
      <status>unmodified</status>
      <modifiedWord/>
      <trackRevisions>false</trackRevisions>
    </reviewItem>
    <reviewItem>
      <errorID>44d996a6-524d-4339-8e75-bb9395b42854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6B240918</paraID>
      <start>0</start>
      <end>2</end>
      <status>unmodified</status>
      <modifiedWord/>
      <trackRevisions>false</trackRevisions>
    </reviewItem>
    <reviewItem>
      <errorID>a4f78a32-4f83-4e69-af51-34b974dd1da7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760E9BE9</paraID>
      <start>0</start>
      <end>2</end>
      <status>unmodified</status>
      <modifiedWord/>
      <trackRevisions>false</trackRevisions>
    </reviewItem>
    <reviewItem>
      <errorID>ad97a9fd-0322-493d-8c54-1211c6c2b224</errorID>
      <errorWord>利</errorWord>
      <group>L1_Word</group>
      <groupName>字词问题</groupName>
      <ability>L2_Typo</ability>
      <abilityName>字词错误</abilityName>
      <candidateList>
        <item>利用</item>
      </candidateList>
      <explain/>
      <paraID>52FA7149</paraID>
      <start>7</start>
      <end>8</end>
      <status>unmodified</status>
      <modifiedWord/>
      <trackRevisions>false</trackRevisions>
    </reviewItem>
    <reviewItem>
      <errorID>32ff57b9-4471-4460-8131-6602f3b23ce4</errorID>
      <errorWord>和台帐</errorWord>
      <group>L1_Word</group>
      <groupName>字词问题</groupName>
      <ability>L2_Alias</ability>
      <abilityName>也作/曾用词</abilityName>
      <candidateList>
        <item>和台账</item>
      </candidateList>
      <explain>词汇[和台帐]为不规范表述或旧称，其规范书面表述为[和台账]。</explain>
      <paraID>6509EB60</paraID>
      <start>28</start>
      <end>31</end>
      <status>modified</status>
      <modifiedWord>和台账</modifiedWord>
      <trackRevisions>false</trackRevisions>
    </reviewItem>
    <reviewItem>
      <errorID>7c5baa4c-04f7-4482-a2c2-7e4f32e50caf</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7FEAD1F2</paraID>
      <start>0</start>
      <end>3</end>
      <status>unmodified</status>
      <modifiedWord/>
      <trackRevisions>false</trackRevisions>
    </reviewItem>
    <reviewItem>
      <errorID>047ed373-264a-4b46-84db-30327cb0ba52</errorID>
      <errorWord>[2019]53号</errorWord>
      <group>L1_Knowledge</group>
      <groupName>知识性问题</groupName>
      <ability>L2_Knowledge</ability>
      <abilityName>其他知识</abilityName>
      <candidateList>
        <item>〔2019〕53号</item>
      </candidateList>
      <explain>发文字号格式错误。</explain>
      <paraID>7FEAD1F2</paraID>
      <start>31</start>
      <end>40</end>
      <status>unmodified</status>
      <modifiedWord/>
      <trackRevisions>false</trackRevisions>
    </reviewItem>
    <reviewItem>
      <errorID>8ec2a306-cd50-4269-b590-19a61bb24e29</errorID>
      <errorWord>[2020]33号</errorWord>
      <group>L1_Knowledge</group>
      <groupName>知识性问题</groupName>
      <ability>L2_Knowledge</ability>
      <abilityName>其他知识</abilityName>
      <candidateList>
        <item>〔2020〕33号</item>
      </candidateList>
      <explain>发文字号格式错误。</explain>
      <paraID>7FEAD1F2</paraID>
      <start>65</start>
      <end>74</end>
      <status>unmodified</status>
      <modifiedWord/>
      <trackRevisions>false</trackRevisions>
    </reviewItem>
    <reviewItem>
      <errorID>bd30ce90-56cc-4bb3-979a-627b6b3e0bd8</errorID>
      <errorWord>。</errorWord>
      <group>L1_Punc</group>
      <groupName>标点问题</groupName>
      <ability>L2_Punc</ability>
      <abilityName>标点符号检查</abilityName>
      <candidateList/>
      <explain/>
      <paraID>41067E75</paraID>
      <start>0</start>
      <end>1</end>
      <status>unmodified</status>
      <modifiedWord/>
      <trackRevisions>false</trackRevisions>
    </reviewItem>
    <reviewItem>
      <errorID>88019913-abea-4dba-b25a-0c9be2ec6700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506417FB</paraID>
      <start>29</start>
      <end>30</end>
      <status>unmodified</status>
      <modifiedWord/>
      <trackRevisions>false</trackRevisions>
    </reviewItem>
    <reviewItem>
      <errorID>d6b9a4d7-cccd-4e28-9c3e-a31a9dd9d6a0</errorID>
      <errorWord>[2020]33号</errorWord>
      <group>L1_Knowledge</group>
      <groupName>知识性问题</groupName>
      <ability>L2_Knowledge</ability>
      <abilityName>其他知识</abilityName>
      <candidateList>
        <item>〔2020〕33号</item>
      </candidateList>
      <explain>发文字号格式错误。</explain>
      <paraID>39DCFD2C</paraID>
      <start>33</start>
      <end>42</end>
      <status>unmodified</status>
      <modifiedWord/>
      <trackRevisions>false</trackRevisions>
    </reviewItem>
    <reviewItem>
      <errorID>c3d83590-97fa-4f2a-912d-8e15c2e8d2d3</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B0B02AE</paraID>
      <start>18</start>
      <end>19</end>
      <status>modified</status>
      <modifiedWord>地</modifiedWord>
      <trackRevisions>false</trackRevisions>
    </reviewItem>
    <reviewItem>
      <errorID>06d647a0-9628-4dc9-9745-7b9773cc4a3b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68CCA876</paraID>
      <start>18</start>
      <end>19</end>
      <status>modified</status>
      <modifiedWord>地</modifiedWord>
      <trackRevisions>false</trackRevisions>
    </reviewItem>
    <reviewItem>
      <errorID>16623a57-df79-4ac9-84f5-ebef43bb2e33</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3FC7CFCD</paraID>
      <start>18</start>
      <end>19</end>
      <status>modified</status>
      <modifiedWord>地</modifiedWord>
      <trackRevisions>false</trackRevisions>
    </reviewItem>
    <reviewItem>
      <errorID>20cddd57-a76d-4bc1-a882-d4deaeefb651</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30937EE6</paraID>
      <start>0</start>
      <end>3</end>
      <status>unmodified</status>
      <modifiedWord/>
      <trackRevisions>false</trackRevisions>
    </reviewItem>
    <reviewItem>
      <errorID>74a96e7a-5f3a-4454-a9c7-b4815e5de22e</errorID>
      <errorWord>建立台帐</errorWord>
      <group>L1_Word</group>
      <groupName>字词问题</groupName>
      <ability>L2_Alias</ability>
      <abilityName>也作/曾用词</abilityName>
      <candidateList>
        <item>建立台账</item>
      </candidateList>
      <explain>词汇[建立台帐]为不规范表述或旧称，其规范书面表述为[建立台账]。</explain>
      <paraID>41EFC726</paraID>
      <start>9</start>
      <end>13</end>
      <status>unmodified</status>
      <modifiedWord/>
      <trackRevisions>false</trackRevisions>
    </reviewItem>
    <reviewItem>
      <errorID>f78db92d-ffd6-4b5a-af82-651a78c9b208</errorID>
      <errorWord>台帐</errorWord>
      <group>L1_Word</group>
      <groupName>字词问题</groupName>
      <ability>L2_Typo</ability>
      <abilityName>字词错误</abilityName>
      <candidateList>
        <item>台账</item>
      </candidateList>
      <explain>存在发音相同字词的误用。</explain>
      <paraID>41EFC726</paraID>
      <start>67</start>
      <end>69</end>
      <status>unmodified</status>
      <modifiedWord/>
      <trackRevisions>false</trackRevisions>
    </reviewItem>
    <reviewItem>
      <errorID>4e85208c-6009-4d07-bc58-d1f6b73c40cd</errorID>
      <errorWord>相关台帐</errorWord>
      <group>L1_Word</group>
      <groupName>字词问题</groupName>
      <ability>L2_Alias</ability>
      <abilityName>也作/曾用词</abilityName>
      <candidateList>
        <item>相关台账</item>
      </candidateList>
      <explain>词汇[相关台帐]为不规范表述或旧称，其规范书面表述为[相关台账]。</explain>
      <paraID>340A6A8F</paraID>
      <start>5</start>
      <end>9</end>
      <status>unmodified</status>
      <modifiedWord/>
      <trackRevisions>false</trackRevisions>
    </reviewItem>
    <reviewItem>
      <errorID>ed793137-4f90-4a16-963a-7aba3e5c5ec2</errorID>
      <errorWord>作好</errorWord>
      <group>L1_Word</group>
      <groupName>字词问题</groupName>
      <ability>L2_Typo</ability>
      <abilityName>字词错误</abilityName>
      <candidateList>
        <item>做好</item>
      </candidateList>
      <explain>存在发音相同字词的误用。</explain>
      <paraID>340A6A8F</paraID>
      <start>10</start>
      <end>12</end>
      <status>modified</status>
      <modifiedWord>做好</modifiedWord>
      <trackRevisions>false</trackRevisions>
    </reviewItem>
    <reviewItem>
      <errorID>1f8be69a-a8ef-4983-8fef-efd8afb6bb84</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750177A3</paraID>
      <start>0</start>
      <end>3</end>
      <status>unmodified</status>
      <modifiedWord/>
      <trackRevisions>false</trackRevisions>
    </reviewItem>
    <reviewItem>
      <errorID>e8c96b19-a49b-464e-b676-ec817653b7a5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750177A3</paraID>
      <start>31</start>
      <end>32</end>
      <status>unmodified</status>
      <modifiedWord/>
      <trackRevisions>false</trackRevisions>
    </reviewItem>
    <reviewItem>
      <errorID>71278a67-781f-423f-8022-ce312edba7dc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77846F89</paraID>
      <start>31</start>
      <end>32</end>
      <status>unmodified</status>
      <modifiedWord/>
      <trackRevisions>false</trackRevisions>
    </reviewItem>
    <reviewItem>
      <errorID>6e74306f-07ae-4a57-b5e2-af319ddda2e5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5ABAF173</paraID>
      <start>37</start>
      <end>38</end>
      <status>unmodified</status>
      <modifiedWord/>
      <trackRevisions>false</trackRevisions>
    </reviewItem>
    <reviewItem>
      <errorID>e16e64b8-c6c0-4135-a186-69ab18b8148a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1A732CEC</paraID>
      <start>0</start>
      <end>2</end>
      <status>unmodified</status>
      <modifiedWord/>
      <trackRevisions>false</trackRevisions>
    </reviewItem>
    <reviewItem>
      <errorID>16372e7b-35a4-4617-9801-834d0762484d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75058ACB</paraID>
      <start>0</start>
      <end>2</end>
      <status>unmodified</status>
      <modifiedWord/>
      <trackRevisions>false</trackRevisions>
    </reviewItem>
    <reviewItem>
      <errorID>6810ca80-a04b-43b0-b49d-28e1ed100e9a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2A1506FB</paraID>
      <start>0</start>
      <end>2</end>
      <status>unmodified</status>
      <modifiedWord/>
      <trackRevisions>false</trackRevisions>
    </reviewItem>
    <reviewItem>
      <errorID>279ed61b-9c18-4391-939f-685dc4aa0ecb</errorID>
      <errorWord>窑炉</errorWord>
      <group>L1_Word</group>
      <groupName>字词问题</groupName>
      <ability>L2_Typo</ability>
      <abilityName>字词错误</abilityName>
      <candidateList>
        <item>炉</item>
      </candidateList>
      <explain/>
      <paraID>2A1506FB</paraID>
      <start>5</start>
      <end>7</end>
      <status>unmodified</status>
      <modifiedWord/>
      <trackRevisions>false</trackRevisions>
    </reviewItem>
    <reviewItem>
      <errorID>94526fa2-8146-4c5a-b537-6e0e76e8dda6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62610A5A</paraID>
      <start>0</start>
      <end>2</end>
      <status>unmodified</status>
      <modifiedWord/>
      <trackRevisions>false</trackRevisions>
    </reviewItem>
    <reviewItem>
      <errorID>9f24b9db-0ce2-4915-83d4-c31d7ce2f812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4EC233AD</paraID>
      <start>0</start>
      <end>2</end>
      <status>unmodified</status>
      <modifiedWord/>
      <trackRevisions>false</trackRevisions>
    </reviewItem>
    <reviewItem>
      <errorID>e76ed5ec-e9cd-4c9b-b317-eb3a35e7ead3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3C257702</paraID>
      <start>41</start>
      <end>42</end>
      <status>unmodified</status>
      <modifiedWord/>
      <trackRevisions>false</trackRevisions>
    </reviewItem>
    <reviewItem>
      <errorID>6a53626b-a9aa-4634-8079-5a00aa63c59b</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34CE8520</paraID>
      <start>0</start>
      <end>3</end>
      <status>unmodified</status>
      <modifiedWord/>
      <trackRevisions>false</trackRevisions>
    </reviewItem>
    <reviewItem>
      <errorID>ee12c95d-4928-4865-bc55-db571fef0e9a</errorID>
      <errorWord>-</errorWord>
      <group>L1_Format</group>
      <groupName>格式问题</groupName>
      <ability>L2_HalfPunc</ability>
      <abilityName>全半角检查</abilityName>
      <candidateList>
        <item>－</item>
      </candidateList>
      <explain>文本全半角错误。</explain>
      <paraID>4C4B13E3</paraID>
      <start>44</start>
      <end>45</end>
      <status>unmodified</status>
      <modifiedWord/>
      <trackRevisions>false</trackRevisions>
    </reviewItem>
    <reviewItem>
      <errorID>5c460983-aa12-4b2b-a6fa-3dcbb3220f11</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340CDA38</paraID>
      <start>0</start>
      <end>3</end>
      <status>unmodified</status>
      <modifiedWord/>
      <trackRevisions>false</trackRevisions>
    </reviewItem>
    <reviewItem>
      <errorID>fe4b3d25-722f-4525-a188-db711213201b</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66482465</paraID>
      <start>0</start>
      <end>3</end>
      <status>unmodified</status>
      <modifiedWord/>
      <trackRevisions>false</trackRevisions>
    </reviewItem>
    <reviewItem>
      <errorID>1da50274-0c89-46c0-86fa-f1b950fdf471</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3B952F18</paraID>
      <start>0</start>
      <end>3</end>
      <status>unmodified</status>
      <modifiedWord/>
      <trackRevisions>false</trackRevisions>
    </reviewItem>
    <reviewItem>
      <errorID>e630b02f-cc80-4a77-b156-fa5b57f7edf2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6D148682</paraID>
      <start>0</start>
      <end>2</end>
      <status>unmodified</status>
      <modifiedWord/>
      <trackRevisions>false</trackRevisions>
    </reviewItem>
    <reviewItem>
      <errorID>0e206ca5-abdd-466a-a35d-0446e604a19a</errorID>
      <errorWord>-</errorWord>
      <group>L1_Format</group>
      <groupName>格式问题</groupName>
      <ability>L2_HalfPunc</ability>
      <abilityName>全半角检查</abilityName>
      <candidateList>
        <item>－</item>
      </candidateList>
      <explain>文本全半角错误。</explain>
      <paraID> 2023F3B</paraID>
      <start>52</start>
      <end>53</end>
      <status>unmodified</status>
      <modifiedWord/>
      <trackRevisions>false</trackRevisions>
    </reviewItem>
    <reviewItem>
      <errorID>976187e6-a757-47db-aa0a-cd14a4889f48</errorID>
      <errorWord>-</errorWord>
      <group>L1_Format</group>
      <groupName>格式问题</groupName>
      <ability>L2_HalfPunc</ability>
      <abilityName>全半角检查</abilityName>
      <candidateList>
        <item>－</item>
      </candidateList>
      <explain>文本全半角错误。</explain>
      <paraID> 2023F3B</paraID>
      <start>53</start>
      <end>54</end>
      <status>unmodified</status>
      <modifiedWord/>
      <trackRevisions>false</trackRevisions>
    </reviewItem>
    <reviewItem>
      <errorID>1ee81219-3400-45a2-b5ac-b49a92a88f27</errorID>
      <errorWord>-</errorWord>
      <group>L1_Format</group>
      <groupName>格式问题</groupName>
      <ability>L2_HalfPunc</ability>
      <abilityName>全半角检查</abilityName>
      <candidateList>
        <item>－</item>
      </candidateList>
      <explain>文本全半角错误。</explain>
      <paraID> 2023F3B</paraID>
      <start>68</start>
      <end>69</end>
      <status>unmodified</status>
      <modifiedWord/>
      <trackRevisions>false</trackRevisions>
    </reviewItem>
    <reviewItem>
      <errorID>b1a04688-8ab5-4c9e-9055-f1ce53ca55ac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588530F4</paraID>
      <start>0</start>
      <end>2</end>
      <status>unmodified</status>
      <modifiedWord/>
      <trackRevisions>false</trackRevisions>
    </reviewItem>
    <reviewItem>
      <errorID>efce04cc-1ff8-430e-8a4a-37d9296e0485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62CBE2D2</paraID>
      <start>0</start>
      <end>2</end>
      <status>unmodified</status>
      <modifiedWord/>
      <trackRevisions>false</trackRevisions>
    </reviewItem>
    <reviewItem>
      <errorID>7e6a49fa-6ff8-4354-9f9d-658e67c671af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28E8C452</paraID>
      <start>5</start>
      <end>6</end>
      <status>unmodified</status>
      <modifiedWord/>
      <trackRevisions>false</trackRevisions>
    </reviewItem>
    <reviewItem>
      <errorID>48a737b2-95ec-4c8b-b1d5-af5ebc4831cc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45391763</paraID>
      <start>5</start>
      <end>6</end>
      <status>unmodified</status>
      <modifiedWord/>
      <trackRevisions>false</trackRevisions>
    </reviewItem>
    <reviewItem>
      <errorID>e4592f5f-87a1-4500-bf56-0ed11f5451fb</errorID>
      <errorWord>.</errorWord>
      <group>L1_Format</group>
      <groupName>格式问题</groupName>
      <ability>L2_HalfPunc</ability>
      <abilityName>全半角检查</abilityName>
      <candidateList>
        <item>。</item>
      </candidateList>
      <explain>文本全半角错误。</explain>
      <paraID> 86A7C31</paraID>
      <start>24</start>
      <end>25</end>
      <status>unmodified</status>
      <modifiedWord/>
      <trackRevisions>false</trackRevisions>
    </reviewItem>
    <reviewItem>
      <errorID>3c9bc66b-2383-45d2-bebd-f72f7e8ce384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66DDA1FD</paraID>
      <start>25</start>
      <end>26</end>
      <status>unmodified</status>
      <modifiedWord/>
      <trackRevisions>false</trackRevisions>
    </reviewItem>
    <reviewItem>
      <errorID>3d006fb0-2aaf-406a-bde7-995147ea51ac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918F1A4</paraID>
      <start>0</start>
      <end>2</end>
      <status>unmodified</status>
      <modifiedWord/>
      <trackRevisions>false</trackRevisions>
    </reviewItem>
    <reviewItem>
      <errorID>947d40df-7ea3-42f1-aa17-f255daee0f7d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671585D3</paraID>
      <start>0</start>
      <end>2</end>
      <status>unmodified</status>
      <modifiedWord/>
      <trackRevisions>false</trackRevisions>
    </reviewItem>
    <reviewItem>
      <errorID>31d38f8b-54f7-4a4e-87b2-d151014db4b0</errorID>
      <errorWord>“</errorWord>
      <group>L1_Punc</group>
      <groupName>标点问题</groupName>
      <ability>L2_Punc</ability>
      <abilityName>标点符号检查</abilityName>
      <candidateList/>
      <explain/>
      <paraID>62F8A916</paraID>
      <start>220</start>
      <end>221</end>
      <status>unmodified</status>
      <modifiedWord/>
      <trackRevisions>false</trackRevisions>
    </reviewItem>
    <reviewItem>
      <errorID>d072a901-3255-4e5e-99a2-8f33f839d538</errorID>
      <errorWord>树脂</errorWord>
      <group>L1_Word</group>
      <groupName>字词问题</groupName>
      <ability>L2_Typo</ability>
      <abilityName>字词错误</abilityName>
      <candidateList>
        <item>树酯</item>
      </candidateList>
      <explain/>
      <paraID>3E7BF5B9</paraID>
      <start>41</start>
      <end>43</end>
      <status>modified</status>
      <modifiedWord>树酯</modifiedWord>
      <trackRevisions>false</trackRevisions>
    </reviewItem>
    <reviewItem>
      <errorID>0a93734c-57d6-4d0b-9e78-14c14fa76347</errorID>
      <errorWord>30%-60%</errorWord>
      <group>L1_Knowledge</group>
      <groupName>知识性问题</groupName>
      <ability>L2_Knowledge</ability>
      <abilityName>其他知识</abilityName>
      <candidateList>
        <item>30%—60%</item>
      </candidateList>
      <explain>1. “30%-60%”中的单位“%”仅出现在后一个数字上，容易引起歧义；根据《现代汉语标点符号数字用法规范手册》，数字表示范围两边需要使用统一的格式。2. 根据标点国标 4.13 中的规则，数字、时间或地域连接符应使用（视觉上更长的）“—”或“～”。</explain>
      <paraID>3E7BF5B9</paraID>
      <start>44</start>
      <end>51</end>
      <status>unmodified</status>
      <modifiedWord/>
      <trackRevisions>false</trackRevisions>
    </reviewItem>
    <reviewItem>
      <errorID>62d94498-9a29-4f4e-8597-2b563e5d4c26</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3E7BF5B9</paraID>
      <start>65</start>
      <end>72</end>
      <status>unmodified</status>
      <modifiedWord/>
      <trackRevisions>false</trackRevisions>
    </reviewItem>
    <reviewItem>
      <errorID>781b2328-dfc9-4fd2-a621-97517900ab9a</errorID>
      <errorWord>5%-8%</errorWord>
      <group>L1_Knowledge</group>
      <groupName>知识性问题</groupName>
      <ability>L2_Knowledge</ability>
      <abilityName>其他知识</abilityName>
      <candidateList>
        <item>5%—8%</item>
      </candidateList>
      <explain>1. “5%-8%”中的单位“%”仅出现在后一个数字上，容易引起歧义；根据《现代汉语标点符号数字用法规范手册》，数字表示范围两边需要使用统一的格式。2. 根据标点国标 4.13 中的规则，数字、时间或地域连接符应使用（视觉上更长的）“—”或“～”。</explain>
      <paraID>3E7BF5B9</paraID>
      <start>87</start>
      <end>92</end>
      <status>unmodified</status>
      <modifiedWord/>
      <trackRevisions>false</trackRevisions>
    </reviewItem>
    <reviewItem>
      <errorID>10b5d212-09ad-4b03-9a63-a88b9cf6d4ea</errorID>
      <errorWord>5%-8%</errorWord>
      <group>L1_Knowledge</group>
      <groupName>知识性问题</groupName>
      <ability>L2_Knowledge</ability>
      <abilityName>其他知识</abilityName>
      <candidateList>
        <item>5%—8%</item>
      </candidateList>
      <explain>1. “5%-8%”中的单位“%”仅出现在后一个数字上，容易引起歧义；根据《现代汉语标点符号数字用法规范手册》，数字表示范围两边需要使用统一的格式。2. 根据标点国标 4.13 中的规则，数字、时间或地域连接符应使用（视觉上更长的）“—”或“～”。</explain>
      <paraID>3E7BF5B9</paraID>
      <start>110</start>
      <end>115</end>
      <status>unmodified</status>
      <modifiedWord/>
      <trackRevisions>false</trackRevisions>
    </reviewItem>
    <reviewItem>
      <errorID>f38b52fd-c801-4a39-95b7-24295ff8fd23</errorID>
      <errorWord>0%-30%</errorWord>
      <group>L1_Knowledge</group>
      <groupName>知识性问题</groupName>
      <ability>L2_Knowledge</ability>
      <abilityName>其他知识</abilityName>
      <candidateList>
        <item>0%—30%</item>
      </candidateList>
      <explain>1. “0%-30%”中的单位“%”仅出现在后一个数字上，容易引起歧义；根据《现代汉语标点符号数字用法规范手册》，数字表示范围两边需要使用统一的格式。2. 根据标点国标 4.13 中的规则，数字、时间或地域连接符应使用（视觉上更长的）“—”或“～”。</explain>
      <paraID>3E7BF5B9</paraID>
      <start>129</start>
      <end>135</end>
      <status>unmodified</status>
      <modifiedWord/>
      <trackRevisions>false</trackRevisions>
    </reviewItem>
    <reviewItem>
      <errorID>80faaf64-2b99-4f16-9442-246205ba747d</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4C1CB1F4</paraID>
      <start>38</start>
      <end>45</end>
      <status>unmodified</status>
      <modifiedWord/>
      <trackRevisions>false</trackRevisions>
    </reviewItem>
    <reviewItem>
      <errorID>fbf1f49f-0f2c-49c4-9f2d-8746d0924ffa</errorID>
      <errorWord>8%-12%</errorWord>
      <group>L1_Knowledge</group>
      <groupName>知识性问题</groupName>
      <ability>L2_Knowledge</ability>
      <abilityName>其他知识</abilityName>
      <candidateList>
        <item>8%—12%</item>
      </candidateList>
      <explain>1. “8%-12%”中的单位“%”仅出现在后一个数字上，容易引起歧义；根据《现代汉语标点符号数字用法规范手册》，数字表示范围两边需要使用统一的格式。2. 根据标点国标 4.13 中的规则，数字、时间或地域连接符应使用（视觉上更长的）“—”或“～”。</explain>
      <paraID>4C1CB1F4</paraID>
      <start>59</start>
      <end>65</end>
      <status>unmodified</status>
      <modifiedWord/>
      <trackRevisions>false</trackRevisions>
    </reviewItem>
    <reviewItem>
      <errorID>8269666b-2123-4f5b-b8e4-cd47de0499d0</errorID>
      <errorWord>5%-8%</errorWord>
      <group>L1_Knowledge</group>
      <groupName>知识性问题</groupName>
      <ability>L2_Knowledge</ability>
      <abilityName>其他知识</abilityName>
      <candidateList>
        <item>5%—8%</item>
      </candidateList>
      <explain>1. “5%-8%”中的单位“%”仅出现在后一个数字上，容易引起歧义；根据《现代汉语标点符号数字用法规范手册》，数字表示范围两边需要使用统一的格式。2. 根据标点国标 4.13 中的规则，数字、时间或地域连接符应使用（视觉上更长的）“—”或“～”。</explain>
      <paraID>4C1CB1F4</paraID>
      <start>79</start>
      <end>84</end>
      <status>unmodified</status>
      <modifiedWord/>
      <trackRevisions>false</trackRevisions>
    </reviewItem>
    <reviewItem>
      <errorID>580bf7d3-4d3a-4602-b901-81c340e92a49</errorID>
      <errorWord>50%-80%</errorWord>
      <group>L1_Knowledge</group>
      <groupName>知识性问题</groupName>
      <ability>L2_Knowledge</ability>
      <abilityName>其他知识</abilityName>
      <candidateList>
        <item>50%—80%</item>
      </candidateList>
      <explain>1. “50%-80%”中的单位“%”仅出现在后一个数字上，容易引起歧义；根据《现代汉语标点符号数字用法规范手册》，数字表示范围两边需要使用统一的格式。2. 根据标点国标 4.13 中的规则，数字、时间或地域连接符应使用（视觉上更长的）“—”或“～”。</explain>
      <paraID>4C1CB1F4</paraID>
      <start>96</start>
      <end>103</end>
      <status>unmodified</status>
      <modifiedWord/>
      <trackRevisions>false</trackRevisions>
    </reviewItem>
    <reviewItem>
      <errorID>14a67fcf-1892-4bc1-affb-6d63ff5c6882</errorID>
      <errorWord>70%-80%</errorWord>
      <group>L1_Knowledge</group>
      <groupName>知识性问题</groupName>
      <ability>L2_Knowledge</ability>
      <abilityName>其他知识</abilityName>
      <candidateList>
        <item>70%—80%</item>
      </candidateList>
      <explain>1. “70%-80%”中的单位“%”仅出现在后一个数字上，容易引起歧义；根据《现代汉语标点符号数字用法规范手册》，数字表示范围两边需要使用统一的格式。2. 根据标点国标 4.13 中的规则，数字、时间或地域连接符应使用（视觉上更长的）“—”或“～”。</explain>
      <paraID>4A08B1E3</paraID>
      <start>30</start>
      <end>37</end>
      <status>unmodified</status>
      <modifiedWord/>
      <trackRevisions>false</trackRevisions>
    </reviewItem>
    <reviewItem>
      <errorID>98a4eaa4-679b-4ef0-b0f5-a12a73c21d5e</errorID>
      <errorWord>20%-30%</errorWord>
      <group>L1_Knowledge</group>
      <groupName>知识性问题</groupName>
      <ability>L2_Knowledge</ability>
      <abilityName>其他知识</abilityName>
      <candidateList>
        <item>20%—30%</item>
      </candidateList>
      <explain>1. “20%-30%”中的单位“%”仅出现在后一个数字上，容易引起歧义；根据《现代汉语标点符号数字用法规范手册》，数字表示范围两边需要使用统一的格式。2. 根据标点国标 4.13 中的规则，数字、时间或地域连接符应使用（视觉上更长的）“—”或“～”。</explain>
      <paraID>4A08B1E3</paraID>
      <start>51</start>
      <end>58</end>
      <status>unmodified</status>
      <modifiedWord/>
      <trackRevisions>false</trackRevisions>
    </reviewItem>
    <reviewItem>
      <errorID>139db130-fb70-4c70-9e6c-1593fc7c3331</errorID>
      <errorWord>20%-30%</errorWord>
      <group>L1_Knowledge</group>
      <groupName>知识性问题</groupName>
      <ability>L2_Knowledge</ability>
      <abilityName>其他知识</abilityName>
      <candidateList>
        <item>20%—30%</item>
      </candidateList>
      <explain>1. “20%-30%”中的单位“%”仅出现在后一个数字上，容易引起歧义；根据《现代汉语标点符号数字用法规范手册》，数字表示范围两边需要使用统一的格式。2. 根据标点国标 4.13 中的规则，数字、时间或地域连接符应使用（视觉上更长的）“—”或“～”。</explain>
      <paraID> 2F54561</paraID>
      <start>16</start>
      <end>23</end>
      <status>unmodified</status>
      <modifiedWord/>
      <trackRevisions>false</trackRevisions>
    </reviewItem>
    <reviewItem>
      <errorID>03531f3d-8f8e-4c3a-a70c-aec75353a5c9</errorID>
      <errorWord>25%-35%</errorWord>
      <group>L1_Knowledge</group>
      <groupName>知识性问题</groupName>
      <ability>L2_Knowledge</ability>
      <abilityName>其他知识</abilityName>
      <candidateList>
        <item>25%—35%</item>
      </candidateList>
      <explain>1. “25%-35%”中的单位“%”仅出现在后一个数字上，容易引起歧义；根据《现代汉语标点符号数字用法规范手册》，数字表示范围两边需要使用统一的格式。2. 根据标点国标 4.13 中的规则，数字、时间或地域连接符应使用（视觉上更长的）“—”或“～”。</explain>
      <paraID> 2F54561</paraID>
      <start>38</start>
      <end>45</end>
      <status>unmodified</status>
      <modifiedWord/>
      <trackRevisions>false</trackRevisions>
    </reviewItem>
    <reviewItem>
      <errorID>14c3fc87-1c6f-4aba-9ec8-191d14b8c6dc</errorID>
      <errorWord>15%-25%</errorWord>
      <group>L1_Knowledge</group>
      <groupName>知识性问题</groupName>
      <ability>L2_Knowledge</ability>
      <abilityName>其他知识</abilityName>
      <candidateList>
        <item>15%—25%</item>
      </candidateList>
      <explain>1. “15%-25%”中的单位“%”仅出现在后一个数字上，容易引起歧义；根据《现代汉语标点符号数字用法规范手册》，数字表示范围两边需要使用统一的格式。2. 根据标点国标 4.13 中的规则，数字、时间或地域连接符应使用（视觉上更长的）“—”或“～”。</explain>
      <paraID> 2F54561</paraID>
      <start>64</start>
      <end>71</end>
      <status>unmodified</status>
      <modifiedWord/>
      <trackRevisions>false</trackRevisions>
    </reviewItem>
    <reviewItem>
      <errorID>d52beb86-924f-4e00-bfc0-830b4b28d2e9</errorID>
      <errorWord>15%-25%</errorWord>
      <group>L1_Knowledge</group>
      <groupName>知识性问题</groupName>
      <ability>L2_Knowledge</ability>
      <abilityName>其他知识</abilityName>
      <candidateList>
        <item>15%—25%</item>
      </candidateList>
      <explain>1. “15%-25%”中的单位“%”仅出现在后一个数字上，容易引起歧义；根据《现代汉语标点符号数字用法规范手册》，数字表示范围两边需要使用统一的格式。2. 根据标点国标 4.13 中的规则，数字、时间或地域连接符应使用（视觉上更长的）“—”或“～”。</explain>
      <paraID> 2F54561</paraID>
      <start>85</start>
      <end>92</end>
      <status>unmodified</status>
      <modifiedWord/>
      <trackRevisions>false</trackRevisions>
    </reviewItem>
    <reviewItem>
      <errorID>35983173-e521-4feb-98ab-384367f197f7</errorID>
      <errorWord>30%-50%</errorWord>
      <group>L1_Knowledge</group>
      <groupName>知识性问题</groupName>
      <ability>L2_Knowledge</ability>
      <abilityName>其他知识</abilityName>
      <candidateList>
        <item>30%—50%</item>
      </candidateList>
      <explain>1. “30%-50%”中的单位“%”仅出现在后一个数字上，容易引起歧义；根据《现代汉语标点符号数字用法规范手册》，数字表示范围两边需要使用统一的格式。2. 根据标点国标 4.13 中的规则，数字、时间或地域连接符应使用（视觉上更长的）“—”或“～”。</explain>
      <paraID>30C97EE5</paraID>
      <start>19</start>
      <end>26</end>
      <status>unmodified</status>
      <modifiedWord/>
      <trackRevisions>false</trackRevisions>
    </reviewItem>
    <reviewItem>
      <errorID>8e7be9bb-fe3f-4283-aa3e-71d966ad4cab</errorID>
      <errorWord>15%-50%</errorWord>
      <group>L1_Knowledge</group>
      <groupName>知识性问题</groupName>
      <ability>L2_Knowledge</ability>
      <abilityName>其他知识</abilityName>
      <candidateList>
        <item>15%—50%</item>
      </candidateList>
      <explain>1. “15%-50%”中的单位“%”仅出现在后一个数字上，容易引起歧义；根据《现代汉语标点符号数字用法规范手册》，数字表示范围两边需要使用统一的格式。2. 根据标点国标 4.13 中的规则，数字、时间或地域连接符应使用（视觉上更长的）“—”或“～”。</explain>
      <paraID>30C97EE5</paraID>
      <start>42</start>
      <end>49</end>
      <status>unmodified</status>
      <modifiedWord/>
      <trackRevisions>false</trackRevisions>
    </reviewItem>
    <reviewItem>
      <errorID>34f53652-b907-4090-b3bc-cc8c4a7a4ebc</errorID>
      <errorWord>8%-20%</errorWord>
      <group>L1_Knowledge</group>
      <groupName>知识性问题</groupName>
      <ability>L2_Knowledge</ability>
      <abilityName>其他知识</abilityName>
      <candidateList>
        <item>8%—20%</item>
      </candidateList>
      <explain>1. “8%-20%”中的单位“%”仅出现在后一个数字上，容易引起歧义；根据《现代汉语标点符号数字用法规范手册》，数字表示范围两边需要使用统一的格式。2. 根据标点国标 4.13 中的规则，数字、时间或地域连接符应使用（视觉上更长的）“—”或“～”。</explain>
      <paraID>30C97EE5</paraID>
      <start>63</start>
      <end>69</end>
      <status>unmodified</status>
      <modifiedWord/>
      <trackRevisions>false</trackRevisions>
    </reviewItem>
    <reviewItem>
      <errorID>c279840b-6c97-486c-81dc-758f7d84f472</errorID>
      <errorWord>30%-75%</errorWord>
      <group>L1_Knowledge</group>
      <groupName>知识性问题</groupName>
      <ability>L2_Knowledge</ability>
      <abilityName>其他知识</abilityName>
      <candidateList>
        <item>30%—75%</item>
      </candidateList>
      <explain>1. “30%-75%”中的单位“%”仅出现在后一个数字上，容易引起歧义；根据《现代汉语标点符号数字用法规范手册》，数字表示范围两边需要使用统一的格式。2. 根据标点国标 4.13 中的规则，数字、时间或地域连接符应使用（视觉上更长的）“—”或“～”。</explain>
      <paraID> FEA0DAF</paraID>
      <start>35</start>
      <end>42</end>
      <status>unmodified</status>
      <modifiedWord/>
      <trackRevisions>false</trackRevisions>
    </reviewItem>
    <reviewItem>
      <errorID>4a958459-29a0-4478-a626-95b793419084</errorID>
      <errorWord>25%-70%</errorWord>
      <group>L1_Knowledge</group>
      <groupName>知识性问题</groupName>
      <ability>L2_Knowledge</ability>
      <abilityName>其他知识</abilityName>
      <candidateList>
        <item>25%—70%</item>
      </candidateList>
      <explain>1. “25%-70%”中的单位“%”仅出现在后一个数字上，容易引起歧义；根据《现代汉语标点符号数字用法规范手册》，数字表示范围两边需要使用统一的格式。2. 根据标点国标 4.13 中的规则，数字、时间或地域连接符应使用（视觉上更长的）“—”或“～”。</explain>
      <paraID> FEA0DAF</paraID>
      <start>57</start>
      <end>64</end>
      <status>unmodified</status>
      <modifiedWord/>
      <trackRevisions>false</trackRevisions>
    </reviewItem>
    <reviewItem>
      <errorID>494a34d8-6c5b-4ab4-8119-5679ababc595</errorID>
      <errorWord>具</errorWord>
      <group>L1_Word</group>
      <groupName>字词问题</groupName>
      <ability>L2_Typo</ability>
      <abilityName>字词错误</abilityName>
      <candidateList>
        <item>具有</item>
      </candidateList>
      <explain>〈动〉有（多用于抽象事物）：～信心｜～伟大的意义。</explain>
      <paraID>2F502D18</paraID>
      <start>49</start>
      <end>51</end>
      <status>modified</status>
      <modifiedWord>具有</modifiedWord>
      <trackRevisions>false</trackRevisions>
    </reviewItem>
    <reviewItem>
      <errorID>e7489dc2-10d7-42bc-bc94-d5a979eddc55</errorID>
      <errorWord>：</errorWord>
      <group>L1_Format</group>
      <groupName>格式问题</groupName>
      <ability>L2_HalfPunc</ability>
      <abilityName>全半角检查</abilityName>
      <candidateList>
        <item>:</item>
      </candidateList>
      <explain>文本全半角错误。</explain>
      <paraID>3496D099</paraID>
      <start>42</start>
      <end>43</end>
      <status>unmodified</status>
      <modifiedWord/>
      <trackRevisions>false</trackRevisions>
    </reviewItem>
    <reviewItem>
      <errorID>f2eb4088-7244-4b54-bbf6-af9899cfd54d</errorID>
      <errorWord>：</errorWord>
      <group>L1_Format</group>
      <groupName>格式问题</groupName>
      <ability>L2_HalfPunc</ability>
      <abilityName>全半角检查</abilityName>
      <candidateList>
        <item>:</item>
      </candidateList>
      <explain>文本全半角错误。</explain>
      <paraID>3496D099</paraID>
      <start>65</start>
      <end>66</end>
      <status>unmodified</status>
      <modifiedWord/>
      <trackRevisions>false</trackRevisions>
    </reviewItem>
    <reviewItem>
      <errorID>c5f58363-37b1-4ae8-81cc-f4375e9aef05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138D34CA</paraID>
      <start>113</start>
      <end>114</end>
      <status>unmodified</status>
      <modifiedWord/>
      <trackRevisions>false</trackRevisions>
    </reviewItem>
    <reviewItem>
      <errorID>4512c467-60b3-4e84-b8f4-358cfd678e94</errorID>
      <errorWord>：</errorWord>
      <group>L1_Format</group>
      <groupName>格式问题</groupName>
      <ability>L2_HalfPunc</ability>
      <abilityName>全半角检查</abilityName>
      <candidateList>
        <item>:</item>
      </candidateList>
      <explain>文本全半角错误。</explain>
      <paraID>3F96DB32</paraID>
      <start>115</start>
      <end>116</end>
      <status>unmodified</status>
      <modifiedWord/>
      <trackRevisions>false</trackRevisions>
    </reviewItem>
    <reviewItem>
      <errorID>47d434c0-03be-47de-b998-9e2aa526d77a</errorID>
      <errorWord>：</errorWord>
      <group>L1_Format</group>
      <groupName>格式问题</groupName>
      <ability>L2_HalfPunc</ability>
      <abilityName>全半角检查</abilityName>
      <candidateList>
        <item>:</item>
      </candidateList>
      <explain>文本全半角错误。</explain>
      <paraID>3F96DB32</paraID>
      <start>163</start>
      <end>164</end>
      <status>unmodified</status>
      <modifiedWord/>
      <trackRevisions>false</trackRevisions>
    </reviewItem>
    <reviewItem>
      <errorID>c5348ab5-53d3-40bd-925b-6283d25227af</errorID>
      <errorWord>粘度</errorWord>
      <group>L1_Word</group>
      <groupName>字词问题</groupName>
      <ability>L2_Alias</ability>
      <abilityName>也作/曾用词</abilityName>
      <candidateList>
        <item>黏度</item>
      </candidateList>
      <explain>词汇[粘度]为不规范表述或旧称，其规范书面表述为[黏度]。</explain>
      <paraID>54DCF32C</paraID>
      <start>41</start>
      <end>43</end>
      <status>modified</status>
      <modifiedWord>黏度</modifiedWord>
      <trackRevisions>false</trackRevisions>
    </reviewItem>
    <reviewItem>
      <errorID>269c5aec-9606-4805-8717-dadbb3158270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4FC2C107</paraID>
      <start>0</start>
      <end>2</end>
      <status>unmodified</status>
      <modifiedWord/>
      <trackRevisions>false</trackRevisions>
    </reviewItem>
    <reviewItem>
      <errorID>ee3147aa-73d3-477e-9278-b022dc37ec8a</errorID>
      <errorWord>组份</errorWord>
      <group>L1_Word</group>
      <groupName>字词问题</groupName>
      <ability>L2_Variant</ability>
      <abilityName>异形词</abilityName>
      <candidateList>
        <item>组分</item>
      </candidateList>
      <explain>词汇[组份]的规范词形写作[组分]。</explain>
      <paraID> 66F988F</paraID>
      <start>0</start>
      <end>2</end>
      <status>modified</status>
      <modifiedWord>组分</modifiedWord>
      <trackRevisions>false</trackRevisions>
    </reviewItem>
    <reviewItem>
      <errorID>216382ae-ca54-4fab-9d3d-d504510f9da6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691EB838</paraID>
      <start>0</start>
      <end>2</end>
      <status>unmodified</status>
      <modifiedWord/>
      <trackRevisions>false</trackRevisions>
    </reviewItem>
    <reviewItem>
      <errorID>c99b7b9e-0e73-490e-a242-9c79d2217690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1A327784</paraID>
      <start>0</start>
      <end>2</end>
      <status>unmodified</status>
      <modifiedWord/>
      <trackRevisions>false</trackRevisions>
    </reviewItem>
    <reviewItem>
      <errorID>3cca7161-ae14-4ee9-84ad-cea2a1ce888d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41D0896F</paraID>
      <start>0</start>
      <end>2</end>
      <status>unmodified</status>
      <modifiedWord/>
      <trackRevisions>false</trackRevisions>
    </reviewItem>
    <reviewItem>
      <errorID>27a61109-745e-41fb-b2a4-3cba7a789962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72D8DA7A</paraID>
      <start>0</start>
      <end>2</end>
      <status>unmodified</status>
      <modifiedWord/>
      <trackRevisions>false</trackRevisions>
    </reviewItem>
    <reviewItem>
      <errorID>3ba94ce0-5d10-4835-86c6-a3f78573c7ac</errorID>
      <errorWord>施工期工期</errorWord>
      <group>L1_Knowledge</group>
      <groupName>知识性问题</groupName>
      <ability>L2_Term</ability>
      <abilityName>专业术语</abilityName>
      <candidateList>
        <item>施工总工期</item>
      </candidateList>
      <explain/>
      <paraID> 90A241C</paraID>
      <start>0</start>
      <end>5</end>
      <status>modified</status>
      <modifiedWord>施工总工期</modifiedWord>
      <trackRevisions>false</trackRevisions>
    </reviewItem>
    <reviewItem>
      <errorID>61a01ac3-1fa6-4ec3-ab0b-d016c8658e9e</errorID>
      <errorWord>小</errorWord>
      <group>L1_Word</group>
      <groupName>字词问题</groupName>
      <ability>L2_Typo</ability>
      <abilityName>字词错误</abilityName>
      <candidateList>
        <item>少</item>
      </candidateList>
      <explain>存在字形相近字词的误用。</explain>
      <paraID> 90A241C</paraID>
      <start>19</start>
      <end>20</end>
      <status>modified</status>
      <modifiedWord>少</modifiedWord>
      <trackRevisions>false</trackRevisions>
    </reviewItem>
    <reviewItem>
      <errorID>1331925f-78b0-43f8-b0d6-9da0a84a8af6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225717D5</paraID>
      <start>0</start>
      <end>2</end>
      <status>unmodified</status>
      <modifiedWord/>
      <trackRevisions>false</trackRevisions>
    </reviewItem>
    <reviewItem>
      <errorID>b84d947e-71a8-4444-a3de-f1e613d994db</errorID>
      <errorWord>：</errorWord>
      <group>L1_Format</group>
      <groupName>格式问题</groupName>
      <ability>L2_HalfPunc</ability>
      <abilityName>全半角检查</abilityName>
      <candidateList>
        <item>:</item>
      </candidateList>
      <explain>文本全半角错误。</explain>
      <paraID>5E1DC5CF</paraID>
      <start>20</start>
      <end>21</end>
      <status>unmodified</status>
      <modifiedWord/>
      <trackRevisions>false</trackRevisions>
    </reviewItem>
    <reviewItem>
      <errorID>c4cd593e-19f6-4c2c-8dc2-e587912de408</errorID>
      <errorWord>：</errorWord>
      <group>L1_Format</group>
      <groupName>格式问题</groupName>
      <ability>L2_HalfPunc</ability>
      <abilityName>全半角检查</abilityName>
      <candidateList>
        <item>:</item>
      </candidateList>
      <explain>文本全半角错误。</explain>
      <paraID>5E1DC5CF</paraID>
      <start>25</start>
      <end>26</end>
      <status>unmodified</status>
      <modifiedWord/>
      <trackRevisions>false</trackRevisions>
    </reviewItem>
    <reviewItem>
      <errorID>ed8795bf-c6fb-43a0-8c61-c3e5175ac558</errorID>
      <errorWord>烤漆房</errorWord>
      <group>L1_Word</group>
      <groupName>字词问题</groupName>
      <ability>L2_Typo</ability>
      <abilityName>字词错误</abilityName>
      <candidateList>
        <item>漆房</item>
      </candidateList>
      <explain/>
      <paraID>40B0F49A</paraID>
      <start>202</start>
      <end>205</end>
      <status>unmodified</status>
      <modifiedWord/>
      <trackRevisions>false</trackRevisions>
    </reviewItem>
    <reviewItem>
      <errorID>e8b69fc1-96f9-48d9-bd60-928b1b7d4963</errorID>
      <errorWord>,</errorWord>
      <group>L1_Format</group>
      <groupName>格式问题</groupName>
      <ability>L2_HalfPunc</ability>
      <abilityName>全半角检查</abilityName>
      <candidateList>
        <item>，</item>
      </candidateList>
      <explain>文本全半角错误。</explain>
      <paraID>18F7A992</paraID>
      <start>64</start>
      <end>65</end>
      <status>unmodified</status>
      <modifiedWord/>
      <trackRevisions>false</trackRevisions>
    </reviewItem>
    <reviewItem>
      <errorID>5eda0c6f-9425-466e-ad34-4b1d1fdf60d5</errorID>
      <errorWord>,</errorWord>
      <group>L1_Format</group>
      <groupName>格式问题</groupName>
      <ability>L2_HalfPunc</ability>
      <abilityName>全半角检查</abilityName>
      <candidateList>
        <item>，</item>
      </candidateList>
      <explain>文本全半角错误。</explain>
      <paraID>18F7A992</paraID>
      <start>87</start>
      <end>88</end>
      <status>unmodified</status>
      <modifiedWord/>
      <trackRevisions>false</trackRevisions>
    </reviewItem>
    <reviewItem>
      <errorID>b03598aa-0d5f-4fb4-bbf6-1de594ad1ff9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251C7A63</paraID>
      <start>0</start>
      <end>2</end>
      <status>unmodified</status>
      <modifiedWord/>
      <trackRevisions>false</trackRevisions>
    </reviewItem>
    <reviewItem>
      <errorID>1e6a87a0-b4d9-4f8d-ba6a-013be80cc277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129068CC</paraID>
      <start>56</start>
      <end>57</end>
      <status>unmodified</status>
      <modifiedWord/>
      <trackRevisions>false</trackRevisions>
    </reviewItem>
    <reviewItem>
      <errorID>a82b5b46-6a3a-42f7-8467-a3cccfb7ba35</errorID>
      <errorWord>百分之95</errorWord>
      <group>L1_Knowledge</group>
      <groupName>知识性问题</groupName>
      <ability>L2_Knowledge</ability>
      <abilityName>其他知识</abilityName>
      <candidateList>
        <item>95%</item>
      </candidateList>
      <explain/>
      <paraID>347873A4</paraID>
      <start>3</start>
      <end>8</end>
      <status>unmodified</status>
      <modifiedWord/>
      <trackRevisions>false</trackRevisions>
    </reviewItem>
    <reviewItem>
      <errorID>bacbad57-443a-42b8-a229-02e2430d3e2f</errorID>
      <errorWord>百分之90</errorWord>
      <group>L1_Knowledge</group>
      <groupName>知识性问题</groupName>
      <ability>L2_Knowledge</ability>
      <abilityName>其他知识</abilityName>
      <candidateList>
        <item>90%</item>
      </candidateList>
      <explain/>
      <paraID>34FF78F6</paraID>
      <start>8</start>
      <end>13</end>
      <status>unmodified</status>
      <modifiedWord/>
      <trackRevisions>false</trackRevisions>
    </reviewItem>
    <reviewItem>
      <errorID>b9c6b6a4-6e0e-4cf2-84d9-fd6347ba3b47</errorID>
      <errorWord>打好柴油货车污染防治攻坚战</errorWord>
      <group>L1_Political</group>
      <groupName>政治性问题</groupName>
      <ability>L2_Keyword</ability>
      <abilityName>固定表述</abilityName>
      <candidateList>
        <item>打好柴油货车污染治理攻坚战</item>
      </candidateList>
      <explain>词汇“打好柴油货车污染治理攻坚战”在特定场景下为固定表述形式，请确认此处的“打好柴油货车污染防治攻坚战”是否存在不当。</explain>
      <paraID>  3A3BD8</paraID>
      <start>110</start>
      <end>123</end>
      <status>unmodified</status>
      <modifiedWord/>
      <trackRevisions>false</trackRevisions>
    </reviewItem>
    <reviewItem>
      <errorID>2475fa73-31a6-49d0-9d96-5b132e39ae8d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3E1748F</paraID>
      <start>0</start>
      <end>2</end>
      <status>unmodified</status>
      <modifiedWord/>
      <trackRevisions>false</trackRevisions>
    </reviewItem>
    <reviewItem>
      <errorID>27b2d849-29ba-494f-9659-351c6410c2b7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2CC94D31</paraID>
      <start>27</start>
      <end>28</end>
      <status>unmodified</status>
      <modifiedWord/>
      <trackRevisions>false</trackRevisions>
    </reviewItem>
    <reviewItem>
      <errorID>4694154c-6d1f-4db0-9fb9-cbe67bfddba9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2CC94D31</paraID>
      <start>115</start>
      <end>116</end>
      <status>unmodified</status>
      <modifiedWord/>
      <trackRevisions>false</trackRevisions>
    </reviewItem>
    <reviewItem>
      <errorID>ce6699a6-69b4-4a4f-aa0a-8d2807bbbbc1</errorID>
      <errorWord>II</errorWord>
      <group>L1_Knowledge</group>
      <groupName>知识性问题</groupName>
      <ability>L2_Knowledge</ability>
      <abilityName>其他知识</abilityName>
      <candidateList>
        <item>Ⅱ</item>
      </candidateList>
      <explain/>
      <paraID>2CC94D31</paraID>
      <start>141</start>
      <end>142</end>
      <status>modified</status>
      <modifiedWord>Ⅱ</modifiedWord>
      <trackRevisions>false</trackRevisions>
    </reviewItem>
    <reviewItem>
      <errorID>b62fbe73-51ed-486a-8f67-0886d7834f32</errorID>
      <errorWord>II类</errorWord>
      <group>L1_Knowledge</group>
      <groupName>知识性问题</groupName>
      <ability>L2_Knowledge</ability>
      <abilityName>其他知识</abilityName>
      <candidateList>
        <item>Ⅱ类</item>
      </candidateList>
      <explain/>
      <paraID>2CC94D31</paraID>
      <start>164</start>
      <end>166</end>
      <status>modified</status>
      <modifiedWord>Ⅱ类</modifiedWord>
      <trackRevisions>false</trackRevisions>
    </reviewItem>
    <reviewItem>
      <errorID>7d731e33-e27c-4c0b-bc2c-9963303be26f</errorID>
      <errorWord>II</errorWord>
      <group>L1_Knowledge</group>
      <groupName>知识性问题</groupName>
      <ability>L2_Knowledge</ability>
      <abilityName>其他知识</abilityName>
      <candidateList>
        <item>Ⅱ</item>
      </candidateList>
      <explain/>
      <paraID>2CC94D31</paraID>
      <start>187</start>
      <end>188</end>
      <status>modified</status>
      <modifiedWord>Ⅱ</modifiedWord>
      <trackRevisions>false</trackRevisions>
    </reviewItem>
    <reviewItem>
      <errorID>757c3f64-6b9a-4a19-9702-47dbf4a7c677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56A04FE4</paraID>
      <start>0</start>
      <end>2</end>
      <status>unmodified</status>
      <modifiedWord/>
      <trackRevisions>false</trackRevisions>
    </reviewItem>
    <reviewItem>
      <errorID>89a34cad-c1c9-4e98-b2aa-48c06e3907da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184F97DC</paraID>
      <start>0</start>
      <end>2</end>
      <status>unmodified</status>
      <modifiedWord/>
      <trackRevisions>false</trackRevisions>
    </reviewItem>
    <reviewItem>
      <errorID>9863d0be-503b-4883-9873-157c042e3765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62423025</paraID>
      <start>0</start>
      <end>2</end>
      <status>unmodified</status>
      <modifiedWord/>
      <trackRevisions>false</trackRevisions>
    </reviewItem>
    <reviewItem>
      <errorID>9962334c-3eac-44bb-abab-240f546f4dfc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60B9C8A8</paraID>
      <start>0</start>
      <end>2</end>
      <status>unmodified</status>
      <modifiedWord/>
      <trackRevisions>false</trackRevisions>
    </reviewItem>
    <reviewItem>
      <errorID>36cc33fb-06f5-49a0-a083-45e8766ea43c</errorID>
      <errorWord>（</errorWord>
      <group>L1_Punc</group>
      <groupName>标点问题</groupName>
      <ability>L2_Punc</ability>
      <abilityName>标点符号检查</abilityName>
      <candidateList/>
      <explain>同一形式括号套用。</explain>
      <paraID>79C6BF01</paraID>
      <start>26</start>
      <end>27</end>
      <status>unmodified</status>
      <modifiedWord/>
      <trackRevisions>false</trackRevisions>
    </reviewItem>
    <reviewItem>
      <errorID>00669153-0666-4486-bf55-cfde776bee4e</errorID>
      <errorWord>）</errorWord>
      <group>L1_Punc</group>
      <groupName>标点问题</groupName>
      <ability>L2_Punc</ability>
      <abilityName>标点符号检查</abilityName>
      <candidateList/>
      <explain>同一形式括号套用。</explain>
      <paraID>79C6BF01</paraID>
      <start>38</start>
      <end>39</end>
      <status>unmodified</status>
      <modifiedWord/>
      <trackRevisions>false</trackRevisions>
    </reviewItem>
    <reviewItem>
      <errorID>c9142450-20e3-474e-a09f-f4dd69271d0a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13CF4618</paraID>
      <start>0</start>
      <end>2</end>
      <status>unmodified</status>
      <modifiedWord/>
      <trackRevisions>false</trackRevisions>
    </reviewItem>
    <reviewItem>
      <errorID>11e8b531-466c-48ff-a67c-14005c1c23cc</errorID>
      <errorWord>声境</errorWord>
      <group>L1_Word</group>
      <groupName>字词问题</groupName>
      <ability>L2_Typo</ability>
      <abilityName>字词错误</abilityName>
      <candidateList>
        <item>生境</item>
      </candidateList>
      <explain/>
      <paraID>13CF4618</paraID>
      <start>2</start>
      <end>4</end>
      <status>unmodified</status>
      <modifiedWord/>
      <trackRevisions>false</trackRevisions>
    </reviewItem>
    <reviewItem>
      <errorID>b7548638-4537-4fe1-9a81-3f8d76559d96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2EFB927A</paraID>
      <start>0</start>
      <end>2</end>
      <status>unmodified</status>
      <modifiedWord/>
      <trackRevisions>false</trackRevisions>
    </reviewItem>
    <reviewItem>
      <errorID>68392ac3-945e-4f75-9de8-7daa6ba2cff4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4CDC7B58</paraID>
      <start>0</start>
      <end>2</end>
      <status>unmodified</status>
      <modifiedWord/>
      <trackRevisions>false</trackRevisions>
    </reviewItem>
    <reviewItem>
      <errorID>d365f63f-a34f-47b7-a84b-338fa155133a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54998762</paraID>
      <start>0</start>
      <end>2</end>
      <status>unmodified</status>
      <modifiedWord/>
      <trackRevisions>false</trackRevisions>
    </reviewItem>
    <reviewItem>
      <errorID>f397638e-0101-4a84-8f1a-edd2460dcc02</errorID>
      <errorWord>（</errorWord>
      <group>L1_Format</group>
      <groupName>格式问题</groupName>
      <ability>L2_HalfPunc</ability>
      <abilityName>全半角检查</abilityName>
      <candidateList>
        <item>(</item>
      </candidateList>
      <explain>文本全半角错误。</explain>
      <paraID>7B224154</paraID>
      <start>0</start>
      <end>1</end>
      <status>unmodified</status>
      <modifiedWord/>
      <trackRevisions>false</trackRevisions>
    </reviewItem>
    <reviewItem>
      <errorID>e765d9ef-9dfd-4334-b454-8899b4be3fbf</errorID>
      <errorWord>）</errorWord>
      <group>L1_Format</group>
      <groupName>格式问题</groupName>
      <ability>L2_HalfPunc</ability>
      <abilityName>全半角检查</abilityName>
      <candidateList>
        <item>)</item>
      </candidateList>
      <explain>文本全半角错误。</explain>
      <paraID>7B224154</paraID>
      <start>5</start>
      <end>6</end>
      <status>unmodified</status>
      <modifiedWord/>
      <trackRevisions>false</trackRevisions>
    </reviewItem>
    <reviewItem>
      <errorID>7e6b0558-3162-49ad-b51f-508df10d9a08</errorID>
      <errorWord>（</errorWord>
      <group>L1_Format</group>
      <groupName>格式问题</groupName>
      <ability>L2_HalfPunc</ability>
      <abilityName>全半角检查</abilityName>
      <candidateList>
        <item>(</item>
      </candidateList>
      <explain>文本全半角错误。</explain>
      <paraID>4C24062C</paraID>
      <start>0</start>
      <end>1</end>
      <status>unmodified</status>
      <modifiedWord/>
      <trackRevisions>false</trackRevisions>
    </reviewItem>
    <reviewItem>
      <errorID>e0d40efe-21e5-486a-9818-07e58ea884b9</errorID>
      <errorWord>）</errorWord>
      <group>L1_Format</group>
      <groupName>格式问题</groupName>
      <ability>L2_HalfPunc</ability>
      <abilityName>全半角检查</abilityName>
      <candidateList>
        <item>)</item>
      </candidateList>
      <explain>文本全半角错误。</explain>
      <paraID>4C24062C</paraID>
      <start>6</start>
      <end>7</end>
      <status>unmodified</status>
      <modifiedWord/>
      <trackRevisions>false</trackRevisions>
    </reviewItem>
    <reviewItem>
      <errorID>fa4381c9-787c-4c56-beea-a4650903b906</errorID>
      <errorWord>（</errorWord>
      <group>L1_Format</group>
      <groupName>格式问题</groupName>
      <ability>L2_HalfPunc</ability>
      <abilityName>全半角检查</abilityName>
      <candidateList>
        <item>(</item>
      </candidateList>
      <explain>文本全半角错误。</explain>
      <paraID> 3F12A3B</paraID>
      <start>0</start>
      <end>1</end>
      <status>unmodified</status>
      <modifiedWord/>
      <trackRevisions>false</trackRevisions>
    </reviewItem>
    <reviewItem>
      <errorID>1b28cb98-0392-40a3-be77-261f368809d2</errorID>
      <errorWord>）</errorWord>
      <group>L1_Format</group>
      <groupName>格式问题</groupName>
      <ability>L2_HalfPunc</ability>
      <abilityName>全半角检查</abilityName>
      <candidateList>
        <item>)</item>
      </candidateList>
      <explain>文本全半角错误。</explain>
      <paraID> 3F12A3B</paraID>
      <start>6</start>
      <end>7</end>
      <status>unmodified</status>
      <modifiedWord/>
      <trackRevisions>false</trackRevisions>
    </reviewItem>
    <reviewItem>
      <errorID>dc96a96d-ba86-4804-a2d7-45e501d1257a</errorID>
      <errorWord>“</errorWord>
      <group>L1_Punc</group>
      <groupName>标点问题</groupName>
      <ability>L2_Punc</ability>
      <abilityName>标点符号检查</abilityName>
      <candidateList/>
      <explain/>
      <paraID>2E08B2FA</paraID>
      <start>49</start>
      <end>50</end>
      <status>unmodified</status>
      <modifiedWord/>
      <trackRevisions>false</trackRevisions>
    </reviewItem>
    <reviewItem>
      <errorID>8741db0c-5305-408c-b28d-2062a2766c0e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1896A3CD</paraID>
      <start>0</start>
      <end>2</end>
      <status>unmodified</status>
      <modifiedWord/>
      <trackRevisions>false</trackRevisions>
    </reviewItem>
    <reviewItem>
      <errorID>f746ef0b-3733-4959-92bc-f75aa6daecbe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1CB1778E</paraID>
      <start>0</start>
      <end>2</end>
      <status>unmodified</status>
      <modifiedWord/>
      <trackRevisions>false</trackRevisions>
    </reviewItem>
    <reviewItem>
      <errorID>3e7c8ea9-d910-40ba-a480-cf9017ae8216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3449FBB9</paraID>
      <start>0</start>
      <end>2</end>
      <status>unmodified</status>
      <modifiedWord/>
      <trackRevisions>false</trackRevisions>
    </reviewItem>
    <reviewItem>
      <errorID>7d170a4f-4787-4e87-b1c8-28c2519478c2</errorID>
      <errorWord>（</errorWord>
      <group>L1_Punc</group>
      <groupName>标点问题</groupName>
      <ability>L2_Punc</ability>
      <abilityName>标点符号检查</abilityName>
      <candidateList/>
      <explain/>
      <paraID>1603CA9A</paraID>
      <start>26</start>
      <end>27</end>
      <status>unmodified</status>
      <modifiedWord/>
      <trackRevisions>false</trackRevisions>
    </reviewItem>
    <reviewItem>
      <errorID>c8b65db8-e515-46c6-b617-b042bf195971</errorID>
      <errorWord>》</errorWord>
      <group>L1_Word</group>
      <groupName>字词问题</groupName>
      <ability>L2_Typo</ability>
      <abilityName>字词错误</abilityName>
      <candidateList>
        <item>》等</item>
      </candidateList>
      <explain/>
      <paraID>1603CA9A</paraID>
      <start>64</start>
      <end>65</end>
      <status>unmodified</status>
      <modifiedWord/>
      <trackRevisions>false</trackRevisions>
    </reviewItem>
    <reviewItem>
      <errorID>30cb80f1-842c-4dad-8657-799c19e2daba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43B503BF</paraID>
      <start>0</start>
      <end>2</end>
      <status>unmodified</status>
      <modifiedWord/>
      <trackRevisions>false</trackRevisions>
    </reviewItem>
    <reviewItem>
      <errorID>414d7792-50d8-4780-af44-2e27741456c8</errorID>
      <errorWord>55-65%</errorWord>
      <group>L1_Knowledge</group>
      <groupName>知识性问题</groupName>
      <ability>L2_Knowledge</ability>
      <abilityName>其他知识</abilityName>
      <candidateList>
        <item>55%—65%</item>
      </candidateList>
      <explain>1. “55-65%”中的单位“%”仅出现在后一个数字上，容易引起歧义；根据《现代汉语标点符号数字用法规范手册》，数字表示范围两边需要使用统一的格式。2. 根据标点国标 4.13 中的规则，数字、时间或地域连接符应使用（视觉上更长的）“—”或“～”。</explain>
      <paraID>79617FCC</paraID>
      <start>162</start>
      <end>168</end>
      <status>unmodified</status>
      <modifiedWord/>
      <trackRevisions>false</trackRevisions>
    </reviewItem>
    <reviewItem>
      <errorID>3ddf0d2d-df34-48a4-9d77-d580fef5882f</errorID>
      <errorWord>70-75%</errorWord>
      <group>L1_Knowledge</group>
      <groupName>知识性问题</groupName>
      <ability>L2_Knowledge</ability>
      <abilityName>其他知识</abilityName>
      <candidateList>
        <item>70%—75%</item>
      </candidateList>
      <explain>1. “70-75%”中的单位“%”仅出现在后一个数字上，容易引起歧义；根据《现代汉语标点符号数字用法规范手册》，数字表示范围两边需要使用统一的格式。2. 根据标点国标 4.13 中的规则，数字、时间或地域连接符应使用（视觉上更长的）“—”或“～”。</explain>
      <paraID>79617FCC</paraID>
      <start>195</start>
      <end>201</end>
      <status>unmodified</status>
      <modifiedWord/>
      <trackRevisions>false</trackRevisions>
    </reviewItem>
    <reviewItem>
      <errorID>27e46242-cccb-488a-a91c-316ab42dda4f</errorID>
      <errorWord>-</errorWord>
      <group>L1_Format</group>
      <groupName>格式问题</groupName>
      <ability>L2_HalfPunc</ability>
      <abilityName>全半角检查</abilityName>
      <candidateList>
        <item>－</item>
      </candidateList>
      <explain>文本全半角错误。</explain>
      <paraID>62FA2A37</paraID>
      <start>106</start>
      <end>107</end>
      <status>unmodified</status>
      <modifiedWord/>
      <trackRevisions>false</trackRevisions>
    </reviewItem>
    <reviewItem>
      <errorID>b5b11561-16ae-41b3-b7df-b2657ddf1eb4</errorID>
      <errorWord>-</errorWord>
      <group>L1_Format</group>
      <groupName>格式问题</groupName>
      <ability>L2_HalfPunc</ability>
      <abilityName>全半角检查</abilityName>
      <candidateList>
        <item>－</item>
      </candidateList>
      <explain>文本全半角错误。</explain>
      <paraID>62FA2A37</paraID>
      <start>147</start>
      <end>148</end>
      <status>unmodified</status>
      <modifiedWord/>
      <trackRevisions>false</trackRevisions>
    </reviewItem>
    <reviewItem>
      <errorID>89b39e45-1477-40e9-924d-2f2184642257</errorID>
      <errorWord>-</errorWord>
      <group>L1_Format</group>
      <groupName>格式问题</groupName>
      <ability>L2_HalfPunc</ability>
      <abilityName>全半角检查</abilityName>
      <candidateList>
        <item>－</item>
      </candidateList>
      <explain>文本全半角错误。</explain>
      <paraID>62FA2A37</paraID>
      <start>162</start>
      <end>163</end>
      <status>unmodified</status>
      <modifiedWord/>
      <trackRevisions>false</trackRevisions>
    </reviewItem>
    <reviewItem>
      <errorID>e939c79b-2ab8-48cc-a64e-bbdbe3d01b5f</errorID>
      <errorWord>（</errorWord>
      <group>L1_Punc</group>
      <groupName>标点问题</groupName>
      <ability>L2_Punc</ability>
      <abilityName>标点符号检查</abilityName>
      <candidateList/>
      <explain>同一形式括号套用。</explain>
      <paraID>2717DE28</paraID>
      <start>155</start>
      <end>156</end>
      <status>unmodified</status>
      <modifiedWord/>
      <trackRevisions>false</trackRevisions>
    </reviewItem>
    <reviewItem>
      <errorID>c480ffd5-c404-4f36-ac81-7f1f9fd8ac2d</errorID>
      <errorWord>）</errorWord>
      <group>L1_Punc</group>
      <groupName>标点问题</groupName>
      <ability>L2_Punc</ability>
      <abilityName>标点符号检查</abilityName>
      <candidateList/>
      <explain>同一形式括号套用。</explain>
      <paraID>2717DE28</paraID>
      <start>169</start>
      <end>170</end>
      <status>unmodified</status>
      <modifiedWord/>
      <trackRevisions>false</trackRevisions>
    </reviewItem>
    <reviewItem>
      <errorID>d28a5525-de09-4fa1-bc00-9c504a6cd608</errorID>
      <errorWord>（</errorWord>
      <group>L1_Punc</group>
      <groupName>标点问题</groupName>
      <ability>L2_Punc</ability>
      <abilityName>标点符号检查</abilityName>
      <candidateList/>
      <explain>同一形式括号套用。</explain>
      <paraID>2717DE28</paraID>
      <start>185</start>
      <end>186</end>
      <status>unmodified</status>
      <modifiedWord/>
      <trackRevisions>false</trackRevisions>
    </reviewItem>
    <reviewItem>
      <errorID>6c2192e4-3cd6-4bf3-9e69-2cf5f7ef6300</errorID>
      <errorWord>）</errorWord>
      <group>L1_Punc</group>
      <groupName>标点问题</groupName>
      <ability>L2_Punc</ability>
      <abilityName>标点符号检查</abilityName>
      <candidateList/>
      <explain>同一形式括号套用。</explain>
      <paraID>2717DE28</paraID>
      <start>226</start>
      <end>227</end>
      <status>unmodified</status>
      <modifiedWord/>
      <trackRevisions>false</trackRevisions>
    </reviewItem>
    <reviewItem>
      <errorID>b7cd9f97-e42b-4b05-b774-454624bab7ae</errorID>
      <errorWord>-</errorWord>
      <group>L1_Format</group>
      <groupName>格式问题</groupName>
      <ability>L2_HalfPunc</ability>
      <abilityName>全半角检查</abilityName>
      <candidateList>
        <item>－</item>
      </candidateList>
      <explain>文本全半角错误。</explain>
      <paraID>541B905E</paraID>
      <start>45</start>
      <end>46</end>
      <status>unmodified</status>
      <modifiedWord/>
      <trackRevisions>false</trackRevisions>
    </reviewItem>
    <reviewItem>
      <errorID>5ac8acf5-5922-4192-9c67-206188e3ced5</errorID>
      <errorWord>-</errorWord>
      <group>L1_Format</group>
      <groupName>格式问题</groupName>
      <ability>L2_HalfPunc</ability>
      <abilityName>全半角检查</abilityName>
      <candidateList>
        <item>－</item>
      </candidateList>
      <explain>文本全半角错误。</explain>
      <paraID>541B905E</paraID>
      <start>76</start>
      <end>77</end>
      <status>unmodified</status>
      <modifiedWord/>
      <trackRevisions>false</trackRevisions>
    </reviewItem>
    <reviewItem>
      <errorID>1c7791c4-a31f-43fc-a4ed-9a2c7a26be37</errorID>
      <errorWord>-</errorWord>
      <group>L1_Format</group>
      <groupName>格式问题</groupName>
      <ability>L2_HalfPunc</ability>
      <abilityName>全半角检查</abilityName>
      <candidateList>
        <item>－</item>
      </candidateList>
      <explain>文本全半角错误。</explain>
      <paraID>541B905E</paraID>
      <start>88</start>
      <end>89</end>
      <status>unmodified</status>
      <modifiedWord/>
      <trackRevisions>false</trackRevisions>
    </reviewItem>
    <reviewItem>
      <errorID>03adc446-c46e-44cd-9ce4-c25b9bb957de</errorID>
      <errorWord>-</errorWord>
      <group>L1_Format</group>
      <groupName>格式问题</groupName>
      <ability>L2_HalfPunc</ability>
      <abilityName>全半角检查</abilityName>
      <candidateList>
        <item>－</item>
      </candidateList>
      <explain>文本全半角错误。</explain>
      <paraID>3FEDD4B1</paraID>
      <start>87</start>
      <end>88</end>
      <status>unmodified</status>
      <modifiedWord/>
      <trackRevisions>false</trackRevisions>
    </reviewItem>
    <reviewItem>
      <errorID>b5c02aea-89a7-4d22-938d-9639dab8c766</errorID>
      <errorWord>-</errorWord>
      <group>L1_Format</group>
      <groupName>格式问题</groupName>
      <ability>L2_HalfPunc</ability>
      <abilityName>全半角检查</abilityName>
      <candidateList>
        <item>－</item>
      </candidateList>
      <explain>文本全半角错误。</explain>
      <paraID>3FEDD4B1</paraID>
      <start>119</start>
      <end>120</end>
      <status>unmodified</status>
      <modifiedWord/>
      <trackRevisions>false</trackRevisions>
    </reviewItem>
    <reviewItem>
      <errorID>f48482b1-5197-4736-9f83-22feb7428f3c</errorID>
      <errorWord>-</errorWord>
      <group>L1_Format</group>
      <groupName>格式问题</groupName>
      <ability>L2_HalfPunc</ability>
      <abilityName>全半角检查</abilityName>
      <candidateList>
        <item>－</item>
      </candidateList>
      <explain>文本全半角错误。</explain>
      <paraID>3FEDD4B1</paraID>
      <start>137</start>
      <end>138</end>
      <status>unmodified</status>
      <modifiedWord/>
      <trackRevisions>false</trackRevisions>
    </reviewItem>
    <reviewItem>
      <errorID>480a1d24-356d-465b-9d1a-d6c66e343a15</errorID>
      <errorWord>-</errorWord>
      <group>L1_Format</group>
      <groupName>格式问题</groupName>
      <ability>L2_HalfPunc</ability>
      <abilityName>全半角检查</abilityName>
      <candidateList>
        <item>－</item>
      </candidateList>
      <explain>文本全半角错误。</explain>
      <paraID>3FEDD4B1</paraID>
      <start>319</start>
      <end>320</end>
      <status>unmodified</status>
      <modifiedWord/>
      <trackRevisions>false</trackRevisions>
    </reviewItem>
    <reviewItem>
      <errorID>05034c88-357e-4d61-b9d5-9717b4de2b51</errorID>
      <errorWord>计</errorWord>
      <group>L1_Word</group>
      <groupName>字词问题</groupName>
      <ability>L2_Typo</ability>
      <abilityName>字词错误</abilityName>
      <candidateList>
        <item>计算</item>
      </candidateList>
      <explain/>
      <paraID>3FEDD4B1</paraID>
      <start>422</start>
      <end>423</end>
      <status>unmodified</status>
      <modifiedWord/>
      <trackRevisions>false</trackRevisions>
    </reviewItem>
    <reviewItem>
      <errorID>ebddc834-63a9-457c-b130-29f0abf6661d</errorID>
      <errorWord>排气简</errorWord>
      <group>L1_Word</group>
      <groupName>字词问题</groupName>
      <ability>L2_Typo</ability>
      <abilityName>字词错误</abilityName>
      <candidateList>
        <item>排气管</item>
      </candidateList>
      <explain>存在字形相近字词的误用。</explain>
      <paraID>52F59CA7</paraID>
      <start>36</start>
      <end>39</end>
      <status>unmodified</status>
      <modifiedWord/>
      <trackRevisions>false</trackRevisions>
    </reviewItem>
    <reviewItem>
      <errorID>814400f7-8590-4d91-9c09-80d283766963</errorID>
      <errorWord>~</errorWord>
      <group>L1_Format</group>
      <groupName>格式问题</groupName>
      <ability>L2_HalfPunc</ability>
      <abilityName>全半角检查</abilityName>
      <candidateList>
        <item>～</item>
      </candidateList>
      <explain>文本全半角错误。</explain>
      <paraID>52F59CA7</paraID>
      <start>101</start>
      <end>102</end>
      <status>unmodified</status>
      <modifiedWord/>
      <trackRevisions>false</trackRevisions>
    </reviewItem>
    <reviewItem>
      <errorID>460bb97e-0d98-4b09-a632-10c80a84920f</errorID>
      <errorWord>粘附</errorWord>
      <group>L1_Word</group>
      <groupName>字词问题</groupName>
      <ability>L2_Alias</ability>
      <abilityName>也作/曾用词</abilityName>
      <candidateList>
        <item>黏附</item>
      </candidateList>
      <explain>词汇[粘附]为不规范表述或旧称，其规范书面表述为[黏附]。</explain>
      <paraID>424ACD37</paraID>
      <start>74</start>
      <end>76</end>
      <status>unmodified</status>
      <modifiedWord/>
      <trackRevisions>false</trackRevisions>
    </reviewItem>
    <reviewItem>
      <errorID>5047c1dc-c006-439d-99a2-2ad7dbfc95e7</errorID>
      <errorWord>-</errorWord>
      <group>L1_Format</group>
      <groupName>格式问题</groupName>
      <ability>L2_HalfPunc</ability>
      <abilityName>全半角检查</abilityName>
      <candidateList>
        <item>－</item>
      </candidateList>
      <explain>文本全半角错误。</explain>
      <paraID>6380335A</paraID>
      <start>110</start>
      <end>111</end>
      <status>unmodified</status>
      <modifiedWord/>
      <trackRevisions>false</trackRevisions>
    </reviewItem>
    <reviewItem>
      <errorID>654af3d2-c66e-4327-98a0-321aad8302cf</errorID>
      <errorWord>,</errorWord>
      <group>L1_Format</group>
      <groupName>格式问题</groupName>
      <ability>L2_HalfPunc</ability>
      <abilityName>全半角检查</abilityName>
      <candidateList>
        <item>，</item>
      </candidateList>
      <explain>文本全半角错误。</explain>
      <paraID>18C980CE</paraID>
      <start>28</start>
      <end>29</end>
      <status>unmodified</status>
      <modifiedWord/>
      <trackRevisions>false</trackRevisions>
    </reviewItem>
    <reviewItem>
      <errorID>a654f2c5-3649-4a44-b405-84a353556825</errorID>
      <errorWord>,</errorWord>
      <group>L1_Format</group>
      <groupName>格式问题</groupName>
      <ability>L2_HalfPunc</ability>
      <abilityName>全半角检查</abilityName>
      <candidateList>
        <item>，</item>
      </candidateList>
      <explain>文本全半角错误。</explain>
      <paraID>319AD652</paraID>
      <start>69</start>
      <end>70</end>
      <status>unmodified</status>
      <modifiedWord/>
      <trackRevisions>false</trackRevisions>
    </reviewItem>
    <reviewItem>
      <errorID>ac3c1f9a-321d-4e53-9cda-cc36c13bcbba</errorID>
      <errorWord>气体源</errorWord>
      <group>L1_Word</group>
      <groupName>字词问题</groupName>
      <ability>L2_Typo</ability>
      <abilityName>字词错误</abilityName>
      <candidateList>
        <item>气体</item>
      </candidateList>
      <explain>〈名〉没有一定形状，没有一定体积，可以流动的物体。在常温下，空气、氧气、沼气等都是气体。</explain>
      <paraID>632D0AE2</paraID>
      <start>19</start>
      <end>22</end>
      <status>unmodified</status>
      <modifiedWord/>
      <trackRevisions>false</trackRevisions>
    </reviewItem>
    <reviewItem>
      <errorID>9f810405-a951-4838-9ac1-bf2c3edb665c</errorID>
      <errorWord>送入到</errorWord>
      <group>L1_Word</group>
      <groupName>字词问题</groupName>
      <ability>L2_Typo</ability>
      <abilityName>字词错误</abilityName>
      <candidateList>
        <item>送入</item>
      </candidateList>
      <explain/>
      <paraID>632D0AE2</paraID>
      <start>64</start>
      <end>67</end>
      <status>unmodified</status>
      <modifiedWord/>
      <trackRevisions>false</trackRevisions>
    </reviewItem>
    <reviewItem>
      <errorID>063a860c-ca39-41c7-93a6-b6866a53e438</errorID>
      <errorWord>、及</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58C0D88E</paraID>
      <start>34</start>
      <end>35</end>
      <status>modified</status>
      <modifiedWord>及</modifiedWord>
      <trackRevisions>false</trackRevisions>
    </reviewItem>
    <reviewItem>
      <errorID>1df41b01-4027-43b5-b3b4-50ee6f3c24e8</errorID>
      <errorWord>有机废气有机废气</errorWord>
      <group>L1_Word</group>
      <groupName>字词问题</groupName>
      <ability>L2_Typo</ability>
      <abilityName>字词错误</abilityName>
      <candidateList>
        <item>有机废气</item>
      </candidateList>
      <explain/>
      <paraID>7976A443</paraID>
      <start>23</start>
      <end>27</end>
      <status>modified</status>
      <modifiedWord>有机废气</modifiedWord>
      <trackRevisions>false</trackRevisions>
    </reviewItem>
    <reviewItem>
      <errorID>927378f4-24e3-4712-a89a-0e77e43ca4fa</errorID>
      <errorWord>大气污染物防治</errorWord>
      <group>L1_Knowledge</group>
      <groupName>知识性问题</groupName>
      <ability>L2_Knowledge</ability>
      <abilityName>其他知识</abilityName>
      <candidateList>
        <item>大气污染防治</item>
      </candidateList>
      <explain/>
      <paraID>1C713B61</paraID>
      <start>8</start>
      <end>14</end>
      <status>modified</status>
      <modifiedWord>大气污染防治</modifiedWord>
      <trackRevisions>false</trackRevisions>
    </reviewItem>
    <reviewItem>
      <errorID>58598fc1-d05a-47da-9c4f-5b56d722bd9b</errorID>
      <errorWord>-</errorWord>
      <group>L1_Format</group>
      <groupName>格式问题</groupName>
      <ability>L2_HalfPunc</ability>
      <abilityName>全半角检查</abilityName>
      <candidateList>
        <item>－</item>
      </candidateList>
      <explain>文本全半角错误。</explain>
      <paraID>2A73D52D</paraID>
      <start>117</start>
      <end>118</end>
      <status>unmodified</status>
      <modifiedWord/>
      <trackRevisions>false</trackRevisions>
    </reviewItem>
    <reviewItem>
      <errorID>a2b18fcd-b2db-4223-a9e6-87996e56e1f4</errorID>
      <errorWord>故障故障</errorWord>
      <group>L1_Word</group>
      <groupName>字词问题</groupName>
      <ability>L2_Typo</ability>
      <abilityName>字词错误</abilityName>
      <candidateList>
        <item>故障</item>
      </candidateList>
      <explain/>
      <paraID>44E62FBD</paraID>
      <start>29</start>
      <end>31</end>
      <status>modified</status>
      <modifiedWord>故障</modifiedWord>
      <trackRevisions>false</trackRevisions>
    </reviewItem>
    <reviewItem>
      <errorID>122fa594-7533-4afd-8f00-9aa982aa66a6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5B8A7C9A</paraID>
      <start>30</start>
      <end>33</end>
      <status>unmodified</status>
      <modifiedWord/>
      <trackRevisions>false</trackRevisions>
    </reviewItem>
    <reviewItem>
      <errorID>27530330-11b6-4773-89de-cce464e85ccb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2A54198D</paraID>
      <start>0</start>
      <end>2</end>
      <status>unmodified</status>
      <modifiedWord/>
      <trackRevisions>false</trackRevisions>
    </reviewItem>
    <reviewItem>
      <errorID>b970727d-bd96-4b0b-b39a-25dfbb53fdd4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1D86F285</paraID>
      <start>0</start>
      <end>4</end>
      <status>unmodified</status>
      <modifiedWord/>
      <trackRevisions>false</trackRevisions>
    </reviewItem>
    <reviewItem>
      <errorID>553c2208-2434-4a2b-b3e1-6ad0601a936f</errorID>
      <errorWord>个</errorWord>
      <group>L1_Knowledge</group>
      <groupName>知识性问题</groupName>
      <ability>L2_Knowledge</ability>
      <abilityName>其他知识</abilityName>
      <candidateList>
        <item>组</item>
      </candidateList>
      <explain/>
      <paraID>75CE46E9</paraID>
      <start>22</start>
      <end>23</end>
      <status>unmodified</status>
      <modifiedWord/>
      <trackRevisions>false</trackRevisions>
    </reviewItem>
    <reviewItem>
      <errorID>b88aa374-c67c-4829-a7e0-bcafc89a50bb</errorID>
      <errorWord>循环水即</errorWord>
      <group>L1_Knowledge</group>
      <groupName>知识性问题</groupName>
      <ability>L2_Term</ability>
      <abilityName>专业术语</abilityName>
      <candidateList>
        <item>循环水量</item>
      </candidateList>
      <explain/>
      <paraID>75CE46E9</paraID>
      <start>52</start>
      <end>56</end>
      <status>unmodified</status>
      <modifiedWord/>
      <trackRevisions>false</trackRevisions>
    </reviewItem>
    <reviewItem>
      <errorID>94dbc19a-da2e-4c8a-aec1-613fbd7fef3d</errorID>
      <errorWord>污水水质</errorWord>
      <group>L1_Knowledge</group>
      <groupName>知识性问题</groupName>
      <ability>L2_Term</ability>
      <abilityName>专业术语</abilityName>
      <candidateList>
        <item>出水水质</item>
      </candidateList>
      <explain/>
      <paraID> BBFC8F6</paraID>
      <start>32</start>
      <end>36</end>
      <status>unmodified</status>
      <modifiedWord/>
      <trackRevisions>false</trackRevisions>
    </reviewItem>
    <reviewItem>
      <errorID>de2e905b-ece1-4b0b-9618-a6f7a986f7b9</errorID>
      <errorWord>要</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 BBFC8F6</paraID>
      <start>52</start>
      <end>53</end>
      <status>unmodified</status>
      <modifiedWord/>
      <trackRevisions>false</trackRevisions>
    </reviewItem>
    <reviewItem>
      <errorID>ff014c0d-ac4c-4aa8-9f0e-db69797064c2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61A43200</paraID>
      <start>0</start>
      <end>2</end>
      <status>unmodified</status>
      <modifiedWord/>
      <trackRevisions>false</trackRevisions>
    </reviewItem>
    <reviewItem>
      <errorID>f833663f-3784-46fc-b708-bf404a22c44d</errorID>
      <errorWord>：</errorWord>
      <group>L1_Format</group>
      <groupName>格式问题</groupName>
      <ability>L2_HalfPunc</ability>
      <abilityName>全半角检查</abilityName>
      <candidateList>
        <item>:</item>
      </candidateList>
      <explain>文本全半角错误。</explain>
      <paraID>1DC95934</paraID>
      <start>1</start>
      <end>2</end>
      <status>unmodified</status>
      <modifiedWord/>
      <trackRevisions>false</trackRevisions>
    </reviewItem>
    <reviewItem>
      <errorID>079cdfea-dc12-4099-a4b7-c8d71d923e2f</errorID>
      <errorWord>：</errorWord>
      <group>L1_Format</group>
      <groupName>格式问题</groupName>
      <ability>L2_HalfPunc</ability>
      <abilityName>全半角检查</abilityName>
      <candidateList>
        <item>:</item>
      </candidateList>
      <explain>文本全半角错误。</explain>
      <paraID>1DC95934</paraID>
      <start>7</start>
      <end>8</end>
      <status>unmodified</status>
      <modifiedWord/>
      <trackRevisions>false</trackRevisions>
    </reviewItem>
    <reviewItem>
      <errorID>5ceaac86-538d-4668-8b8b-331a6e01da6a</errorID>
      <errorWord>源源</errorWord>
      <group>L1_Word</group>
      <groupName>字词问题</groupName>
      <ability>L2_Typo</ability>
      <abilityName>字词错误</abilityName>
      <candidateList>
        <item>源</item>
      </candidateList>
      <explain/>
      <paraID>513998F4</paraID>
      <start>1</start>
      <end>3</end>
      <status>unmodified</status>
      <modifiedWord/>
      <trackRevisions>false</trackRevisions>
    </reviewItem>
    <reviewItem>
      <errorID>3c99cd18-9ea1-4f1e-b99d-7a8dc80dc3a7</errorID>
      <errorWord>-</errorWord>
      <group>L1_Format</group>
      <groupName>格式问题</groupName>
      <ability>L2_HalfPunc</ability>
      <abilityName>全半角检查</abilityName>
      <candidateList>
        <item>－</item>
      </candidateList>
      <explain>文本全半角错误。</explain>
      <paraID>185A258C</paraID>
      <start>5</start>
      <end>6</end>
      <status>unmodified</status>
      <modifiedWord/>
      <trackRevisions>false</trackRevisions>
    </reviewItem>
    <reviewItem>
      <errorID>ddee8435-263a-4c25-8319-e72daea4ebe4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32E99D6F</paraID>
      <start>0</start>
      <end>2</end>
      <status>unmodified</status>
      <modifiedWord/>
      <trackRevisions>false</trackRevisions>
    </reviewItem>
    <reviewItem>
      <errorID>d0682f68-bdf0-489e-b717-6c10955770d2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4EA1EFC2</paraID>
      <start>37</start>
      <end>38</end>
      <status>unmodified</status>
      <modifiedWord/>
      <trackRevisions>false</trackRevisions>
    </reviewItem>
    <reviewItem>
      <errorID>65999c59-8f8f-4a7f-8a64-992593a86869</errorID>
      <errorWord>中</errorWord>
      <group>L1_Word</group>
      <groupName>字词问题</groupName>
      <ability>L2_Typo</ability>
      <abilityName>字词错误</abilityName>
      <candidateList>
        <item>中通</item>
      </candidateList>
      <explain/>
      <paraID>4ACE58C3</paraID>
      <start>61</start>
      <end>63</end>
      <status>modified</status>
      <modifiedWord>中通</modifiedWord>
      <trackRevisions>false</trackRevisions>
    </reviewItem>
    <reviewItem>
      <errorID>9efe96b4-6572-4e45-89fd-88afffecb178</errorID>
      <errorWord>、以及</errorWord>
      <group>L1_Punc</group>
      <groupName>标点问题</groupName>
      <ability>L2_Punc</ability>
      <abilityName>标点符号检查</abilityName>
      <candidateList>
        <item>，以及</item>
      </candidateList>
      <explain>连接词前后不宜使用顿号，建议使用逗号。</explain>
      <paraID>4ACE58C3</paraID>
      <start>76</start>
      <end>79</end>
      <status>modified</status>
      <modifiedWord>，以及</modifiedWord>
      <trackRevisions>false</trackRevisions>
    </reviewItem>
    <reviewItem>
      <errorID>2e4da0cf-da23-4eb7-b297-256d821114ed</errorID>
      <errorWord>量共</errorWord>
      <group>L1_Word</group>
      <groupName>字词问题</groupName>
      <ability>L2_Typo</ability>
      <abilityName>字词错误</abilityName>
      <candidateList>
        <item>量</item>
      </candidateList>
      <explain/>
      <paraID>3E267DAB</paraID>
      <start>51</start>
      <end>53</end>
      <status>unmodified</status>
      <modifiedWord/>
      <trackRevisions>false</trackRevisions>
    </reviewItem>
    <reviewItem>
      <errorID>3f18d176-1dcd-403e-8ae9-6c18bb32915b</errorID>
      <errorWord>：</errorWord>
      <group>L1_Format</group>
      <groupName>格式问题</groupName>
      <ability>L2_HalfPunc</ability>
      <abilityName>全半角检查</abilityName>
      <candidateList>
        <item>:</item>
      </candidateList>
      <explain>文本全半角错误。</explain>
      <paraID>3E267DAB</paraID>
      <start>156</start>
      <end>157</end>
      <status>unmodified</status>
      <modifiedWord/>
      <trackRevisions>false</trackRevisions>
    </reviewItem>
    <reviewItem>
      <errorID>97cd919f-2d7a-4594-b21e-a53a1c156295</errorID>
      <errorWord>，</errorWord>
      <group>L1_Format</group>
      <groupName>格式问题</groupName>
      <ability>L2_HalfPunc</ability>
      <abilityName>全半角检查</abilityName>
      <candidateList>
        <item>, </item>
      </candidateList>
      <explain>文本全半角错误。</explain>
      <paraID>385958EB</paraID>
      <start>1</start>
      <end>2</end>
      <status>unmodified</status>
      <modifiedWord/>
      <trackRevisions>false</trackRevisions>
    </reviewItem>
    <reviewItem>
      <errorID>0b81bd99-6ea7-41c9-81f3-547cdd03cd18</errorID>
      <errorWord>，</errorWord>
      <group>L1_Format</group>
      <groupName>格式问题</groupName>
      <ability>L2_HalfPunc</ability>
      <abilityName>全半角检查</abilityName>
      <candidateList>
        <item>, </item>
      </candidateList>
      <explain>文本全半角错误。</explain>
      <paraID>32763513</paraID>
      <start>1</start>
      <end>2</end>
      <status>unmodified</status>
      <modifiedWord/>
      <trackRevisions>false</trackRevisions>
    </reviewItem>
    <reviewItem>
      <errorID>2e677a66-a7c8-4fa1-b54e-05d889471696</errorID>
      <errorWord>，</errorWord>
      <group>L1_Format</group>
      <groupName>格式问题</groupName>
      <ability>L2_HalfPunc</ability>
      <abilityName>全半角检查</abilityName>
      <candidateList>
        <item>, </item>
      </candidateList>
      <explain>文本全半角错误。</explain>
      <paraID>227C96F6</paraID>
      <start>1</start>
      <end>2</end>
      <status>unmodified</status>
      <modifiedWord/>
      <trackRevisions>false</trackRevisions>
    </reviewItem>
    <reviewItem>
      <errorID>b6378f15-e031-4e68-b659-078c2c686374</errorID>
      <errorWord>，</errorWord>
      <group>L1_Format</group>
      <groupName>格式问题</groupName>
      <ability>L2_HalfPunc</ability>
      <abilityName>全半角检查</abilityName>
      <candidateList>
        <item>, </item>
      </candidateList>
      <explain>文本全半角错误。</explain>
      <paraID>5D031D73</paraID>
      <start>1</start>
      <end>2</end>
      <status>unmodified</status>
      <modifiedWord/>
      <trackRevisions>false</trackRevisions>
    </reviewItem>
    <reviewItem>
      <errorID>7c25fc12-b9bc-4d69-8809-e6f524d8843f</errorID>
      <errorWord>，</errorWord>
      <group>L1_Format</group>
      <groupName>格式问题</groupName>
      <ability>L2_HalfPunc</ability>
      <abilityName>全半角检查</abilityName>
      <candidateList>
        <item>, </item>
      </candidateList>
      <explain>文本全半角错误。</explain>
      <paraID>6D7BC4B2</paraID>
      <start>1</start>
      <end>2</end>
      <status>unmodified</status>
      <modifiedWord/>
      <trackRevisions>false</trackRevisions>
    </reviewItem>
    <reviewItem>
      <errorID>f4eb3afd-6226-4baa-8b6c-d42c4647ab38</errorID>
      <errorWord>，</errorWord>
      <group>L1_Format</group>
      <groupName>格式问题</groupName>
      <ability>L2_HalfPunc</ability>
      <abilityName>全半角检查</abilityName>
      <candidateList>
        <item>, </item>
      </candidateList>
      <explain>文本全半角错误。</explain>
      <paraID>67026B0E</paraID>
      <start>1</start>
      <end>2</end>
      <status>unmodified</status>
      <modifiedWord/>
      <trackRevisions>false</trackRevisions>
    </reviewItem>
    <reviewItem>
      <errorID>a639eebc-d2bf-407c-922e-c2ed6c520999</errorID>
      <errorWord>：</errorWord>
      <group>L1_Format</group>
      <groupName>格式问题</groupName>
      <ability>L2_HalfPunc</ability>
      <abilityName>全半角检查</abilityName>
      <candidateList>
        <item>:</item>
      </candidateList>
      <explain>文本全半角错误。</explain>
      <paraID>79F22AE2</paraID>
      <start>4</start>
      <end>5</end>
      <status>unmodified</status>
      <modifiedWord/>
      <trackRevisions>false</trackRevisions>
    </reviewItem>
    <reviewItem>
      <errorID>1fee7609-ef34-4f6a-b185-4bc7be2eee0f</errorID>
      <errorWord>，</errorWord>
      <group>L1_Format</group>
      <groupName>格式问题</groupName>
      <ability>L2_HalfPunc</ability>
      <abilityName>全半角检查</abilityName>
      <candidateList>
        <item>, </item>
      </candidateList>
      <explain>文本全半角错误。</explain>
      <paraID> A1AEF9B</paraID>
      <start>1</start>
      <end>2</end>
      <status>unmodified</status>
      <modifiedWord/>
      <trackRevisions>false</trackRevisions>
    </reviewItem>
    <reviewItem>
      <errorID>f911aa1e-9aa8-4995-9ba2-00aec73c8cb2</errorID>
      <errorWord>，</errorWord>
      <group>L1_Format</group>
      <groupName>格式问题</groupName>
      <ability>L2_HalfPunc</ability>
      <abilityName>全半角检查</abilityName>
      <candidateList>
        <item>, </item>
      </candidateList>
      <explain>文本全半角错误。</explain>
      <paraID>67963D30</paraID>
      <start>1</start>
      <end>2</end>
      <status>unmodified</status>
      <modifiedWord/>
      <trackRevisions>false</trackRevisions>
    </reviewItem>
    <reviewItem>
      <errorID>979dad99-0fc0-4fb7-9a64-d67ba5ab3610</errorID>
      <errorWord>，</errorWord>
      <group>L1_Format</group>
      <groupName>格式问题</groupName>
      <ability>L2_HalfPunc</ability>
      <abilityName>全半角检查</abilityName>
      <candidateList>
        <item>, </item>
      </candidateList>
      <explain>文本全半角错误。</explain>
      <paraID>14E52505</paraID>
      <start>1</start>
      <end>2</end>
      <status>unmodified</status>
      <modifiedWord/>
      <trackRevisions>false</trackRevisions>
    </reviewItem>
    <reviewItem>
      <errorID>2ffcaa8c-0564-4acd-957c-cc2d981cf560</errorID>
      <errorWord>，</errorWord>
      <group>L1_Format</group>
      <groupName>格式问题</groupName>
      <ability>L2_HalfPunc</ability>
      <abilityName>全半角检查</abilityName>
      <candidateList>
        <item>, </item>
      </candidateList>
      <explain>文本全半角错误。</explain>
      <paraID>7AD139B4</paraID>
      <start>1</start>
      <end>2</end>
      <status>unmodified</status>
      <modifiedWord/>
      <trackRevisions>false</trackRevisions>
    </reviewItem>
    <reviewItem>
      <errorID>c22d612a-7092-48cb-9276-2ac0accd78e6</errorID>
      <errorWord>调漆</errorWord>
      <group>L1_Word</group>
      <groupName>字词问题</groupName>
      <ability>L2_Typo</ability>
      <abilityName>字词错误</abilityName>
      <candidateList>
        <item>喷漆</item>
      </candidateList>
      <explain/>
      <paraID>692A3D32</paraID>
      <start>87</start>
      <end>89</end>
      <status>unmodified</status>
      <modifiedWord/>
      <trackRevisions>false</trackRevisions>
    </reviewItem>
    <reviewItem>
      <errorID>d0fe2b7a-a26c-4a69-80f7-33e8079d9aeb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692A3D32</paraID>
      <start>255</start>
      <end>256</end>
      <status>unmodified</status>
      <modifiedWord/>
      <trackRevisions>false</trackRevisions>
    </reviewItem>
    <reviewItem>
      <errorID>1b210fd8-87b1-47b0-9c03-daca554321f9</errorID>
      <errorWord>撒落</errorWord>
      <group>L1_Word</group>
      <groupName>字词问题</groupName>
      <ability>L2_Typo</ability>
      <abilityName>字词错误</abilityName>
      <candidateList>
        <item>洒落</item>
      </candidateList>
      <explain/>
      <paraID>13D06531</paraID>
      <start>42</start>
      <end>44</end>
      <status>unmodified</status>
      <modifiedWord/>
      <trackRevisions>false</trackRevisions>
    </reviewItem>
    <reviewItem>
      <errorID>3c18012c-13a3-4829-a4f4-4e91527ba7f6</errorID>
      <errorWord>撒落</errorWord>
      <group>L1_Word</group>
      <groupName>字词问题</groupName>
      <ability>L2_Typo</ability>
      <abilityName>字词错误</abilityName>
      <candidateList>
        <item>洒落</item>
      </candidateList>
      <explain/>
      <paraID>13D06531</paraID>
      <start>47</start>
      <end>49</end>
      <status>unmodified</status>
      <modifiedWord/>
      <trackRevisions>false</trackRevisions>
    </reviewItem>
    <reviewItem>
      <errorID>768838d0-402c-4768-8538-ee4dc29bb1ef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677CC7E3</paraID>
      <start>0</start>
      <end>2</end>
      <status>unmodified</status>
      <modifiedWord/>
      <trackRevisions>false</trackRevisions>
    </reviewItem>
    <reviewItem>
      <errorID>6ca87d71-515f-4140-883f-b04c1e216787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101E2B92</paraID>
      <start>0</start>
      <end>2</end>
      <status>unmodified</status>
      <modifiedWord/>
      <trackRevisions>false</trackRevisions>
    </reviewItem>
    <reviewItem>
      <errorID>124fdc2f-ee58-4f52-82a9-e194f6e102ec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5B37FAD4</paraID>
      <start>0</start>
      <end>2</end>
      <status>unmodified</status>
      <modifiedWord/>
      <trackRevisions>false</trackRevisions>
    </reviewItem>
    <reviewItem>
      <errorID>53d355fb-0976-4cb2-83ed-68a4af6bfeab</errorID>
      <errorWord>*</errorWord>
      <group>L1_Punc</group>
      <groupName>标点问题</groupName>
      <ability>L2_Punc</ability>
      <abilityName>标点符号检查</abilityName>
      <candidateList/>
      <explain/>
      <paraID>4DAD2EC0</paraID>
      <start>0</start>
      <end>1</end>
      <status>unmodified</status>
      <modifiedWord/>
      <trackRevisions>false</trackRevisions>
    </reviewItem>
    <reviewItem>
      <errorID>f45a1bab-ecdf-4a11-bc2a-ab71402923b0</errorID>
      <errorWord>-</errorWord>
      <group>L1_Format</group>
      <groupName>格式问题</groupName>
      <ability>L2_HalfPunc</ability>
      <abilityName>全半角检查</abilityName>
      <candidateList>
        <item>－</item>
      </candidateList>
      <explain>文本全半角错误。</explain>
      <paraID>7897E304</paraID>
      <start>20</start>
      <end>21</end>
      <status>unmodified</status>
      <modifiedWord/>
      <trackRevisions>false</trackRevisions>
    </reviewItem>
    <reviewItem>
      <errorID>794bcea3-46e3-4e7c-b752-b1becfb5c977</errorID>
      <errorWord>-</errorWord>
      <group>L1_Format</group>
      <groupName>格式问题</groupName>
      <ability>L2_HalfPunc</ability>
      <abilityName>全半角检查</abilityName>
      <candidateList>
        <item>－</item>
      </candidateList>
      <explain>文本全半角错误。</explain>
      <paraID>604438B8</paraID>
      <start>18</start>
      <end>19</end>
      <status>unmodified</status>
      <modifiedWord/>
      <trackRevisions>false</trackRevisions>
    </reviewItem>
    <reviewItem>
      <errorID>5e90c1d9-271d-4e7a-a7c2-6fb0a0de3e8b</errorID>
      <errorWord>漫流</errorWord>
      <group>L1_Word</group>
      <groupName>字词问题</groupName>
      <ability>L2_Typo</ability>
      <abilityName>字词错误</abilityName>
      <candidateList>
        <item>径流</item>
      </candidateList>
      <explain>〈名〉降水除蒸发的、被土地吸收的和被拦堵的以外，沿着地面流走的水叫径流。渗入地下的也可以形成地下径流。</explain>
      <paraID>1E7D1A49</paraID>
      <start>7</start>
      <end>9</end>
      <status>unmodified</status>
      <modifiedWord/>
      <trackRevisions>false</trackRevisions>
    </reviewItem>
    <reviewItem>
      <errorID>71f9e945-8916-41d4-a8dd-70ac849338a6</errorID>
      <errorWord>漫流</errorWord>
      <group>L1_Word</group>
      <groupName>字词问题</groupName>
      <ability>L2_Typo</ability>
      <abilityName>字词错误</abilityName>
      <candidateList>
        <item>径流</item>
      </candidateList>
      <explain>〈名〉降水除蒸发的、被土地吸收的和被拦堵的以外，沿着地面流走的水叫径流。渗入地下的也可以形成地下径流。</explain>
      <paraID>  B4CE43</paraID>
      <start>7</start>
      <end>9</end>
      <status>unmodified</status>
      <modifiedWord/>
      <trackRevisions>false</trackRevisions>
    </reviewItem>
    <reviewItem>
      <errorID>638e6a69-43fc-46e6-bd73-a0deb13550bd</errorID>
      <errorWord>废气</errorWord>
      <group>L1_Word</group>
      <groupName>字词问题</groupName>
      <ability>L2_Typo</ability>
      <abilityName>字词错误</abilityName>
      <candidateList>
        <item>废弃</item>
      </candidateList>
      <explain/>
      <paraID>46DC81CC</paraID>
      <start>45</start>
      <end>47</end>
      <status>unmodified</status>
      <modifiedWord/>
      <trackRevisions>false</trackRevisions>
    </reviewItem>
    <reviewItem>
      <errorID>914b5ac8-b65d-4452-b5a5-73ab69485a91</errorID>
      <errorWord>本</errorWord>
      <group>L1_Word</group>
      <groupName>字词问题</groupName>
      <ability>L2_Typo</ability>
      <abilityName>字词错误</abilityName>
      <candidateList>
        <item>本次</item>
      </candidateList>
      <explain/>
      <paraID> 3ADA35A</paraID>
      <start>34</start>
      <end>35</end>
      <status>unmodified</status>
      <modifiedWord/>
      <trackRevisions>false</trackRevisions>
    </reviewItem>
    <reviewItem>
      <errorID>d5d53c60-faa9-46ed-b23e-33bc45f48900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4DC76E80</paraID>
      <start>0</start>
      <end>2</end>
      <status>unmodified</status>
      <modifiedWord/>
      <trackRevisions>false</trackRevisions>
    </reviewItem>
    <reviewItem>
      <errorID>e0e999c6-10d8-4e0a-8417-d8220da7e1e9</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3A64ACBD</paraID>
      <start>0</start>
      <end>2</end>
      <status>unmodified</status>
      <modifiedWord/>
      <trackRevisions>false</trackRevisions>
    </reviewItem>
    <reviewItem>
      <errorID>bab3ac07-267e-44be-a63e-3124c57191b4</errorID>
      <errorWord>交有</errorWord>
      <group>L1_Word</group>
      <groupName>字词问题</groupName>
      <ability>L2_Typo</ability>
      <abilityName>字词错误</abilityName>
      <candidateList>
        <item>交由</item>
      </candidateList>
      <explain>存在发音相同字词的误用。</explain>
      <paraID>5CB9A4B0</paraID>
      <start>50</start>
      <end>52</end>
      <status>unmodified</status>
      <modifiedWord/>
      <trackRevisions>false</trackRevisions>
    </reviewItem>
    <reviewItem>
      <errorID>19343044-47fe-4dc0-84d3-5f32c8062ae1</errorID>
      <errorWord>交有</errorWord>
      <group>L1_Word</group>
      <groupName>字词问题</groupName>
      <ability>L2_Typo</ability>
      <abilityName>字词错误</abilityName>
      <candidateList>
        <item>交由</item>
      </candidateList>
      <explain>存在发音相同字词的误用。</explain>
      <paraID>20F2BBF4</paraID>
      <start>55</start>
      <end>57</end>
      <status>unmodified</status>
      <modifiedWord/>
      <trackRevisions>false</trackRevisions>
    </reviewItem>
    <reviewItem>
      <errorID>57aecd8d-3bac-4369-a3f2-6b6b2fccd41a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79AF68A6</paraID>
      <start>0</start>
      <end>2</end>
      <status>unmodified</status>
      <modifiedWord/>
      <trackRevisions>false</trackRevisions>
    </reviewItem>
    <reviewItem>
      <errorID>a6ba4139-15eb-4e52-9c87-614d4d911310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60F7ED01</paraID>
      <start>0</start>
      <end>2</end>
      <status>unmodified</status>
      <modifiedWord/>
      <trackRevisions>false</trackRevisions>
    </reviewItem>
    <reviewItem>
      <errorID>b07c6637-6e83-4a26-98f5-8927a66c7b52</errorID>
      <errorWord>-</errorWord>
      <group>L1_Format</group>
      <groupName>格式问题</groupName>
      <ability>L2_HalfPunc</ability>
      <abilityName>全半角检查</abilityName>
      <candidateList>
        <item>－</item>
      </candidateList>
      <explain>文本全半角错误。</explain>
      <paraID>4E808E49</paraID>
      <start>86</start>
      <end>87</end>
      <status>unmodified</status>
      <modifiedWord/>
      <trackRevisions>false</trackRevisions>
    </reviewItem>
    <reviewItem>
      <errorID>5754eb82-e5b2-49fb-9026-51162aef37f9</errorID>
      <errorWord>-</errorWord>
      <group>L1_Format</group>
      <groupName>格式问题</groupName>
      <ability>L2_HalfPunc</ability>
      <abilityName>全半角检查</abilityName>
      <candidateList>
        <item>－</item>
      </candidateList>
      <explain>文本全半角错误。</explain>
      <paraID>4E808E49</paraID>
      <start>109</start>
      <end>110</end>
      <status>unmodified</status>
      <modifiedWord/>
      <trackRevisions>false</trackRevisions>
    </reviewItem>
    <reviewItem>
      <errorID>c87b2ca7-a9ac-4b8e-ba2f-442f1cb7392d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469F0EFE</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fc3065-8587-4245-b967-cf3ba1e66843}">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136</Pages>
  <Words>16759</Words>
  <Characters>17858</Characters>
  <Lines>13</Lines>
  <Paragraphs>3</Paragraphs>
  <TotalTime>116</TotalTime>
  <ScaleCrop>false</ScaleCrop>
  <LinksUpToDate>false</LinksUpToDate>
  <CharactersWithSpaces>18100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★陆君</cp:lastModifiedBy>
  <cp:lastPrinted>2020-12-29T02:43:00Z</cp:lastPrinted>
  <dcterms:modified xsi:type="dcterms:W3CDTF">2026-03-18T09:32:32Z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C89BEA87727F4FF7A0081D8457F586B4_13</vt:lpwstr>
  </property>
  <property fmtid="{D5CDD505-2E9C-101B-9397-08002B2CF9AE}" pid="4" name="KSOTemplateDocerSaveRecord">
    <vt:lpwstr>eyJoZGlkIjoiY2I3OTU5NmQ3M2M5MzhjOWVjZjVmZjhiYjgzODJhZTUiLCJ1c2VySWQiOiIxMTYwMjQzNzAwIn0=</vt:lpwstr>
  </property>
</Properties>
</file>