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65" w:type="dxa"/>
        <w:tblInd w:w="93" w:type="dxa"/>
        <w:tblLayout w:type="autofit"/>
        <w:tblCellMar>
          <w:top w:w="0" w:type="dxa"/>
          <w:left w:w="108" w:type="dxa"/>
          <w:bottom w:w="0" w:type="dxa"/>
          <w:right w:w="108" w:type="dxa"/>
        </w:tblCellMar>
      </w:tblPr>
      <w:tblGrid>
        <w:gridCol w:w="898"/>
        <w:gridCol w:w="2672"/>
        <w:gridCol w:w="4419"/>
        <w:gridCol w:w="5114"/>
        <w:gridCol w:w="1462"/>
      </w:tblGrid>
      <w:tr w14:paraId="068EB942">
        <w:tblPrEx>
          <w:tblCellMar>
            <w:top w:w="0" w:type="dxa"/>
            <w:left w:w="108" w:type="dxa"/>
            <w:bottom w:w="0" w:type="dxa"/>
            <w:right w:w="108" w:type="dxa"/>
          </w:tblCellMar>
        </w:tblPrEx>
        <w:trPr>
          <w:trHeight w:val="1169" w:hRule="atLeast"/>
        </w:trPr>
        <w:tc>
          <w:tcPr>
            <w:tcW w:w="14565" w:type="dxa"/>
            <w:gridSpan w:val="5"/>
            <w:tcBorders>
              <w:top w:val="nil"/>
              <w:left w:val="nil"/>
              <w:bottom w:val="nil"/>
              <w:right w:val="nil"/>
            </w:tcBorders>
            <w:noWrap/>
            <w:vAlign w:val="center"/>
          </w:tcPr>
          <w:p w14:paraId="4CF4DA75">
            <w:pPr>
              <w:widowControl/>
              <w:jc w:val="left"/>
              <w:textAlignment w:val="center"/>
              <w:rPr>
                <w:rFonts w:hint="eastAsia" w:ascii="黑体" w:hAnsi="黑体" w:eastAsia="黑体" w:cs="黑体"/>
                <w:color w:val="auto"/>
                <w:kern w:val="0"/>
                <w:sz w:val="30"/>
                <w:szCs w:val="30"/>
                <w:lang w:bidi="ar"/>
              </w:rPr>
            </w:pPr>
            <w:r>
              <w:rPr>
                <w:rFonts w:hint="eastAsia" w:ascii="黑体" w:hAnsi="黑体" w:eastAsia="黑体" w:cs="黑体"/>
                <w:color w:val="auto"/>
                <w:kern w:val="0"/>
                <w:sz w:val="30"/>
                <w:szCs w:val="30"/>
                <w:lang w:bidi="ar"/>
              </w:rPr>
              <w:t>附件1</w:t>
            </w:r>
          </w:p>
          <w:p w14:paraId="153AC55B">
            <w:pPr>
              <w:widowControl/>
              <w:jc w:val="center"/>
              <w:textAlignment w:val="center"/>
              <w:rPr>
                <w:rFonts w:hint="eastAsia" w:ascii="仿宋_GB2312" w:hAnsi="仿宋_GB2312" w:eastAsia="仿宋_GB2312" w:cs="仿宋_GB2312"/>
                <w:color w:val="auto"/>
                <w:sz w:val="30"/>
                <w:szCs w:val="30"/>
              </w:rPr>
            </w:pPr>
            <w:bookmarkStart w:id="0" w:name="_GoBack"/>
            <w:r>
              <w:rPr>
                <w:rFonts w:hint="eastAsia" w:ascii="方正小标宋_GBK" w:hAnsi="方正小标宋_GBK" w:eastAsia="方正小标宋_GBK" w:cs="方正小标宋_GBK"/>
                <w:color w:val="auto"/>
                <w:kern w:val="0"/>
                <w:sz w:val="44"/>
                <w:szCs w:val="44"/>
                <w:lang w:bidi="ar"/>
              </w:rPr>
              <w:t>衡阳市住建系统行政处罚不予处罚事项</w:t>
            </w:r>
            <w:r>
              <w:rPr>
                <w:rFonts w:hint="eastAsia" w:ascii="方正小标宋_GBK" w:hAnsi="方正小标宋_GBK" w:eastAsia="方正小标宋_GBK" w:cs="方正小标宋_GBK"/>
                <w:color w:val="auto"/>
                <w:kern w:val="0"/>
                <w:sz w:val="44"/>
                <w:szCs w:val="44"/>
                <w:lang w:eastAsia="zh-CN" w:bidi="ar"/>
              </w:rPr>
              <w:t>补充</w:t>
            </w:r>
            <w:r>
              <w:rPr>
                <w:rFonts w:hint="eastAsia" w:ascii="方正小标宋_GBK" w:hAnsi="方正小标宋_GBK" w:eastAsia="方正小标宋_GBK" w:cs="方正小标宋_GBK"/>
                <w:color w:val="auto"/>
                <w:kern w:val="0"/>
                <w:sz w:val="44"/>
                <w:szCs w:val="44"/>
                <w:lang w:bidi="ar"/>
              </w:rPr>
              <w:t>清单</w:t>
            </w:r>
            <w:bookmarkEnd w:id="0"/>
          </w:p>
        </w:tc>
      </w:tr>
      <w:tr w14:paraId="775A795B">
        <w:tblPrEx>
          <w:tblCellMar>
            <w:top w:w="0" w:type="dxa"/>
            <w:left w:w="108" w:type="dxa"/>
            <w:bottom w:w="0" w:type="dxa"/>
            <w:right w:w="108" w:type="dxa"/>
          </w:tblCellMar>
        </w:tblPrEx>
        <w:trPr>
          <w:trHeight w:val="401"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7D22DFD8">
            <w:pPr>
              <w:widowControl/>
              <w:jc w:val="center"/>
              <w:textAlignment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kern w:val="0"/>
                <w:sz w:val="30"/>
                <w:szCs w:val="30"/>
                <w:lang w:bidi="ar"/>
              </w:rPr>
              <w:t>序号</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73B91AE0">
            <w:pPr>
              <w:widowControl/>
              <w:jc w:val="center"/>
              <w:textAlignment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kern w:val="0"/>
                <w:sz w:val="30"/>
                <w:szCs w:val="30"/>
                <w:lang w:bidi="ar"/>
              </w:rPr>
              <w:t>处罚事项</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45397F3F">
            <w:pPr>
              <w:widowControl/>
              <w:jc w:val="center"/>
              <w:textAlignment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kern w:val="0"/>
                <w:sz w:val="30"/>
                <w:szCs w:val="30"/>
                <w:lang w:bidi="ar"/>
              </w:rPr>
              <w:t>不予处罚的情形</w:t>
            </w:r>
          </w:p>
        </w:tc>
        <w:tc>
          <w:tcPr>
            <w:tcW w:w="5114" w:type="dxa"/>
            <w:tcBorders>
              <w:top w:val="single" w:color="000000" w:sz="4" w:space="0"/>
              <w:left w:val="single" w:color="000000" w:sz="4" w:space="0"/>
              <w:bottom w:val="single" w:color="000000" w:sz="4" w:space="0"/>
              <w:right w:val="single" w:color="000000" w:sz="4" w:space="0"/>
            </w:tcBorders>
            <w:noWrap w:val="0"/>
            <w:vAlign w:val="center"/>
          </w:tcPr>
          <w:p w14:paraId="7EEBD045">
            <w:pPr>
              <w:widowControl/>
              <w:jc w:val="center"/>
              <w:textAlignment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kern w:val="0"/>
                <w:sz w:val="30"/>
                <w:szCs w:val="30"/>
                <w:lang w:bidi="ar"/>
              </w:rPr>
              <w:t>依据</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07D6FF7">
            <w:pPr>
              <w:widowControl/>
              <w:jc w:val="center"/>
              <w:textAlignment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kern w:val="0"/>
                <w:sz w:val="30"/>
                <w:szCs w:val="30"/>
                <w:lang w:bidi="ar"/>
              </w:rPr>
              <w:t>备注</w:t>
            </w:r>
          </w:p>
        </w:tc>
      </w:tr>
      <w:tr w14:paraId="4EB4CE45">
        <w:tblPrEx>
          <w:tblCellMar>
            <w:top w:w="0" w:type="dxa"/>
            <w:left w:w="108" w:type="dxa"/>
            <w:bottom w:w="0" w:type="dxa"/>
            <w:right w:w="108" w:type="dxa"/>
          </w:tblCellMar>
        </w:tblPrEx>
        <w:trPr>
          <w:trHeight w:val="5135"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A4F987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1</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13FC536C">
            <w:pPr>
              <w:keepNext w:val="0"/>
              <w:keepLines w:val="0"/>
              <w:pageBreakBefore w:val="0"/>
              <w:widowControl/>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color w:val="auto"/>
                <w:kern w:val="0"/>
                <w:sz w:val="30"/>
                <w:szCs w:val="30"/>
                <w:lang w:bidi="ar"/>
              </w:rPr>
            </w:pPr>
            <w:r>
              <w:rPr>
                <w:rStyle w:val="4"/>
                <w:rFonts w:hint="eastAsia" w:ascii="仿宋_GB2312" w:hAnsi="仿宋_GB2312" w:eastAsia="仿宋_GB2312" w:cs="仿宋_GB2312"/>
                <w:color w:val="auto"/>
                <w:sz w:val="30"/>
                <w:szCs w:val="30"/>
                <w:lang w:bidi="ar"/>
              </w:rPr>
              <w:t>对</w:t>
            </w:r>
            <w:r>
              <w:rPr>
                <w:rFonts w:hint="eastAsia" w:ascii="仿宋_GB2312" w:hAnsi="仿宋_GB2312" w:eastAsia="仿宋_GB2312" w:cs="仿宋_GB2312"/>
                <w:color w:val="auto"/>
                <w:kern w:val="0"/>
                <w:sz w:val="30"/>
                <w:szCs w:val="30"/>
                <w:lang w:val="en-US" w:eastAsia="zh-CN" w:bidi="ar"/>
              </w:rPr>
              <w:t>“二次装修项目”</w:t>
            </w:r>
            <w:r>
              <w:rPr>
                <w:rStyle w:val="4"/>
                <w:rFonts w:hint="eastAsia" w:ascii="仿宋_GB2312" w:hAnsi="仿宋_GB2312" w:eastAsia="仿宋_GB2312" w:cs="仿宋_GB2312"/>
                <w:color w:val="auto"/>
                <w:sz w:val="30"/>
                <w:szCs w:val="30"/>
                <w:lang w:bidi="ar"/>
              </w:rPr>
              <w:t>未</w:t>
            </w:r>
            <w:r>
              <w:rPr>
                <w:rStyle w:val="4"/>
                <w:rFonts w:hint="eastAsia" w:ascii="仿宋_GB2312" w:hAnsi="仿宋_GB2312" w:eastAsia="仿宋_GB2312" w:cs="仿宋_GB2312"/>
                <w:color w:val="auto"/>
                <w:sz w:val="30"/>
                <w:szCs w:val="30"/>
                <w:lang w:eastAsia="zh-CN" w:bidi="ar"/>
              </w:rPr>
              <w:t>办理施工许可</w:t>
            </w:r>
            <w:r>
              <w:rPr>
                <w:rFonts w:hint="eastAsia" w:ascii="仿宋_GB2312" w:hAnsi="仿宋_GB2312" w:eastAsia="仿宋_GB2312" w:cs="仿宋_GB2312"/>
                <w:color w:val="auto"/>
                <w:kern w:val="0"/>
                <w:sz w:val="30"/>
                <w:szCs w:val="30"/>
                <w:lang w:val="en-US" w:eastAsia="zh-CN" w:bidi="ar"/>
              </w:rPr>
              <w:t>即擅自开工</w:t>
            </w:r>
            <w:r>
              <w:rPr>
                <w:rStyle w:val="4"/>
                <w:rFonts w:hint="eastAsia" w:ascii="仿宋_GB2312" w:hAnsi="仿宋_GB2312" w:eastAsia="仿宋_GB2312" w:cs="仿宋_GB2312"/>
                <w:color w:val="auto"/>
                <w:sz w:val="30"/>
                <w:szCs w:val="30"/>
                <w:lang w:bidi="ar"/>
              </w:rPr>
              <w:t>的处罚</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14:paraId="4AB827E3">
            <w:pPr>
              <w:keepNext w:val="0"/>
              <w:keepLines w:val="0"/>
              <w:pageBreakBefore w:val="0"/>
              <w:widowControl/>
              <w:kinsoku/>
              <w:wordWrap/>
              <w:overflowPunct/>
              <w:topLinePunct w:val="0"/>
              <w:autoSpaceDE/>
              <w:autoSpaceDN/>
              <w:bidi w:val="0"/>
              <w:adjustRightInd w:val="0"/>
              <w:snapToGrid w:val="0"/>
              <w:spacing w:after="0" w:line="360" w:lineRule="exact"/>
              <w:ind w:firstLine="600" w:firstLineChars="200"/>
              <w:jc w:val="left"/>
              <w:textAlignment w:val="center"/>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同时满足以下情形的“二次装修项目”，其“未办理许可证即擅自开工”的违法行为：</w:t>
            </w:r>
          </w:p>
          <w:p w14:paraId="673D20D6">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center"/>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1.建筑面积2000㎡（含）以下或工程造价在200万元以内。</w:t>
            </w:r>
          </w:p>
          <w:p w14:paraId="381D1600">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center"/>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2.在本市行政区域内，责任单位在执法案卷未发现同类违法行为，属初次违法。</w:t>
            </w:r>
          </w:p>
          <w:p w14:paraId="25ED29CA">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center"/>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3.积极配合调查并在投入使用前主动补办施工许可。</w:t>
            </w:r>
          </w:p>
          <w:p w14:paraId="733A52BF">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center"/>
              <w:rPr>
                <w:rFonts w:hint="eastAsia" w:ascii="仿宋_GB2312" w:hAnsi="仿宋_GB2312" w:eastAsia="仿宋"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4.项目不存在重大质量安全隐患（如改变承重结构，涉及重大消防安全隐患，引发较大社会不良影响等），且违法行为未造成质量安全事故或严重社会危害后果。</w:t>
            </w:r>
          </w:p>
        </w:tc>
        <w:tc>
          <w:tcPr>
            <w:tcW w:w="5114" w:type="dxa"/>
            <w:tcBorders>
              <w:top w:val="single" w:color="000000" w:sz="4" w:space="0"/>
              <w:left w:val="single" w:color="000000" w:sz="4" w:space="0"/>
              <w:bottom w:val="single" w:color="000000" w:sz="4" w:space="0"/>
              <w:right w:val="single" w:color="000000" w:sz="4" w:space="0"/>
            </w:tcBorders>
            <w:noWrap w:val="0"/>
            <w:vAlign w:val="center"/>
          </w:tcPr>
          <w:p w14:paraId="399C0A5A">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center"/>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《建筑工程施工许可管理办法》第十二条 对于未取得施工许可证或者为规避办理施工许可证将工程项目分解后擅自施工的由有管辖权单位处以工程合同价款1%以上2%以下罚款；对施工单位处3万元以下罚款。第十五条：依照本办法规定，给予单位罚款处罚的对单位直接负责的主管人员和其他直接 责任人员处单位罚款数额 5%以上10%以下罚款。单位及相关责任人受到处罚的，作为不良行为记录予以通报。</w:t>
            </w:r>
          </w:p>
          <w:p w14:paraId="5E3261E2">
            <w:pPr>
              <w:keepNext w:val="0"/>
              <w:keepLines w:val="0"/>
              <w:pageBreakBefore w:val="0"/>
              <w:widowControl/>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color w:val="auto"/>
                <w:kern w:val="0"/>
                <w:sz w:val="30"/>
                <w:szCs w:val="30"/>
                <w:lang w:bidi="ar"/>
              </w:rPr>
            </w:pP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13302246">
            <w:pPr>
              <w:keepNext w:val="0"/>
              <w:keepLines w:val="0"/>
              <w:pageBreakBefore w:val="0"/>
              <w:widowControl/>
              <w:kinsoku/>
              <w:wordWrap/>
              <w:overflowPunct/>
              <w:topLinePunct w:val="0"/>
              <w:autoSpaceDE/>
              <w:autoSpaceDN/>
              <w:bidi w:val="0"/>
              <w:adjustRightInd w:val="0"/>
              <w:snapToGrid w:val="0"/>
              <w:spacing w:line="360" w:lineRule="exact"/>
              <w:jc w:val="left"/>
              <w:textAlignment w:val="center"/>
              <w:rPr>
                <w:rFonts w:hint="eastAsia" w:ascii="仿宋_GB2312" w:hAnsi="仿宋_GB2312" w:eastAsia="仿宋_GB2312" w:cs="仿宋_GB2312"/>
                <w:b/>
                <w:bCs/>
                <w:color w:val="auto"/>
                <w:sz w:val="30"/>
                <w:szCs w:val="30"/>
              </w:rPr>
            </w:pPr>
          </w:p>
        </w:tc>
      </w:tr>
    </w:tbl>
    <w:p w14:paraId="762B1B79"/>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F7230"/>
    <w:rsid w:val="0969573F"/>
    <w:rsid w:val="7EAF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仿宋_GB231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2026-05-07T08:38:00Z</dcterms:created>
  <dc:creator>遗莣誰↘℡</dc:creator>
  <cp:lastModifiedBy>遗莣誰↘℡</cp:lastModifiedBy>
  <dcterms:modified xsi:type="dcterms:W3CDTF">2026-05-07T08:38:19Z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76F25F3720244637935129707951470E_11</vt:lpwstr>
  </property>
  <property fmtid="{D5CDD505-2E9C-101B-9397-08002B2CF9AE}" pid="4" name="KSOTemplateDocerSaveRecord">
    <vt:lpwstr>eyJoZGlkIjoiZGJhZjAwNzM5MWJjY2ZjOTk5ZjMwZDM0NzZmMWU0N2EiLCJ1c2VySWQiOiI0Mjg4NDcxNzIifQ==</vt:lpwstr>
  </property>
</Properties>
</file>