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方正小标宋简体" w:eastAsia="方正小标宋简体" w:cs="方正小标宋简体"/>
          <w:color w:val="auto"/>
          <w:sz w:val="44"/>
          <w:szCs w:val="44"/>
          <w:highlight w:val="none"/>
        </w:rPr>
      </w:pPr>
      <w:bookmarkStart w:id="6" w:name="_GoBack"/>
      <w:bookmarkEnd w:id="6"/>
    </w:p>
    <w:p>
      <w:pPr>
        <w:adjustRightInd w:val="0"/>
        <w:snapToGrid w:val="0"/>
        <w:spacing w:line="600" w:lineRule="exact"/>
        <w:jc w:val="center"/>
        <w:rPr>
          <w:rFonts w:hint="eastAsia" w:ascii="方正小标宋简体" w:hAnsi="方正小标宋简体" w:eastAsia="方正小标宋简体" w:cs="方正小标宋简体"/>
          <w:color w:val="auto"/>
          <w:sz w:val="44"/>
          <w:szCs w:val="44"/>
          <w:highlight w:val="none"/>
        </w:rPr>
      </w:pPr>
    </w:p>
    <w:p>
      <w:pPr>
        <w:adjustRightInd w:val="0"/>
        <w:snapToGrid w:val="0"/>
        <w:spacing w:line="600" w:lineRule="exact"/>
        <w:jc w:val="center"/>
        <w:rPr>
          <w:rFonts w:hint="eastAsia" w:ascii="方正小标宋简体" w:hAnsi="方正小标宋简体" w:eastAsia="方正小标宋简体" w:cs="方正小标宋简体"/>
          <w:color w:val="auto"/>
          <w:sz w:val="44"/>
          <w:szCs w:val="44"/>
          <w:highlight w:val="none"/>
        </w:rPr>
      </w:pPr>
    </w:p>
    <w:p>
      <w:pPr>
        <w:adjustRightInd w:val="0"/>
        <w:snapToGrid w:val="0"/>
        <w:spacing w:line="600" w:lineRule="exact"/>
        <w:jc w:val="center"/>
        <w:rPr>
          <w:rFonts w:hint="eastAsia" w:ascii="方正小标宋简体" w:hAnsi="方正小标宋简体" w:eastAsia="方正小标宋简体" w:cs="方正小标宋简体"/>
          <w:color w:val="auto"/>
          <w:sz w:val="44"/>
          <w:szCs w:val="44"/>
          <w:highlight w:val="none"/>
        </w:rPr>
      </w:pPr>
    </w:p>
    <w:p>
      <w:pPr>
        <w:adjustRightInd w:val="0"/>
        <w:snapToGrid w:val="0"/>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衡阳市生态环境局</w:t>
      </w:r>
    </w:p>
    <w:p>
      <w:pPr>
        <w:adjustRightInd w:val="0"/>
        <w:snapToGrid w:val="0"/>
        <w:spacing w:line="600" w:lineRule="exact"/>
        <w:jc w:val="center"/>
        <w:rPr>
          <w:rFonts w:hint="eastAsia" w:ascii="方正小标宋简体" w:hAnsi="方正小标宋简体" w:eastAsia="方正小标宋简体" w:cs="方正小标宋简体"/>
          <w:color w:val="auto"/>
          <w:w w:val="96"/>
          <w:sz w:val="44"/>
          <w:szCs w:val="44"/>
          <w:highlight w:val="none"/>
          <w:lang w:eastAsia="zh-CN"/>
        </w:rPr>
      </w:pPr>
      <w:r>
        <w:rPr>
          <w:rFonts w:hint="eastAsia" w:ascii="方正小标宋简体" w:hAnsi="方正小标宋简体" w:eastAsia="方正小标宋简体" w:cs="方正小标宋简体"/>
          <w:color w:val="auto"/>
          <w:w w:val="96"/>
          <w:sz w:val="44"/>
          <w:szCs w:val="44"/>
          <w:highlight w:val="none"/>
        </w:rPr>
        <w:t>关于《特高压组合电器核心部件制造工厂项目环境影响报告书》的批复</w:t>
      </w:r>
    </w:p>
    <w:p>
      <w:pPr>
        <w:adjustRightInd w:val="0"/>
        <w:snapToGrid w:val="0"/>
        <w:spacing w:line="600" w:lineRule="exact"/>
        <w:rPr>
          <w:rFonts w:ascii="仿宋_GB2312" w:hAnsi="仿宋" w:eastAsia="仿宋_GB2312"/>
          <w:color w:val="auto"/>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特变电工集团（湖南）电气科技有限公司：</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地址：湖南省衡阳市衡南县云集镇蒸湘南路，法定代表人：</w:t>
      </w:r>
      <w:r>
        <w:rPr>
          <w:rFonts w:hint="eastAsia" w:ascii="仿宋_GB2312" w:hAnsi="仿宋_GB2312" w:eastAsia="仿宋_GB2312" w:cs="仿宋_GB2312"/>
          <w:color w:val="000000"/>
          <w:sz w:val="32"/>
          <w:szCs w:val="32"/>
          <w:highlight w:val="none"/>
          <w:lang w:val="en-US" w:eastAsia="zh-CN"/>
        </w:rPr>
        <w:t>范利明</w:t>
      </w:r>
      <w:r>
        <w:rPr>
          <w:rFonts w:hint="eastAsia" w:ascii="仿宋_GB2312" w:hAnsi="仿宋_GB2312" w:eastAsia="仿宋_GB2312" w:cs="仿宋_GB2312"/>
          <w:color w:val="000000"/>
          <w:sz w:val="32"/>
          <w:szCs w:val="32"/>
          <w:highlight w:val="none"/>
          <w:lang w:eastAsia="zh-CN"/>
        </w:rPr>
        <w:t>，统一社会信用代码：91430422MA4PHC1RX6。</w:t>
      </w:r>
    </w:p>
    <w:p>
      <w:pPr>
        <w:keepNext w:val="0"/>
        <w:keepLines w:val="0"/>
        <w:pageBreakBefore w:val="0"/>
        <w:widowControl/>
        <w:kinsoku/>
        <w:wordWrap/>
        <w:overflowPunct/>
        <w:topLinePunct w:val="0"/>
        <w:autoSpaceDE/>
        <w:autoSpaceDN/>
        <w:bidi w:val="0"/>
        <w:adjustRightInd w:val="0"/>
        <w:snapToGrid w:val="0"/>
        <w:spacing w:line="580" w:lineRule="exact"/>
        <w:ind w:firstLine="66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你公司</w:t>
      </w:r>
      <w:r>
        <w:rPr>
          <w:rFonts w:hint="eastAsia" w:ascii="仿宋_GB2312" w:hAnsi="仿宋_GB2312" w:eastAsia="仿宋_GB2312" w:cs="仿宋_GB2312"/>
          <w:color w:val="000000"/>
          <w:sz w:val="32"/>
          <w:szCs w:val="32"/>
          <w:highlight w:val="none"/>
          <w:lang w:eastAsia="zh-CN"/>
        </w:rPr>
        <w:t>于</w:t>
      </w:r>
      <w:r>
        <w:rPr>
          <w:rFonts w:hint="eastAsia" w:ascii="仿宋_GB2312" w:hAnsi="仿宋_GB2312" w:eastAsia="仿宋_GB2312" w:cs="仿宋_GB2312"/>
          <w:color w:val="000000"/>
          <w:sz w:val="32"/>
          <w:szCs w:val="32"/>
          <w:highlight w:val="none"/>
          <w:lang w:val="en-US" w:eastAsia="zh-CN"/>
        </w:rPr>
        <w:t>2026年4月8日提出建设项目环境影响评价报告书（普通类）行政许可申请，我局已依法于2026年4月8日受理，并完成了受理公示和拟审批公示。根据</w:t>
      </w:r>
      <w:r>
        <w:rPr>
          <w:rFonts w:hint="eastAsia" w:ascii="仿宋_GB2312" w:hAnsi="仿宋_GB2312" w:eastAsia="仿宋_GB2312" w:cs="仿宋_GB2312"/>
          <w:color w:val="000000"/>
          <w:sz w:val="32"/>
          <w:szCs w:val="32"/>
          <w:highlight w:val="none"/>
        </w:rPr>
        <w:t>衡阳市生态环境局</w:t>
      </w:r>
      <w:r>
        <w:rPr>
          <w:rFonts w:hint="eastAsia" w:ascii="仿宋_GB2312" w:hAnsi="仿宋_GB2312" w:eastAsia="仿宋_GB2312" w:cs="仿宋_GB2312"/>
          <w:color w:val="000000"/>
          <w:sz w:val="32"/>
          <w:szCs w:val="32"/>
          <w:highlight w:val="none"/>
          <w:lang w:val="en-US" w:eastAsia="zh-CN"/>
        </w:rPr>
        <w:t>衡南</w:t>
      </w:r>
      <w:r>
        <w:rPr>
          <w:rFonts w:hint="eastAsia" w:ascii="仿宋_GB2312" w:hAnsi="仿宋_GB2312" w:eastAsia="仿宋_GB2312" w:cs="仿宋_GB2312"/>
          <w:color w:val="000000"/>
          <w:sz w:val="32"/>
          <w:szCs w:val="32"/>
          <w:highlight w:val="none"/>
        </w:rPr>
        <w:t>分局预审意见及衡阳市环境保护科学研究所《关于</w:t>
      </w:r>
      <w:r>
        <w:rPr>
          <w:rFonts w:hint="eastAsia" w:ascii="仿宋_GB2312" w:hAnsi="仿宋_GB2312" w:eastAsia="仿宋_GB2312" w:cs="仿宋_GB2312"/>
          <w:color w:val="000000"/>
          <w:sz w:val="32"/>
          <w:szCs w:val="32"/>
          <w:highlight w:val="none"/>
          <w:lang w:eastAsia="zh-CN"/>
        </w:rPr>
        <w:t>报送</w:t>
      </w:r>
      <w:r>
        <w:rPr>
          <w:rFonts w:hint="eastAsia" w:ascii="仿宋_GB2312" w:hAnsi="仿宋_GB2312" w:eastAsia="仿宋_GB2312" w:cs="仿宋_GB2312"/>
          <w:color w:val="000000"/>
          <w:sz w:val="32"/>
          <w:szCs w:val="32"/>
          <w:highlight w:val="none"/>
        </w:rPr>
        <w:t>&lt;特高压组合电器核心部件制造工厂项目环境影响报告书&gt;技术评估</w:t>
      </w:r>
      <w:r>
        <w:rPr>
          <w:rFonts w:hint="eastAsia" w:ascii="仿宋_GB2312" w:hAnsi="仿宋_GB2312" w:eastAsia="仿宋_GB2312" w:cs="仿宋_GB2312"/>
          <w:color w:val="000000"/>
          <w:sz w:val="32"/>
          <w:szCs w:val="32"/>
          <w:highlight w:val="none"/>
          <w:lang w:eastAsia="zh-CN"/>
        </w:rPr>
        <w:t>报告</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eastAsia="zh-CN"/>
        </w:rPr>
        <w:t>函</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，经审查，你公司委托</w:t>
      </w:r>
      <w:bookmarkStart w:id="0" w:name="OLE_LINK179"/>
      <w:bookmarkStart w:id="1" w:name="OLE_LINK178"/>
      <w:r>
        <w:rPr>
          <w:rFonts w:hint="eastAsia" w:ascii="仿宋_GB2312" w:hAnsi="仿宋_GB2312" w:eastAsia="仿宋_GB2312" w:cs="仿宋_GB2312"/>
          <w:color w:val="000000"/>
          <w:sz w:val="32"/>
          <w:szCs w:val="32"/>
          <w:highlight w:val="none"/>
        </w:rPr>
        <w:t>湖南小蜜蜂生态环境科技有限公司</w:t>
      </w:r>
      <w:bookmarkEnd w:id="0"/>
      <w:bookmarkEnd w:id="1"/>
      <w:r>
        <w:rPr>
          <w:rFonts w:hint="eastAsia" w:ascii="仿宋_GB2312" w:hAnsi="仿宋_GB2312" w:eastAsia="仿宋_GB2312" w:cs="仿宋_GB2312"/>
          <w:color w:val="000000"/>
          <w:sz w:val="32"/>
          <w:szCs w:val="32"/>
          <w:highlight w:val="none"/>
          <w:lang w:val="en-US" w:eastAsia="zh-CN"/>
        </w:rPr>
        <w:t>编制并通过专家评审取得审查意见的《</w:t>
      </w:r>
      <w:r>
        <w:rPr>
          <w:rFonts w:hint="eastAsia" w:ascii="仿宋_GB2312" w:hAnsi="仿宋_GB2312" w:eastAsia="仿宋_GB2312" w:cs="仿宋_GB2312"/>
          <w:color w:val="000000"/>
          <w:sz w:val="32"/>
          <w:szCs w:val="32"/>
          <w:highlight w:val="none"/>
        </w:rPr>
        <w:t>特高压组合电器核心部件制造工厂项目环境影响报告书</w:t>
      </w:r>
      <w:r>
        <w:rPr>
          <w:rFonts w:hint="eastAsia" w:ascii="仿宋_GB2312" w:hAnsi="仿宋_GB2312" w:eastAsia="仿宋_GB2312" w:cs="仿宋_GB2312"/>
          <w:color w:val="000000"/>
          <w:sz w:val="32"/>
          <w:szCs w:val="32"/>
          <w:highlight w:val="none"/>
          <w:lang w:eastAsia="zh-CN"/>
        </w:rPr>
        <w:t>》（以下简称《报告书》）符合国家关于建设项目环境影响评价审批文件审批的有关规定，根据《中华人民共和国行政许可法》第三十八条第一款“申请人的申请符合法定条件、标准的，行政机关应当依法作出准予行政许可的书面决定”以及《中华人民共和国环境影响评价法》第二十二条规定，我局决定准予行政许可，并要求如下：</w:t>
      </w:r>
    </w:p>
    <w:p>
      <w:pPr>
        <w:keepNext w:val="0"/>
        <w:keepLines w:val="0"/>
        <w:pageBreakBefore w:val="0"/>
        <w:widowControl/>
        <w:kinsoku/>
        <w:wordWrap/>
        <w:overflowPunct/>
        <w:topLinePunct w:val="0"/>
        <w:autoSpaceDE/>
        <w:autoSpaceDN/>
        <w:bidi w:val="0"/>
        <w:adjustRightInd w:val="0"/>
        <w:snapToGrid w:val="0"/>
        <w:spacing w:line="580" w:lineRule="exact"/>
        <w:ind w:firstLine="660" w:firstLineChars="0"/>
        <w:jc w:val="both"/>
        <w:textAlignment w:val="auto"/>
        <w:rPr>
          <w:rFonts w:hint="eastAsia" w:ascii="仿宋_GB2312" w:hAnsi="仿宋_GB2312" w:eastAsia="仿宋_GB2312" w:cs="仿宋_GB2312"/>
          <w:color w:val="000000"/>
          <w:sz w:val="32"/>
          <w:szCs w:val="32"/>
          <w:highlight w:val="none"/>
          <w:lang w:val="en-US" w:eastAsia="zh-CN"/>
        </w:rPr>
      </w:pPr>
      <w:bookmarkStart w:id="2" w:name="OLE_LINK119"/>
      <w:bookmarkStart w:id="3" w:name="OLE_LINK495"/>
      <w:bookmarkStart w:id="4" w:name="OLE_LINK120"/>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lang w:val="en-US" w:eastAsia="zh-CN"/>
        </w:rPr>
        <w:t>2021年，特变电工集团（湖南）电气科技有限公司特变电工云集高端智能制造产业园项目（一期）取得环评批复（衡清环审字〔2021〕29号）。2022年，</w:t>
      </w:r>
      <w:r>
        <w:rPr>
          <w:rFonts w:hint="eastAsia" w:ascii="仿宋_GB2312" w:hAnsi="仿宋_GB2312" w:eastAsia="仿宋_GB2312" w:cs="仿宋_GB2312"/>
          <w:color w:val="000000"/>
          <w:sz w:val="32"/>
          <w:szCs w:val="32"/>
          <w:highlight w:val="none"/>
          <w:u w:val="none" w:color="auto"/>
          <w:lang w:val="en-US" w:eastAsia="zh-CN"/>
        </w:rPr>
        <w:t>特变电工云集高端智能制造产业园项目（二期）取得</w:t>
      </w:r>
      <w:r>
        <w:rPr>
          <w:rFonts w:hint="eastAsia" w:ascii="仿宋_GB2312" w:hAnsi="仿宋_GB2312" w:eastAsia="仿宋_GB2312" w:cs="仿宋_GB2312"/>
          <w:color w:val="000000"/>
          <w:sz w:val="32"/>
          <w:szCs w:val="32"/>
          <w:highlight w:val="none"/>
          <w:lang w:val="en-US" w:eastAsia="zh-CN"/>
        </w:rPr>
        <w:t>环评批复（</w:t>
      </w:r>
      <w:r>
        <w:rPr>
          <w:rFonts w:hint="eastAsia" w:ascii="仿宋_GB2312" w:hAnsi="仿宋_GB2312" w:eastAsia="仿宋_GB2312" w:cs="仿宋_GB2312"/>
          <w:color w:val="000000"/>
          <w:sz w:val="32"/>
          <w:szCs w:val="32"/>
          <w:highlight w:val="none"/>
          <w:u w:val="none" w:color="auto"/>
          <w:lang w:val="en-US" w:eastAsia="zh-CN"/>
        </w:rPr>
        <w:t>衡清环审字〔2022〕29号</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u w:val="none" w:color="auto"/>
          <w:lang w:val="en-US" w:eastAsia="zh-CN"/>
        </w:rPr>
        <w:t>2024年，特变电工云集高端智能制造产业园智能组件制造项目取得环评</w:t>
      </w:r>
      <w:r>
        <w:rPr>
          <w:rFonts w:hint="eastAsia" w:ascii="仿宋_GB2312" w:hAnsi="仿宋_GB2312" w:eastAsia="仿宋_GB2312" w:cs="仿宋_GB2312"/>
          <w:color w:val="000000"/>
          <w:sz w:val="32"/>
          <w:szCs w:val="32"/>
          <w:highlight w:val="none"/>
          <w:lang w:val="en-US" w:eastAsia="zh-CN"/>
        </w:rPr>
        <w:t>批复（</w:t>
      </w:r>
      <w:r>
        <w:rPr>
          <w:rFonts w:hint="eastAsia" w:ascii="仿宋_GB2312" w:hAnsi="仿宋_GB2312" w:eastAsia="仿宋_GB2312" w:cs="仿宋_GB2312"/>
          <w:color w:val="000000"/>
          <w:sz w:val="32"/>
          <w:szCs w:val="32"/>
          <w:highlight w:val="none"/>
          <w:u w:val="none" w:color="auto"/>
          <w:lang w:val="en-US" w:eastAsia="zh-CN"/>
        </w:rPr>
        <w:t>衡清环审字〔2024〕14号</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pacing w:val="0"/>
          <w:kern w:val="2"/>
          <w:sz w:val="32"/>
          <w:szCs w:val="32"/>
          <w:highlight w:val="none"/>
          <w:u w:val="none"/>
          <w:lang w:val="en-US" w:eastAsia="zh-CN"/>
        </w:rPr>
        <w:t>特变电工集团（湖南）电气科技有限公司</w:t>
      </w:r>
      <w:r>
        <w:rPr>
          <w:rFonts w:hint="eastAsia" w:ascii="仿宋_GB2312" w:hAnsi="仿宋_GB2312" w:eastAsia="仿宋_GB2312" w:cs="仿宋_GB2312"/>
          <w:color w:val="000000"/>
          <w:sz w:val="32"/>
          <w:szCs w:val="32"/>
          <w:highlight w:val="none"/>
          <w:lang w:val="en-US" w:eastAsia="zh-CN"/>
        </w:rPr>
        <w:t>拟</w:t>
      </w:r>
      <w:r>
        <w:rPr>
          <w:rFonts w:hint="eastAsia" w:ascii="仿宋_GB2312" w:hAnsi="仿宋_GB2312" w:eastAsia="仿宋_GB2312" w:cs="仿宋_GB2312"/>
          <w:color w:val="000000"/>
          <w:spacing w:val="0"/>
          <w:kern w:val="2"/>
          <w:sz w:val="32"/>
          <w:szCs w:val="32"/>
          <w:highlight w:val="none"/>
          <w:u w:val="none"/>
          <w:lang w:val="en-US" w:eastAsia="zh-CN"/>
        </w:rPr>
        <w:t>投资</w:t>
      </w:r>
      <w:r>
        <w:rPr>
          <w:rFonts w:hint="eastAsia" w:ascii="仿宋_GB2312" w:hAnsi="仿宋_GB2312" w:eastAsia="仿宋_GB2312" w:cs="仿宋_GB2312"/>
          <w:color w:val="000000"/>
          <w:sz w:val="32"/>
          <w:szCs w:val="32"/>
          <w:highlight w:val="none"/>
          <w:u w:val="none"/>
          <w:lang w:val="en-US" w:eastAsia="zh-CN"/>
        </w:rPr>
        <w:t>2</w:t>
      </w:r>
      <w:r>
        <w:rPr>
          <w:rFonts w:hint="eastAsia" w:ascii="仿宋_GB2312" w:hAnsi="仿宋_GB2312" w:eastAsia="仿宋_GB2312" w:cs="仿宋_GB2312"/>
          <w:color w:val="000000"/>
          <w:sz w:val="32"/>
          <w:szCs w:val="32"/>
          <w:highlight w:val="none"/>
          <w:lang w:val="en-US" w:eastAsia="zh-CN"/>
        </w:rPr>
        <w:t>5800万元在衡阳市衡南高新技术产业开发区云集片区特变电工</w:t>
      </w:r>
      <w:bookmarkStart w:id="5" w:name="OLE_LINK2"/>
      <w:r>
        <w:rPr>
          <w:rFonts w:hint="eastAsia" w:ascii="仿宋_GB2312" w:hAnsi="仿宋_GB2312" w:eastAsia="仿宋_GB2312" w:cs="仿宋_GB2312"/>
          <w:color w:val="000000"/>
          <w:sz w:val="32"/>
          <w:szCs w:val="32"/>
          <w:highlight w:val="none"/>
          <w:lang w:val="en-US" w:eastAsia="zh-CN"/>
        </w:rPr>
        <w:t>云集高端智能制造</w:t>
      </w:r>
      <w:bookmarkEnd w:id="5"/>
      <w:r>
        <w:rPr>
          <w:rFonts w:hint="eastAsia" w:ascii="仿宋_GB2312" w:hAnsi="仿宋_GB2312" w:eastAsia="仿宋_GB2312" w:cs="仿宋_GB2312"/>
          <w:color w:val="000000"/>
          <w:sz w:val="32"/>
          <w:szCs w:val="32"/>
          <w:highlight w:val="none"/>
          <w:lang w:val="en-US" w:eastAsia="zh-CN"/>
        </w:rPr>
        <w:t>产业园内建设特高压组合电器核心部件制造工厂项目，建成后</w:t>
      </w:r>
      <w:r>
        <w:rPr>
          <w:rFonts w:hint="default" w:ascii="仿宋_GB2312" w:hAnsi="仿宋_GB2312" w:eastAsia="仿宋_GB2312" w:cs="仿宋_GB2312"/>
          <w:color w:val="000000"/>
          <w:sz w:val="32"/>
          <w:szCs w:val="32"/>
          <w:highlight w:val="none"/>
          <w:lang w:val="en-US" w:eastAsia="zh-CN"/>
        </w:rPr>
        <w:t>年产</w:t>
      </w:r>
      <w:r>
        <w:rPr>
          <w:rFonts w:hint="eastAsia" w:ascii="仿宋_GB2312" w:hAnsi="仿宋_GB2312" w:eastAsia="仿宋_GB2312" w:cs="仿宋_GB2312"/>
          <w:color w:val="000000"/>
          <w:sz w:val="32"/>
          <w:szCs w:val="32"/>
          <w:highlight w:val="none"/>
          <w:lang w:val="en-US" w:eastAsia="zh-CN"/>
        </w:rPr>
        <w:t>GIS组合电器所需的铝合金壳体3.5万件。项目规划建筑面积16173.63‬‬m</w:t>
      </w:r>
      <w:r>
        <w:rPr>
          <w:rFonts w:hint="eastAsia" w:ascii="仿宋_GB2312" w:hAnsi="仿宋_GB2312" w:eastAsia="仿宋_GB2312" w:cs="仿宋_GB2312"/>
          <w:color w:val="000000"/>
          <w:sz w:val="32"/>
          <w:szCs w:val="32"/>
          <w:highlight w:val="none"/>
          <w:vertAlign w:val="superscript"/>
          <w:lang w:val="en-US" w:eastAsia="zh-CN"/>
        </w:rPr>
        <w:t>2</w:t>
      </w:r>
      <w:r>
        <w:rPr>
          <w:rFonts w:hint="eastAsia" w:ascii="仿宋_GB2312" w:hAnsi="仿宋_GB2312" w:eastAsia="仿宋_GB2312" w:cs="仿宋_GB2312"/>
          <w:color w:val="000000"/>
          <w:sz w:val="32"/>
          <w:szCs w:val="32"/>
          <w:highlight w:val="none"/>
          <w:lang w:val="en-US" w:eastAsia="zh-CN"/>
        </w:rPr>
        <w:t>，主要建设1栋GIS壳体生产厂房和1座实验大楼，并建设配套环保处理设施等环保工程。另建设一座危废暂存间（165.71m</w:t>
      </w:r>
      <w:r>
        <w:rPr>
          <w:rFonts w:hint="eastAsia" w:ascii="仿宋_GB2312" w:hAnsi="仿宋_GB2312" w:eastAsia="仿宋_GB2312" w:cs="仿宋_GB2312"/>
          <w:color w:val="000000"/>
          <w:sz w:val="32"/>
          <w:szCs w:val="32"/>
          <w:highlight w:val="none"/>
          <w:vertAlign w:val="superscript"/>
          <w:lang w:val="en-US" w:eastAsia="zh-CN"/>
        </w:rPr>
        <w:t>2</w:t>
      </w:r>
      <w:r>
        <w:rPr>
          <w:rFonts w:hint="eastAsia" w:ascii="仿宋_GB2312" w:hAnsi="仿宋_GB2312" w:eastAsia="仿宋_GB2312" w:cs="仿宋_GB2312"/>
          <w:color w:val="000000"/>
          <w:sz w:val="32"/>
          <w:szCs w:val="32"/>
          <w:highlight w:val="none"/>
          <w:lang w:val="en-US" w:eastAsia="zh-CN"/>
        </w:rPr>
        <w:t>），建成后云集高端智能制造产业园四栋厂房产生的危废均暂存于该危废暂存间，届时，原危废暂存间将被拆除。本项目涉及超声检测/X射线检测会产生辐射，本次评价不包含辐射内容，建设单位应按照规定另行开展辐射环评。</w:t>
      </w:r>
    </w:p>
    <w:bookmarkEnd w:id="2"/>
    <w:bookmarkEnd w:id="3"/>
    <w:bookmarkEnd w:id="4"/>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报告书</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的分析结论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衡阳市生态环境局</w:t>
      </w:r>
      <w:r>
        <w:rPr>
          <w:rFonts w:hint="eastAsia" w:ascii="仿宋_GB2312" w:hAnsi="仿宋_GB2312" w:eastAsia="仿宋_GB2312" w:cs="仿宋_GB2312"/>
          <w:color w:val="000000"/>
          <w:sz w:val="32"/>
          <w:szCs w:val="32"/>
          <w:highlight w:val="none"/>
          <w:lang w:val="en-US" w:eastAsia="zh-CN"/>
        </w:rPr>
        <w:t>衡南</w:t>
      </w:r>
      <w:r>
        <w:rPr>
          <w:rFonts w:hint="default" w:ascii="仿宋_GB2312" w:hAnsi="仿宋_GB2312" w:eastAsia="仿宋_GB2312" w:cs="仿宋_GB2312"/>
          <w:color w:val="000000"/>
          <w:sz w:val="32"/>
          <w:szCs w:val="32"/>
          <w:highlight w:val="none"/>
          <w:lang w:val="en"/>
        </w:rPr>
        <w:t>分局</w:t>
      </w:r>
      <w:r>
        <w:rPr>
          <w:rFonts w:hint="eastAsia" w:ascii="仿宋_GB2312" w:hAnsi="仿宋_GB2312" w:eastAsia="仿宋_GB2312" w:cs="仿宋_GB2312"/>
          <w:color w:val="000000"/>
          <w:sz w:val="32"/>
          <w:szCs w:val="32"/>
          <w:highlight w:val="none"/>
        </w:rPr>
        <w:t>的预审意见</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衡阳市环境保护科学研究所</w:t>
      </w:r>
      <w:r>
        <w:rPr>
          <w:rFonts w:hint="eastAsia" w:ascii="仿宋_GB2312" w:hAnsi="仿宋_GB2312" w:eastAsia="仿宋_GB2312" w:cs="仿宋_GB2312"/>
          <w:color w:val="000000"/>
          <w:sz w:val="32"/>
          <w:szCs w:val="32"/>
          <w:highlight w:val="none"/>
          <w:lang w:eastAsia="zh-CN"/>
        </w:rPr>
        <w:t>的技术评估报告，</w:t>
      </w:r>
      <w:r>
        <w:rPr>
          <w:rFonts w:hint="eastAsia" w:ascii="仿宋_GB2312" w:hAnsi="仿宋_GB2312" w:eastAsia="仿宋_GB2312" w:cs="仿宋_GB2312"/>
          <w:color w:val="000000"/>
          <w:sz w:val="32"/>
          <w:szCs w:val="32"/>
          <w:highlight w:val="none"/>
        </w:rPr>
        <w:t>在建设单位按照</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报告书</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中所列性质、规模、地点、生产工艺进行建设、运营,严格落实</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报告书</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和本批复提出的各项生态环境保护措施</w:t>
      </w:r>
      <w:r>
        <w:rPr>
          <w:rFonts w:hint="eastAsia" w:ascii="仿宋_GB2312" w:hAnsi="仿宋_GB2312" w:eastAsia="仿宋_GB2312" w:cs="仿宋_GB2312"/>
          <w:color w:val="000000"/>
          <w:sz w:val="32"/>
          <w:szCs w:val="32"/>
          <w:highlight w:val="none"/>
          <w:lang w:eastAsia="zh-CN"/>
        </w:rPr>
        <w:t>和污染防治措施</w:t>
      </w:r>
      <w:r>
        <w:rPr>
          <w:rFonts w:hint="eastAsia" w:ascii="仿宋_GB2312" w:hAnsi="仿宋_GB2312" w:eastAsia="仿宋_GB2312" w:cs="仿宋_GB2312"/>
          <w:color w:val="000000"/>
          <w:sz w:val="32"/>
          <w:szCs w:val="32"/>
          <w:highlight w:val="none"/>
        </w:rPr>
        <w:t>,并确保各类污染物稳定达标排放且符合总量控制要求的前提下,工程对环境的不利影响能够得到</w:t>
      </w:r>
      <w:r>
        <w:rPr>
          <w:rFonts w:hint="eastAsia" w:ascii="仿宋_GB2312" w:hAnsi="仿宋_GB2312" w:eastAsia="仿宋_GB2312" w:cs="仿宋_GB2312"/>
          <w:color w:val="000000"/>
          <w:sz w:val="32"/>
          <w:szCs w:val="32"/>
          <w:highlight w:val="none"/>
          <w:lang w:eastAsia="zh-CN"/>
        </w:rPr>
        <w:t>一定</w:t>
      </w:r>
      <w:r>
        <w:rPr>
          <w:rFonts w:hint="eastAsia" w:ascii="仿宋_GB2312" w:hAnsi="仿宋_GB2312" w:eastAsia="仿宋_GB2312" w:cs="仿宋_GB2312"/>
          <w:color w:val="000000"/>
          <w:sz w:val="32"/>
          <w:szCs w:val="32"/>
          <w:highlight w:val="none"/>
        </w:rPr>
        <w:t>缓解和控制</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建设单位在项目设计、建设和运营过程中必须全</w:t>
      </w:r>
      <w:r>
        <w:rPr>
          <w:rFonts w:ascii="仿宋_GB2312" w:hAnsi="仿宋_GB2312" w:eastAsia="仿宋_GB2312" w:cs="仿宋_GB2312"/>
          <w:color w:val="000000"/>
          <w:sz w:val="32"/>
          <w:szCs w:val="32"/>
          <w:highlight w:val="none"/>
        </w:rPr>
        <w:t>面落实</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报告书</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szCs w:val="32"/>
          <w:highlight w:val="none"/>
        </w:rPr>
        <w:t>提出的各项</w:t>
      </w:r>
      <w:r>
        <w:rPr>
          <w:rFonts w:hint="eastAsia" w:ascii="仿宋_GB2312" w:hAnsi="仿宋_GB2312" w:eastAsia="仿宋_GB2312" w:cs="仿宋_GB2312"/>
          <w:color w:val="000000"/>
          <w:sz w:val="32"/>
          <w:szCs w:val="32"/>
          <w:highlight w:val="none"/>
        </w:rPr>
        <w:t>生态环境保护措施</w:t>
      </w:r>
      <w:r>
        <w:rPr>
          <w:rFonts w:hint="eastAsia" w:ascii="仿宋_GB2312" w:hAnsi="仿宋_GB2312" w:eastAsia="仿宋_GB2312" w:cs="仿宋_GB2312"/>
          <w:color w:val="000000"/>
          <w:sz w:val="32"/>
          <w:szCs w:val="32"/>
          <w:highlight w:val="none"/>
          <w:lang w:eastAsia="zh-CN"/>
        </w:rPr>
        <w:t>和</w:t>
      </w:r>
      <w:r>
        <w:rPr>
          <w:rFonts w:ascii="仿宋_GB2312" w:hAnsi="仿宋_GB2312" w:eastAsia="仿宋_GB2312" w:cs="仿宋_GB2312"/>
          <w:color w:val="000000"/>
          <w:sz w:val="32"/>
          <w:szCs w:val="32"/>
          <w:highlight w:val="none"/>
        </w:rPr>
        <w:t>污染防治措施</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并着重做好</w:t>
      </w:r>
      <w:r>
        <w:rPr>
          <w:rFonts w:hint="eastAsia" w:ascii="仿宋_GB2312" w:hAnsi="仿宋_GB2312" w:eastAsia="仿宋_GB2312" w:cs="仿宋_GB2312"/>
          <w:color w:val="000000"/>
          <w:sz w:val="32"/>
          <w:szCs w:val="32"/>
          <w:highlight w:val="none"/>
          <w:lang w:eastAsia="zh-CN"/>
        </w:rPr>
        <w:t>以</w:t>
      </w:r>
      <w:r>
        <w:rPr>
          <w:rFonts w:ascii="仿宋_GB2312" w:hAnsi="仿宋_GB2312" w:eastAsia="仿宋_GB2312" w:cs="仿宋_GB2312"/>
          <w:color w:val="000000"/>
          <w:sz w:val="32"/>
          <w:szCs w:val="32"/>
          <w:highlight w:val="none"/>
        </w:rPr>
        <w:t>下工作：</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（一）全面落实“以新带老”措施。应严格按照《报告书》提出的危险废物管理和应急事故池建设等问题，切实完成相关整改工作。</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（二）</w:t>
      </w:r>
      <w:r>
        <w:rPr>
          <w:rFonts w:hint="eastAsia" w:ascii="仿宋_GB2312" w:hAnsi="仿宋_GB2312" w:eastAsia="仿宋_GB2312" w:cs="仿宋_GB2312"/>
          <w:b w:val="0"/>
          <w:bCs w:val="0"/>
          <w:color w:val="000000"/>
          <w:sz w:val="32"/>
          <w:szCs w:val="32"/>
          <w:highlight w:val="none"/>
        </w:rPr>
        <w:t>加强项目施工期的环境管理。</w:t>
      </w:r>
      <w:r>
        <w:rPr>
          <w:rFonts w:hint="eastAsia" w:ascii="仿宋_GB2312" w:hAnsi="仿宋_GB2312" w:eastAsia="仿宋_GB2312" w:cs="仿宋_GB2312"/>
          <w:color w:val="000000"/>
          <w:sz w:val="32"/>
          <w:szCs w:val="32"/>
          <w:highlight w:val="none"/>
        </w:rPr>
        <w:t>采取路面洒水、围挡作业、加装防尘网、渣土封闭运输、在施工场地设置清洗点等措施减少扬尘污染</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采用低噪声设备和限制作业时间，防止噪声扰民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在保证工程质量的同时，尽量缩短施工时间；建筑弃渣、弃土等建筑垃圾按相关要求妥善处置；施工时产生的泥浆水未经处理不得随意排放</w:t>
      </w:r>
      <w:r>
        <w:rPr>
          <w:rFonts w:hint="eastAsia" w:ascii="仿宋_GB2312" w:hAnsi="仿宋_GB2312" w:eastAsia="仿宋_GB2312" w:cs="仿宋_GB2312"/>
          <w:color w:val="000000"/>
          <w:sz w:val="32"/>
          <w:szCs w:val="32"/>
          <w:highlight w:val="none"/>
          <w:lang w:eastAsia="zh-CN"/>
        </w:rPr>
        <w:t>，不得污染现场及周围环境；</w:t>
      </w:r>
      <w:r>
        <w:rPr>
          <w:rFonts w:hint="eastAsia" w:ascii="仿宋_GB2312" w:hAnsi="仿宋_GB2312" w:eastAsia="仿宋_GB2312" w:cs="仿宋_GB2312"/>
          <w:color w:val="000000"/>
          <w:sz w:val="32"/>
          <w:szCs w:val="32"/>
          <w:highlight w:val="none"/>
        </w:rPr>
        <w:t>在临时堆场、施工泥浆产生点设置临时沉砂池，含泥沙雨水、泥浆水经沉砂池沉淀处理后，回用于施工或洒水降尘，不外排。项目施工场地设置进出车辆冲洗平台，在平台周边设置截流沟，将冲洗废水导入沉淀池，施工废水采取沉淀池、隔油池处理后回用，不外排。</w:t>
      </w:r>
      <w:r>
        <w:rPr>
          <w:rFonts w:hint="eastAsia" w:ascii="仿宋_GB2312" w:hAnsi="仿宋_GB2312" w:eastAsia="仿宋_GB2312" w:cs="仿宋_GB2312"/>
          <w:color w:val="000000"/>
          <w:sz w:val="32"/>
          <w:szCs w:val="32"/>
          <w:highlight w:val="none"/>
          <w:lang w:val="en-US" w:eastAsia="zh-CN"/>
        </w:rPr>
        <w:t>施工人员生活污水经化粪池处理达标后排入园区污水管网</w:t>
      </w:r>
      <w:r>
        <w:rPr>
          <w:rFonts w:hint="eastAsia" w:ascii="仿宋_GB2312" w:hAnsi="仿宋_GB2312" w:eastAsia="仿宋_GB2312" w:cs="仿宋_GB2312"/>
          <w:color w:val="000000"/>
          <w:sz w:val="32"/>
          <w:szCs w:val="32"/>
          <w:highlight w:val="none"/>
          <w:u w:val="none" w:color="auto"/>
          <w:lang w:val="en-US" w:eastAsia="zh-CN"/>
        </w:rPr>
        <w:t>，进入衡南工业集中区污水处理厂</w:t>
      </w:r>
      <w:r>
        <w:rPr>
          <w:rFonts w:hint="eastAsia" w:ascii="仿宋_GB2312" w:hAnsi="仿宋_GB2312" w:eastAsia="仿宋_GB2312" w:cs="仿宋_GB2312"/>
          <w:color w:val="000000"/>
          <w:sz w:val="32"/>
          <w:szCs w:val="32"/>
          <w:highlight w:val="none"/>
          <w:lang w:val="en-US" w:eastAsia="zh-CN"/>
        </w:rPr>
        <w:t>深度处理</w:t>
      </w:r>
      <w:r>
        <w:rPr>
          <w:rFonts w:hint="eastAsia" w:ascii="仿宋_GB2312" w:hAnsi="仿宋_GB2312" w:eastAsia="仿宋_GB2312" w:cs="仿宋_GB2312"/>
          <w:color w:val="000000"/>
          <w:sz w:val="32"/>
          <w:szCs w:val="32"/>
          <w:highlight w:val="none"/>
        </w:rPr>
        <w:t>。主体工程完成后，及时做好地表植被恢复工作，绿地率达到国家有关规定</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加强项目</w:t>
      </w:r>
      <w:r>
        <w:rPr>
          <w:rFonts w:hint="eastAsia" w:ascii="仿宋_GB2312" w:hAnsi="仿宋_GB2312" w:eastAsia="仿宋_GB2312" w:cs="仿宋_GB2312"/>
          <w:color w:val="000000"/>
          <w:sz w:val="32"/>
          <w:szCs w:val="32"/>
          <w:highlight w:val="none"/>
          <w:lang w:eastAsia="zh-CN"/>
        </w:rPr>
        <w:t>运营期</w:t>
      </w:r>
      <w:r>
        <w:rPr>
          <w:rFonts w:hint="eastAsia" w:ascii="仿宋_GB2312" w:hAnsi="仿宋_GB2312" w:eastAsia="仿宋_GB2312" w:cs="仿宋_GB2312"/>
          <w:color w:val="000000"/>
          <w:sz w:val="32"/>
          <w:szCs w:val="32"/>
          <w:highlight w:val="none"/>
        </w:rPr>
        <w:t>废水污染防治工作。</w:t>
      </w:r>
      <w:r>
        <w:rPr>
          <w:rFonts w:hint="eastAsia" w:ascii="仿宋_GB2312" w:hAnsi="仿宋_GB2312" w:eastAsia="仿宋_GB2312" w:cs="仿宋_GB2312"/>
          <w:b w:val="0"/>
          <w:bCs w:val="0"/>
          <w:color w:val="000000"/>
          <w:sz w:val="32"/>
          <w:szCs w:val="32"/>
          <w:highlight w:val="none"/>
          <w:lang w:val="en-US" w:eastAsia="zh-CN"/>
        </w:rPr>
        <w:t>场</w:t>
      </w:r>
      <w:r>
        <w:rPr>
          <w:rFonts w:hint="eastAsia" w:ascii="仿宋_GB2312" w:hAnsi="仿宋_GB2312" w:eastAsia="仿宋_GB2312" w:cs="仿宋_GB2312"/>
          <w:color w:val="000000"/>
          <w:sz w:val="32"/>
          <w:szCs w:val="32"/>
          <w:highlight w:val="none"/>
        </w:rPr>
        <w:t>区排水实施</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雨污分流、清污分流、污污分流”的要求,规范建设</w:t>
      </w:r>
      <w:r>
        <w:rPr>
          <w:rFonts w:hint="eastAsia" w:ascii="仿宋_GB2312" w:hAnsi="仿宋_GB2312" w:eastAsia="仿宋_GB2312" w:cs="仿宋_GB2312"/>
          <w:b w:val="0"/>
          <w:bCs w:val="0"/>
          <w:color w:val="000000"/>
          <w:sz w:val="32"/>
          <w:szCs w:val="32"/>
          <w:highlight w:val="none"/>
          <w:lang w:val="en-US" w:eastAsia="zh-CN"/>
        </w:rPr>
        <w:t>场</w:t>
      </w:r>
      <w:r>
        <w:rPr>
          <w:rFonts w:hint="eastAsia" w:ascii="仿宋_GB2312" w:hAnsi="仿宋_GB2312" w:eastAsia="仿宋_GB2312" w:cs="仿宋_GB2312"/>
          <w:color w:val="000000"/>
          <w:sz w:val="32"/>
          <w:szCs w:val="32"/>
          <w:highlight w:val="none"/>
        </w:rPr>
        <w:t>区给排水系统和废水</w:t>
      </w:r>
      <w:r>
        <w:rPr>
          <w:rFonts w:hint="eastAsia" w:ascii="仿宋_GB2312" w:hAnsi="仿宋_GB2312" w:eastAsia="仿宋_GB2312" w:cs="仿宋_GB2312"/>
          <w:b w:val="0"/>
          <w:bCs w:val="0"/>
          <w:color w:val="000000"/>
          <w:sz w:val="32"/>
          <w:szCs w:val="32"/>
          <w:highlight w:val="none"/>
        </w:rPr>
        <w:t>处理</w:t>
      </w:r>
      <w:r>
        <w:rPr>
          <w:rFonts w:hint="eastAsia" w:ascii="仿宋_GB2312" w:hAnsi="仿宋_GB2312" w:eastAsia="仿宋_GB2312" w:cs="仿宋_GB2312"/>
          <w:color w:val="000000"/>
          <w:sz w:val="32"/>
          <w:szCs w:val="32"/>
          <w:highlight w:val="none"/>
        </w:rPr>
        <w:t>设施,确保废水收集管网和处理设施的正常运行</w:t>
      </w:r>
      <w:r>
        <w:rPr>
          <w:rFonts w:hint="eastAsia"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防止跑、冒、滴、漏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color w:val="000000"/>
          <w:kern w:val="2"/>
          <w:sz w:val="32"/>
          <w:szCs w:val="32"/>
          <w:highlight w:val="none"/>
          <w:u w:val="none" w:color="auto"/>
          <w:lang w:val="en-US" w:eastAsia="zh-CN" w:bidi="ar-SA"/>
        </w:rPr>
        <w:t>生产废水主要为试压废水、脱脂废水、脱脂清洗废水、硅烷化废水、硅烷清洗废水、锅炉排污水，其中试压废水循环回用不外排</w:t>
      </w:r>
      <w:r>
        <w:rPr>
          <w:rFonts w:hint="eastAsia" w:ascii="仿宋_GB2312" w:hAnsi="仿宋_GB2312" w:eastAsia="仿宋_GB2312" w:cs="仿宋_GB2312"/>
          <w:color w:val="000000"/>
          <w:sz w:val="32"/>
          <w:szCs w:val="32"/>
          <w:highlight w:val="none"/>
          <w:lang w:eastAsia="zh-CN"/>
        </w:rPr>
        <w:t>，其它的</w:t>
      </w:r>
      <w:r>
        <w:rPr>
          <w:rFonts w:hint="eastAsia" w:ascii="仿宋_GB2312" w:hAnsi="仿宋_GB2312" w:eastAsia="仿宋_GB2312" w:cs="仿宋_GB2312"/>
          <w:color w:val="000000"/>
          <w:sz w:val="32"/>
          <w:szCs w:val="32"/>
          <w:highlight w:val="none"/>
          <w:lang w:val="en-US" w:eastAsia="zh-CN"/>
        </w:rPr>
        <w:t>生产废水经新建的污水处理站（处理能力30m</w:t>
      </w:r>
      <w:r>
        <w:rPr>
          <w:rFonts w:hint="eastAsia" w:ascii="仿宋_GB2312" w:hAnsi="仿宋_GB2312" w:eastAsia="仿宋_GB2312" w:cs="仿宋_GB2312"/>
          <w:color w:val="000000"/>
          <w:sz w:val="32"/>
          <w:szCs w:val="32"/>
          <w:highlight w:val="none"/>
          <w:vertAlign w:val="superscript"/>
          <w:lang w:val="en-US" w:eastAsia="zh-CN"/>
        </w:rPr>
        <w:t>3</w:t>
      </w:r>
      <w:r>
        <w:rPr>
          <w:rFonts w:hint="eastAsia" w:ascii="仿宋_GB2312" w:hAnsi="仿宋_GB2312" w:eastAsia="仿宋_GB2312" w:cs="仿宋_GB2312"/>
          <w:color w:val="000000"/>
          <w:sz w:val="32"/>
          <w:szCs w:val="32"/>
          <w:highlight w:val="none"/>
          <w:lang w:val="en-US" w:eastAsia="zh-CN"/>
        </w:rPr>
        <w:t>/d）采用“调节池-气浮-絮凝沉淀-</w:t>
      </w:r>
      <w:r>
        <w:rPr>
          <w:rFonts w:hint="default" w:ascii="仿宋_GB2312" w:hAnsi="仿宋_GB2312" w:eastAsia="仿宋_GB2312" w:cs="仿宋_GB2312"/>
          <w:color w:val="000000"/>
          <w:sz w:val="32"/>
          <w:szCs w:val="32"/>
          <w:highlight w:val="none"/>
          <w:lang w:val="en-US" w:eastAsia="zh-CN"/>
        </w:rPr>
        <w:t>A</w:t>
      </w:r>
      <w:r>
        <w:rPr>
          <w:rFonts w:hint="default" w:ascii="仿宋_GB2312" w:hAnsi="仿宋_GB2312" w:eastAsia="仿宋_GB2312" w:cs="仿宋_GB2312"/>
          <w:color w:val="000000"/>
          <w:sz w:val="32"/>
          <w:szCs w:val="32"/>
          <w:highlight w:val="none"/>
          <w:vertAlign w:val="superscript"/>
          <w:lang w:val="en-US" w:eastAsia="zh-CN"/>
        </w:rPr>
        <w:t>2</w:t>
      </w:r>
      <w:r>
        <w:rPr>
          <w:rFonts w:hint="default" w:ascii="仿宋_GB2312" w:hAnsi="仿宋_GB2312" w:eastAsia="仿宋_GB2312" w:cs="仿宋_GB2312"/>
          <w:color w:val="000000"/>
          <w:sz w:val="32"/>
          <w:szCs w:val="32"/>
          <w:highlight w:val="none"/>
          <w:lang w:val="en-US" w:eastAsia="zh-CN"/>
        </w:rPr>
        <w:t>O生化处理池-二沉池”</w:t>
      </w:r>
      <w:r>
        <w:rPr>
          <w:rFonts w:hint="eastAsia" w:ascii="仿宋_GB2312" w:hAnsi="仿宋_GB2312" w:eastAsia="仿宋_GB2312" w:cs="仿宋_GB2312"/>
          <w:color w:val="000000"/>
          <w:sz w:val="32"/>
          <w:szCs w:val="32"/>
          <w:highlight w:val="none"/>
          <w:lang w:val="en-US" w:eastAsia="zh-CN"/>
        </w:rPr>
        <w:t>工艺处理达到《污水综合排放标准》（GB8978-1996）表4中三级标准（氨氮、总磷、总氮参照执行《污水排入城镇下水道水质标准》（GB/T31962-2015）标准限值（B级））及衡南工业集中区污水处理厂进水水质标准中较严值后，排入衡南工业集中区污水处理厂进行深度处理。生活污水经“隔油池+化粪池”处理达到《污水综合排放标准》（GB8978-1996）表4中三级标准（氨氮、总磷、总氮参照执行《污水排入城镇下水道水质标准》（GB/T31962-2015）标准限值（B级））及衡南工业集中区污水处理厂进水水质标准中较严值后，排入衡南工业集中区污水处理厂进行深度处理。</w:t>
      </w:r>
    </w:p>
    <w:p>
      <w:pPr>
        <w:widowControl/>
        <w:numPr>
          <w:ilvl w:val="0"/>
          <w:numId w:val="0"/>
        </w:numPr>
        <w:autoSpaceDE/>
        <w:autoSpaceDN/>
        <w:adjustRightInd/>
        <w:snapToGrid/>
        <w:spacing w:line="580" w:lineRule="exact"/>
        <w:ind w:firstLine="640" w:firstLineChars="200"/>
        <w:jc w:val="both"/>
        <w:rPr>
          <w:rFonts w:hint="eastAsia" w:ascii="仿宋_GB2312" w:hAnsi="仿宋_GB2312" w:eastAsia="仿宋_GB2312" w:cs="仿宋_GB2312"/>
          <w:color w:val="000000"/>
          <w:sz w:val="32"/>
          <w:szCs w:val="32"/>
          <w:highlight w:val="none"/>
          <w:u w:val="none" w:color="auto"/>
          <w:lang w:val="en-US" w:eastAsia="zh-CN"/>
        </w:rPr>
      </w:pPr>
      <w:r>
        <w:rPr>
          <w:rFonts w:hint="eastAsia" w:ascii="仿宋_GB2312" w:hAnsi="仿宋_GB2312" w:eastAsia="仿宋_GB2312" w:cs="仿宋_GB2312"/>
          <w:b w:val="0"/>
          <w:bCs w:val="0"/>
          <w:color w:val="000000"/>
          <w:sz w:val="32"/>
          <w:szCs w:val="32"/>
          <w:highlight w:val="none"/>
          <w:lang w:val="en-US" w:eastAsia="zh-CN"/>
        </w:rPr>
        <w:t>（四）加强项目营运期废气污染防治工作。应选用</w:t>
      </w:r>
      <w:r>
        <w:rPr>
          <w:rFonts w:hint="default" w:ascii="仿宋_GB2312" w:hAnsi="仿宋_GB2312" w:eastAsia="仿宋_GB2312" w:cs="仿宋_GB2312"/>
          <w:color w:val="000000"/>
          <w:sz w:val="32"/>
          <w:szCs w:val="32"/>
          <w:highlight w:val="none"/>
          <w:u w:val="none" w:color="auto"/>
          <w:lang w:val="en-US" w:eastAsia="zh-CN"/>
        </w:rPr>
        <w:t>低</w:t>
      </w:r>
      <w:r>
        <w:rPr>
          <w:rFonts w:hint="eastAsia" w:ascii="仿宋_GB2312" w:hAnsi="仿宋_GB2312" w:eastAsia="仿宋_GB2312" w:cs="仿宋_GB2312"/>
          <w:color w:val="000000"/>
          <w:sz w:val="32"/>
          <w:szCs w:val="32"/>
          <w:highlight w:val="none"/>
          <w:u w:val="none" w:color="auto"/>
          <w:lang w:val="en-US" w:eastAsia="zh-CN"/>
        </w:rPr>
        <w:t>（无）</w:t>
      </w:r>
      <w:r>
        <w:rPr>
          <w:rFonts w:hint="default" w:ascii="仿宋_GB2312" w:hAnsi="仿宋_GB2312" w:eastAsia="仿宋_GB2312" w:cs="仿宋_GB2312"/>
          <w:color w:val="000000"/>
          <w:sz w:val="32"/>
          <w:szCs w:val="32"/>
          <w:highlight w:val="none"/>
          <w:u w:val="none" w:color="auto"/>
          <w:lang w:val="en-US" w:eastAsia="zh-CN"/>
        </w:rPr>
        <w:t>挥发性有机物</w:t>
      </w:r>
      <w:r>
        <w:rPr>
          <w:rFonts w:hint="eastAsia" w:ascii="仿宋_GB2312" w:hAnsi="仿宋_GB2312" w:eastAsia="仿宋_GB2312" w:cs="仿宋_GB2312"/>
          <w:color w:val="000000"/>
          <w:sz w:val="32"/>
          <w:szCs w:val="32"/>
          <w:highlight w:val="none"/>
          <w:u w:val="none" w:color="auto"/>
          <w:lang w:val="en-US" w:eastAsia="zh-CN"/>
        </w:rPr>
        <w:t>含量</w:t>
      </w:r>
      <w:r>
        <w:rPr>
          <w:rFonts w:hint="default" w:ascii="仿宋_GB2312" w:hAnsi="仿宋_GB2312" w:eastAsia="仿宋_GB2312" w:cs="仿宋_GB2312"/>
          <w:color w:val="000000"/>
          <w:sz w:val="32"/>
          <w:szCs w:val="32"/>
          <w:highlight w:val="none"/>
          <w:u w:val="none" w:color="auto"/>
          <w:lang w:val="en-US" w:eastAsia="zh-CN"/>
        </w:rPr>
        <w:t>原辅料</w:t>
      </w:r>
      <w:r>
        <w:rPr>
          <w:rFonts w:hint="eastAsia" w:ascii="仿宋_GB2312" w:hAnsi="仿宋_GB2312" w:eastAsia="仿宋_GB2312" w:cs="仿宋_GB2312"/>
          <w:color w:val="000000"/>
          <w:sz w:val="32"/>
          <w:szCs w:val="32"/>
          <w:highlight w:val="none"/>
          <w:u w:val="none" w:color="auto"/>
          <w:lang w:val="en-US" w:eastAsia="zh-CN"/>
        </w:rPr>
        <w:t>，并在技术可行的基础上，逐步</w:t>
      </w:r>
      <w:r>
        <w:rPr>
          <w:rFonts w:hint="default" w:ascii="仿宋_GB2312" w:hAnsi="仿宋_GB2312" w:eastAsia="仿宋_GB2312" w:cs="仿宋_GB2312"/>
          <w:color w:val="000000"/>
          <w:sz w:val="32"/>
          <w:szCs w:val="32"/>
          <w:highlight w:val="none"/>
          <w:u w:val="none" w:color="auto"/>
          <w:lang w:val="en-US" w:eastAsia="zh-CN"/>
        </w:rPr>
        <w:t>替代</w:t>
      </w:r>
      <w:r>
        <w:rPr>
          <w:rFonts w:hint="eastAsia" w:ascii="仿宋_GB2312" w:hAnsi="仿宋_GB2312" w:eastAsia="仿宋_GB2312" w:cs="仿宋_GB2312"/>
          <w:color w:val="000000"/>
          <w:sz w:val="32"/>
          <w:szCs w:val="32"/>
          <w:highlight w:val="none"/>
          <w:u w:val="none" w:color="auto"/>
          <w:lang w:val="en-US" w:eastAsia="zh-CN"/>
        </w:rPr>
        <w:t>使用水溶性涂料等环保涂料。加强无组织废气的处理及管控，确保做到达标排放，其中，焊接粉尘经移动式烟尘净化器处理后排放；下料切割粉尘经“集气罩+布袋除尘器1</w:t>
      </w:r>
      <w:r>
        <w:rPr>
          <w:rFonts w:hint="eastAsia" w:ascii="仿宋_GB2312" w:hAnsi="仿宋_GB2312" w:eastAsia="仿宋_GB2312" w:cs="仿宋_GB2312"/>
          <w:color w:val="000000"/>
          <w:sz w:val="32"/>
          <w:szCs w:val="32"/>
          <w:highlight w:val="none"/>
          <w:u w:val="none" w:color="auto"/>
          <w:vertAlign w:val="superscript"/>
          <w:lang w:val="en-US" w:eastAsia="zh-CN"/>
        </w:rPr>
        <w:t>#</w:t>
      </w:r>
      <w:r>
        <w:rPr>
          <w:rFonts w:hint="eastAsia" w:ascii="仿宋_GB2312" w:hAnsi="仿宋_GB2312" w:eastAsia="仿宋_GB2312" w:cs="仿宋_GB2312"/>
          <w:color w:val="000000"/>
          <w:sz w:val="32"/>
          <w:szCs w:val="32"/>
          <w:highlight w:val="none"/>
          <w:u w:val="none" w:color="auto"/>
          <w:lang w:val="en-US" w:eastAsia="zh-CN"/>
        </w:rPr>
        <w:t>”处理后排放；打磨废气经“集气罩+布袋除尘器2</w:t>
      </w:r>
      <w:r>
        <w:rPr>
          <w:rFonts w:hint="eastAsia" w:ascii="仿宋_GB2312" w:hAnsi="仿宋_GB2312" w:eastAsia="仿宋_GB2312" w:cs="仿宋_GB2312"/>
          <w:color w:val="000000"/>
          <w:sz w:val="32"/>
          <w:szCs w:val="32"/>
          <w:highlight w:val="none"/>
          <w:u w:val="none" w:color="auto"/>
          <w:vertAlign w:val="superscript"/>
          <w:lang w:val="en-US" w:eastAsia="zh-CN"/>
        </w:rPr>
        <w:t>#</w:t>
      </w:r>
      <w:r>
        <w:rPr>
          <w:rFonts w:hint="eastAsia" w:ascii="仿宋_GB2312" w:hAnsi="仿宋_GB2312" w:eastAsia="仿宋_GB2312" w:cs="仿宋_GB2312"/>
          <w:color w:val="000000"/>
          <w:sz w:val="32"/>
          <w:szCs w:val="32"/>
          <w:highlight w:val="none"/>
          <w:u w:val="none" w:color="auto"/>
          <w:lang w:val="en-US" w:eastAsia="zh-CN"/>
        </w:rPr>
        <w:t>”处理后排放；腻子打磨废气经“侧吸罩+滤筒除尘器”处理后排放；</w:t>
      </w:r>
      <w:r>
        <w:rPr>
          <w:rFonts w:hint="eastAsia" w:ascii="仿宋_GB2312" w:hAnsi="仿宋_GB2312" w:eastAsia="仿宋_GB2312" w:cs="仿宋_GB2312"/>
          <w:color w:val="000000"/>
          <w:sz w:val="32"/>
          <w:szCs w:val="32"/>
          <w:highlight w:val="none"/>
          <w:lang w:val="en-US" w:eastAsia="zh-CN"/>
        </w:rPr>
        <w:t>危废暂存间废气引入二级活性</w:t>
      </w:r>
      <w:r>
        <w:rPr>
          <w:rFonts w:hint="eastAsia" w:ascii="仿宋_GB2312" w:hAnsi="仿宋_GB2312" w:eastAsia="仿宋_GB2312" w:cs="仿宋_GB2312"/>
          <w:color w:val="000000"/>
          <w:sz w:val="32"/>
          <w:szCs w:val="32"/>
          <w:highlight w:val="none"/>
          <w:u w:val="none" w:color="auto"/>
          <w:lang w:val="en-US" w:eastAsia="zh-CN"/>
        </w:rPr>
        <w:t>炭吸附装置处理后排放；食堂油烟经油烟净化器处理后引至屋顶排放；污水处理站废气经“密闭加盖+投放除臭剂”处理后排放。加强有组织废气的处理及管控，确保做到达标排放，其中，前处理工序中脱脂碱雾、天然气燃烧废气经收集后通过20m高排气筒（DA003）达标排放；</w:t>
      </w:r>
      <w:r>
        <w:rPr>
          <w:rFonts w:hint="eastAsia" w:ascii="仿宋_GB2312" w:hAnsi="仿宋_GB2312" w:eastAsia="仿宋_GB2312" w:cs="仿宋_GB2312"/>
          <w:color w:val="000000"/>
          <w:spacing w:val="0"/>
          <w:kern w:val="2"/>
          <w:sz w:val="32"/>
          <w:szCs w:val="32"/>
          <w:highlight w:val="none"/>
          <w:u w:val="none"/>
          <w:lang w:val="en-US" w:eastAsia="zh-CN"/>
        </w:rPr>
        <w:t>喷涂工序中调漆、喷涂、烘干、天然气燃烧机废气经</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二级活性炭吸附/脱附-催化燃烧（喷漆废气先经干式漆雾过滤器处理）</w:t>
      </w:r>
      <w:r>
        <w:rPr>
          <w:rFonts w:hint="eastAsia" w:ascii="仿宋_GB2312" w:hAnsi="仿宋_GB2312" w:eastAsia="仿宋_GB2312" w:cs="仿宋_GB2312"/>
          <w:color w:val="000000"/>
          <w:sz w:val="32"/>
          <w:szCs w:val="32"/>
          <w:highlight w:val="none"/>
          <w:lang w:val="en-US" w:eastAsia="zh-CN"/>
        </w:rPr>
        <w:t>”通过20m高排气筒（DA001）达标排放；天然气锅炉废气采用“低氮燃烧”+20m高排气筒（DA002）达标排放。</w:t>
      </w:r>
    </w:p>
    <w:p>
      <w:pPr>
        <w:keepNext w:val="0"/>
        <w:keepLines w:val="0"/>
        <w:pageBreakBefore w:val="0"/>
        <w:widowControl/>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rPr>
        <w:t>运营期有组织废气VOCs（以非甲烷总烃计）、二甲苯执行湖南省地方标准《工业企业挥发性有机物排放标准》（DB43/3550-2026）表1中其他行业中NMHC及苯系物相关限值。烘干工序均采用天然气直燃机间接加热，产生的燃烧废气参照执行《锅炉大气污染物排放标准》（GB13271-2014）表2燃气锅炉排放限值。锅炉燃烧废气执行《锅炉大气污染物排放标准》（GB13271-2014）表2燃气锅炉排放限值。碱雾参照《轧钢工业大气污染物排放标准》(GB28665-2012)脱脂工序车间或排气筒碱雾排放浓度10mg/m</w:t>
      </w:r>
      <w:r>
        <w:rPr>
          <w:rFonts w:hint="eastAsia" w:ascii="仿宋_GB2312" w:hAnsi="仿宋_GB2312" w:eastAsia="仿宋_GB2312" w:cs="仿宋_GB2312"/>
          <w:color w:val="000000"/>
          <w:kern w:val="2"/>
          <w:sz w:val="32"/>
          <w:szCs w:val="32"/>
          <w:highlight w:val="none"/>
          <w:vertAlign w:val="superscript"/>
          <w:lang w:val="en-US" w:eastAsia="zh-CN"/>
        </w:rPr>
        <w:t>2</w:t>
      </w:r>
      <w:r>
        <w:rPr>
          <w:rFonts w:hint="eastAsia" w:ascii="仿宋_GB2312" w:hAnsi="仿宋_GB2312" w:eastAsia="仿宋_GB2312" w:cs="仿宋_GB2312"/>
          <w:color w:val="000000"/>
          <w:kern w:val="2"/>
          <w:sz w:val="32"/>
          <w:szCs w:val="32"/>
          <w:highlight w:val="none"/>
          <w:lang w:val="en-US" w:eastAsia="zh-CN"/>
        </w:rPr>
        <w:t>执行。食堂油烟废气排放执行《饮食业油烟排放标准》（GB18483-2001）中规定的标准限值。厂界无组织颗粒物、二甲苯、VOCs（以非甲烷总烃计）执行《大气污染物综合排放标准》（GB16297-1996）无组织排放监控浓度限值；污水处理站产生的氨、硫化氢、臭气浓度厂界无组织排放执行《恶臭污染物排放标准》（GB14554-93）表1标准值。企业厂区内VOCs（以非甲烷总烃计）无组织排放执行《工业企业挥发性有机物排放标准》（DB43/3550-2026）表2标准限值。</w:t>
      </w:r>
    </w:p>
    <w:p>
      <w:pPr>
        <w:keepNext w:val="0"/>
        <w:keepLines w:val="0"/>
        <w:pageBreakBefore w:val="0"/>
        <w:widowControl/>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（五）加强项目运营期噪声污染防治工作。项目合理布置，选用低噪声设备，并采取有效的隔声降噪措施，确保厂界噪声达到《工业企业厂界环境噪声排放标准》（GB12348-2008）3类标准限值。</w:t>
      </w:r>
    </w:p>
    <w:p>
      <w:pPr>
        <w:widowControl/>
        <w:numPr>
          <w:ilvl w:val="0"/>
          <w:numId w:val="0"/>
        </w:numPr>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w:t>
      </w: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b w:val="0"/>
          <w:bCs w:val="0"/>
          <w:color w:val="000000"/>
          <w:kern w:val="2"/>
          <w:sz w:val="32"/>
          <w:szCs w:val="32"/>
          <w:highlight w:val="none"/>
          <w:lang w:val="en-US" w:eastAsia="zh-CN" w:bidi="ar-SA"/>
        </w:rPr>
        <w:t>）加强项目营运期固体废物污染防治工作。按照“减量化、资源化、无害化”原则做好固体废物分类收集、贮存处理和综合利用，并确保不造成二次污染。</w:t>
      </w:r>
      <w:r>
        <w:rPr>
          <w:rFonts w:hint="eastAsia" w:ascii="仿宋_GB2312" w:hAnsi="仿宋_GB2312" w:eastAsia="仿宋_GB2312" w:cs="仿宋_GB2312"/>
          <w:color w:val="000000"/>
          <w:sz w:val="32"/>
          <w:szCs w:val="32"/>
          <w:highlight w:val="none"/>
          <w:lang w:eastAsia="zh-CN"/>
        </w:rPr>
        <w:t>本项目产生的一般固废和危险废物在厂内贮存、转移时应分别满足《一般工业固体废物贮存和填埋控制标准》（</w:t>
      </w:r>
      <w:r>
        <w:rPr>
          <w:rFonts w:hint="eastAsia" w:ascii="仿宋_GB2312" w:hAnsi="仿宋_GB2312" w:eastAsia="仿宋_GB2312" w:cs="仿宋_GB2312"/>
          <w:color w:val="000000"/>
          <w:sz w:val="32"/>
          <w:szCs w:val="32"/>
          <w:highlight w:val="none"/>
          <w:lang w:val="en-US" w:eastAsia="zh-CN"/>
        </w:rPr>
        <w:t>GB18599-2020</w:t>
      </w:r>
      <w:r>
        <w:rPr>
          <w:rFonts w:hint="eastAsia" w:ascii="仿宋_GB2312" w:hAnsi="仿宋_GB2312" w:eastAsia="仿宋_GB2312" w:cs="仿宋_GB2312"/>
          <w:color w:val="000000"/>
          <w:sz w:val="32"/>
          <w:szCs w:val="32"/>
          <w:highlight w:val="none"/>
          <w:lang w:eastAsia="zh-CN"/>
        </w:rPr>
        <w:t>）和《危险废物贮存污染控制标准》（GB18597-2023）的相关要求。</w:t>
      </w:r>
      <w:r>
        <w:rPr>
          <w:rFonts w:hint="eastAsia" w:ascii="仿宋_GB2312" w:hAnsi="仿宋_GB2312" w:eastAsia="仿宋_GB2312" w:cs="仿宋_GB2312"/>
          <w:color w:val="000000"/>
          <w:sz w:val="32"/>
          <w:szCs w:val="32"/>
          <w:highlight w:val="none"/>
          <w:lang w:val="en-US" w:eastAsia="zh-CN"/>
        </w:rPr>
        <w:t>生活垃圾统一收集后交由当地环卫部门处置。委托他人运输、利用、处置的，应当对受委托方的主体资格和技术能力进行核实，依法签订书面合同，并在合同中约定污染防治要求。</w:t>
      </w:r>
    </w:p>
    <w:p>
      <w:pPr>
        <w:numPr>
          <w:ilvl w:val="0"/>
          <w:numId w:val="0"/>
        </w:numPr>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）加强项目营运期地下水和土壤污染防治工作。地下水污染防治措施按照</w:t>
      </w:r>
      <w:r>
        <w:rPr>
          <w:rFonts w:hint="eastAsia" w:ascii="仿宋_GB2312" w:hAnsi="仿宋_GB2312" w:eastAsia="仿宋_GB2312" w:cs="仿宋_GB2312"/>
          <w:color w:val="000000"/>
          <w:sz w:val="32"/>
          <w:szCs w:val="32"/>
          <w:highlight w:val="none"/>
          <w:lang w:eastAsia="zh-CN"/>
        </w:rPr>
        <w:t>“源头控制、末端防治、污染监控、应急响应”相结合的原则，从污染物的产生、入渗、扩散、应急响应全阶段进行控制。车间中的喷涂区、表面前处理区（脱脂硅烷）、固体废物暂存间、危险废物暂存间、化学品库、污水处理站等为重点防渗区，应严格落实防渗要求。</w:t>
      </w:r>
      <w:r>
        <w:rPr>
          <w:rFonts w:hint="eastAsia" w:ascii="仿宋_GB2312" w:hAnsi="仿宋_GB2312" w:eastAsia="仿宋_GB2312" w:cs="仿宋_GB2312"/>
          <w:color w:val="000000"/>
          <w:sz w:val="32"/>
          <w:szCs w:val="32"/>
          <w:highlight w:val="none"/>
          <w:lang w:val="en-US" w:eastAsia="zh-CN"/>
        </w:rPr>
        <w:t xml:space="preserve"> </w:t>
      </w:r>
    </w:p>
    <w:p>
      <w:pPr>
        <w:numPr>
          <w:ilvl w:val="0"/>
          <w:numId w:val="0"/>
        </w:num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（八）</w:t>
      </w:r>
      <w:r>
        <w:rPr>
          <w:rFonts w:hint="eastAsia" w:ascii="仿宋_GB2312" w:hAnsi="仿宋_GB2312" w:eastAsia="仿宋_GB2312" w:cs="仿宋_GB2312"/>
          <w:color w:val="000000"/>
          <w:sz w:val="32"/>
          <w:szCs w:val="32"/>
          <w:highlight w:val="none"/>
        </w:rPr>
        <w:t>排放口和固体废物堆场应按照环境保护图形标志—排放口（源）（GB 15562.1-1995）</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rPr>
        <w:t>规定，设置国家生态环境部统一制作的环境保护图形标志牌，在各气、声排污口（污染源）挂牌标识，做到各排污口（污染源）的环保标志明显，便于企业管理和公众监督。</w:t>
      </w:r>
    </w:p>
    <w:p>
      <w:pPr>
        <w:numPr>
          <w:ilvl w:val="0"/>
          <w:numId w:val="0"/>
        </w:num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九）本项目西南侧约200m处现规划了居住用地，该地块处于本项目的下风向，且与本项目有机废气排气筒距离仅约330m。衡南县自然资源局应严格落实《关于衡南高新区云集高端智能制造产业园周边地块用地性质调整事宜说明》和《报告书》的要求及时调整该地块用地性质，</w:t>
      </w:r>
      <w:r>
        <w:rPr>
          <w:rFonts w:hint="eastAsia" w:ascii="仿宋_GB2312" w:hAnsi="仿宋_GB2312" w:eastAsia="仿宋_GB2312" w:cs="仿宋_GB2312"/>
          <w:color w:val="000000"/>
          <w:sz w:val="32"/>
          <w:szCs w:val="32"/>
          <w:highlight w:val="none"/>
          <w:lang w:val="en-US" w:eastAsia="zh-CN"/>
        </w:rPr>
        <w:t>不再规划建设居住等环境敏感目标。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三、</w:t>
      </w:r>
      <w:r>
        <w:rPr>
          <w:rFonts w:hint="eastAsia" w:ascii="仿宋_GB2312" w:hAnsi="仿宋_GB2312" w:eastAsia="仿宋_GB2312" w:cs="仿宋_GB2312"/>
          <w:color w:val="000000"/>
          <w:sz w:val="32"/>
          <w:szCs w:val="32"/>
          <w:highlight w:val="none"/>
          <w:lang w:eastAsia="zh-CN"/>
        </w:rPr>
        <w:t>加强环境风险防控和环保设施安全管理</w:t>
      </w:r>
      <w:r>
        <w:rPr>
          <w:rFonts w:hint="eastAsia" w:ascii="仿宋_GB2312" w:hAnsi="仿宋_GB2312" w:eastAsia="仿宋_GB2312" w:cs="仿宋_GB2312"/>
          <w:color w:val="000000"/>
          <w:sz w:val="32"/>
          <w:szCs w:val="32"/>
          <w:highlight w:val="none"/>
        </w:rPr>
        <w:t>。加强项目的日常管理和安全防范，应建立健全各项环保规章制度和岗位责任制，设置专门的环保管理机构，落实专职环保技术人员、落实环境管理与监测计划。</w:t>
      </w:r>
      <w:r>
        <w:rPr>
          <w:rFonts w:hint="eastAsia" w:ascii="仿宋_GB2312" w:hAnsi="仿宋_GB2312" w:eastAsia="仿宋_GB2312" w:cs="仿宋_GB2312"/>
          <w:color w:val="000000"/>
          <w:sz w:val="32"/>
          <w:szCs w:val="32"/>
          <w:highlight w:val="none"/>
          <w:lang w:eastAsia="zh-CN"/>
        </w:rPr>
        <w:t>加强环境信息公开工作，主动接受社会监督。</w:t>
      </w:r>
      <w:r>
        <w:rPr>
          <w:rFonts w:hint="eastAsia" w:ascii="仿宋_GB2312" w:hAnsi="仿宋_GB2312" w:eastAsia="仿宋_GB2312" w:cs="仿宋_GB2312"/>
          <w:color w:val="000000"/>
          <w:sz w:val="32"/>
          <w:szCs w:val="32"/>
          <w:highlight w:val="none"/>
        </w:rPr>
        <w:t>制定切实有效的风险防范措施和应急措施，严格做好工程涉及的危化品在运输、储存和使用过程中的管理，切实防范事故环境风险排放。建设足够容积的</w:t>
      </w:r>
      <w:r>
        <w:rPr>
          <w:rFonts w:hint="eastAsia" w:ascii="仿宋_GB2312" w:hAnsi="仿宋_GB2312" w:eastAsia="仿宋_GB2312" w:cs="仿宋_GB2312"/>
          <w:color w:val="000000"/>
          <w:spacing w:val="0"/>
          <w:kern w:val="2"/>
          <w:sz w:val="32"/>
          <w:szCs w:val="32"/>
          <w:highlight w:val="none"/>
          <w:u w:val="none" w:color="auto"/>
          <w:lang w:val="en-US" w:eastAsia="zh-CN"/>
        </w:rPr>
        <w:t>围堰、收集沟、收集池</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rPr>
        <w:t>，避免事故排放对环境的影响</w:t>
      </w:r>
      <w:r>
        <w:rPr>
          <w:rFonts w:hint="eastAsia" w:ascii="仿宋_GB2312" w:hAnsi="仿宋_GB2312" w:eastAsia="仿宋_GB2312" w:cs="仿宋_GB2312"/>
          <w:color w:val="000000"/>
          <w:sz w:val="32"/>
          <w:szCs w:val="32"/>
          <w:highlight w:val="none"/>
          <w:lang w:eastAsia="zh-CN"/>
        </w:rPr>
        <w:t>，确保事故废水不进入外环境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应建立环保设施安全台账和管理制度，并加强管理和巡查，杜绝出现环保设施安全事故</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、严格落实污染物排放总量控制措施。本项目污染物排放总量必须严格控制在以下指标内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pacing w:val="0"/>
          <w:kern w:val="2"/>
          <w:sz w:val="32"/>
          <w:szCs w:val="32"/>
          <w:highlight w:val="none"/>
          <w:u w:val="none" w:color="auto"/>
          <w:lang w:val="en-US" w:eastAsia="zh-CN" w:bidi="ar-SA"/>
        </w:rPr>
        <w:t>COD</w:t>
      </w:r>
      <w:r>
        <w:rPr>
          <w:rFonts w:hint="eastAsia" w:ascii="仿宋_GB2312" w:hAnsi="仿宋_GB2312" w:eastAsia="仿宋_GB2312" w:cs="仿宋_GB2312"/>
          <w:color w:val="000000"/>
          <w:spacing w:val="0"/>
          <w:kern w:val="2"/>
          <w:sz w:val="32"/>
          <w:szCs w:val="32"/>
          <w:highlight w:val="none"/>
          <w:u w:val="none" w:color="auto"/>
          <w:vertAlign w:val="subscript"/>
          <w:lang w:val="en-US" w:eastAsia="zh-CN" w:bidi="ar-SA"/>
        </w:rPr>
        <w:t>cr</w:t>
      </w:r>
      <w:r>
        <w:rPr>
          <w:rFonts w:hint="default"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spacing w:val="0"/>
          <w:kern w:val="2"/>
          <w:sz w:val="32"/>
          <w:szCs w:val="32"/>
          <w:highlight w:val="none"/>
          <w:u w:val="none" w:color="auto"/>
          <w:lang w:val="en-US" w:eastAsia="zh-CN" w:bidi="ar-SA"/>
        </w:rPr>
        <w:t>0.41t/a，氨氮</w:t>
      </w:r>
      <w:r>
        <w:rPr>
          <w:rFonts w:hint="default"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spacing w:val="0"/>
          <w:kern w:val="2"/>
          <w:sz w:val="32"/>
          <w:szCs w:val="32"/>
          <w:highlight w:val="none"/>
          <w:u w:val="none" w:color="auto"/>
          <w:lang w:val="en-US" w:eastAsia="zh-CN" w:bidi="ar-SA"/>
        </w:rPr>
        <w:t>0.07t/a，总磷</w:t>
      </w:r>
      <w:r>
        <w:rPr>
          <w:rFonts w:hint="default"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spacing w:val="0"/>
          <w:kern w:val="2"/>
          <w:sz w:val="32"/>
          <w:szCs w:val="32"/>
          <w:highlight w:val="none"/>
          <w:u w:val="none" w:color="auto"/>
          <w:lang w:val="en-US" w:eastAsia="zh-CN" w:bidi="ar-SA"/>
        </w:rPr>
        <w:t>0.005t/a，二氧化硫</w:t>
      </w:r>
      <w:r>
        <w:rPr>
          <w:rFonts w:hint="default"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spacing w:val="0"/>
          <w:kern w:val="2"/>
          <w:sz w:val="32"/>
          <w:szCs w:val="32"/>
          <w:highlight w:val="none"/>
          <w:u w:val="none" w:color="auto"/>
          <w:lang w:val="en-US" w:eastAsia="zh-CN" w:bidi="ar-SA"/>
        </w:rPr>
        <w:t>0.05t/a，氮氧化物</w:t>
      </w:r>
      <w:r>
        <w:rPr>
          <w:rFonts w:hint="default"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spacing w:val="0"/>
          <w:kern w:val="2"/>
          <w:sz w:val="32"/>
          <w:szCs w:val="32"/>
          <w:highlight w:val="none"/>
          <w:u w:val="none" w:color="auto"/>
          <w:lang w:val="en-US" w:eastAsia="zh-CN" w:bidi="ar-SA"/>
        </w:rPr>
        <w:t>0.2t/a，挥发性有机物</w:t>
      </w:r>
      <w:r>
        <w:rPr>
          <w:rFonts w:hint="default" w:ascii="仿宋_GB2312" w:hAnsi="仿宋_GB2312" w:eastAsia="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spacing w:val="0"/>
          <w:kern w:val="2"/>
          <w:sz w:val="32"/>
          <w:szCs w:val="32"/>
          <w:highlight w:val="none"/>
          <w:u w:val="none"/>
          <w:lang w:val="en-US" w:eastAsia="zh-CN" w:bidi="ar-SA"/>
        </w:rPr>
        <w:t>2.11</w:t>
      </w:r>
      <w:r>
        <w:rPr>
          <w:rFonts w:hint="eastAsia" w:ascii="仿宋_GB2312" w:hAnsi="仿宋_GB2312" w:eastAsia="仿宋_GB2312" w:cs="仿宋_GB2312"/>
          <w:color w:val="000000"/>
          <w:spacing w:val="0"/>
          <w:kern w:val="2"/>
          <w:sz w:val="32"/>
          <w:szCs w:val="32"/>
          <w:highlight w:val="none"/>
          <w:u w:val="none" w:color="auto"/>
          <w:lang w:val="en-US" w:eastAsia="zh-CN" w:bidi="ar-SA"/>
        </w:rPr>
        <w:t>t/a</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你公司须严格按照《排污许可管理条例》要求落实排污许可相关工作</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项目建设必须严格执行配套的环境保护设施与主体工程同时设计、同时施工、同时投入使用的“三同时”制度。项目竣工后，按照相关规定做好环保竣工验收工作。环境影响报告书经批准后，该项目的性质、规模、地点、生产工艺或者防治污染、防止生态破坏的措施发生重大变动的，须重新报批环境影响报告书。自环境影响报告书批复文件批准之日起，如超过5年方决定工程开工建设的，环境影响报告书应当报我局重新审核。</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rPr>
        <w:t>、你公司应在收到本批复后的15个工作日内，将本批复及批复批准后的环境影响报告书送</w:t>
      </w:r>
      <w:r>
        <w:rPr>
          <w:rFonts w:hint="eastAsia" w:ascii="仿宋_GB2312" w:hAnsi="仿宋_GB2312" w:eastAsia="仿宋_GB2312" w:cs="仿宋_GB2312"/>
          <w:color w:val="000000"/>
          <w:sz w:val="32"/>
          <w:szCs w:val="32"/>
          <w:highlight w:val="none"/>
          <w:lang w:val="en-US" w:eastAsia="zh-CN"/>
        </w:rPr>
        <w:t>衡南县</w:t>
      </w:r>
      <w:r>
        <w:rPr>
          <w:rFonts w:hint="eastAsia" w:ascii="仿宋_GB2312" w:hAnsi="仿宋_GB2312" w:eastAsia="仿宋_GB2312" w:cs="仿宋_GB2312"/>
          <w:color w:val="000000"/>
          <w:sz w:val="32"/>
          <w:szCs w:val="32"/>
          <w:highlight w:val="none"/>
        </w:rPr>
        <w:t>人民政府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衡阳市生态环境局</w:t>
      </w:r>
      <w:r>
        <w:rPr>
          <w:rFonts w:hint="eastAsia" w:ascii="仿宋_GB2312" w:hAnsi="仿宋_GB2312" w:eastAsia="仿宋_GB2312" w:cs="仿宋_GB2312"/>
          <w:color w:val="000000"/>
          <w:sz w:val="32"/>
          <w:szCs w:val="32"/>
          <w:highlight w:val="none"/>
          <w:lang w:val="en-US" w:eastAsia="zh-CN"/>
        </w:rPr>
        <w:t>衡南</w:t>
      </w:r>
      <w:r>
        <w:rPr>
          <w:rFonts w:hint="eastAsia" w:ascii="仿宋_GB2312" w:hAnsi="仿宋_GB2312" w:eastAsia="仿宋_GB2312" w:cs="仿宋_GB2312"/>
          <w:color w:val="000000"/>
          <w:sz w:val="32"/>
          <w:szCs w:val="32"/>
          <w:highlight w:val="none"/>
        </w:rPr>
        <w:t>分局</w:t>
      </w:r>
      <w:r>
        <w:rPr>
          <w:rFonts w:hint="eastAsia" w:ascii="仿宋_GB2312" w:hAnsi="仿宋_GB2312" w:eastAsia="仿宋_GB2312" w:cs="仿宋_GB2312"/>
          <w:color w:val="000000"/>
          <w:sz w:val="32"/>
          <w:szCs w:val="32"/>
          <w:highlight w:val="none"/>
          <w:lang w:eastAsia="zh-CN"/>
        </w:rPr>
        <w:t>、衡南高新技术产业开发区管理委员会、</w:t>
      </w:r>
      <w:r>
        <w:rPr>
          <w:rFonts w:hint="eastAsia" w:ascii="仿宋_GB2312" w:hAnsi="仿宋_GB2312" w:eastAsia="仿宋_GB2312" w:cs="仿宋_GB2312"/>
          <w:color w:val="000000"/>
          <w:sz w:val="32"/>
          <w:szCs w:val="32"/>
          <w:highlight w:val="none"/>
          <w:lang w:val="en-US" w:eastAsia="zh-CN"/>
        </w:rPr>
        <w:t>衡南县自然资源局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本项目“三同时”监督检查和事中、事后日常环境管理工作由衡阳市生态环境局</w:t>
      </w:r>
      <w:r>
        <w:rPr>
          <w:rFonts w:hint="eastAsia" w:ascii="仿宋_GB2312" w:hAnsi="仿宋_GB2312" w:eastAsia="仿宋_GB2312" w:cs="仿宋_GB2312"/>
          <w:color w:val="000000"/>
          <w:sz w:val="32"/>
          <w:szCs w:val="32"/>
          <w:highlight w:val="none"/>
          <w:lang w:val="en-US" w:eastAsia="zh-CN"/>
        </w:rPr>
        <w:t>衡南</w:t>
      </w:r>
      <w:r>
        <w:rPr>
          <w:rFonts w:hint="eastAsia" w:ascii="仿宋_GB2312" w:hAnsi="仿宋_GB2312" w:eastAsia="仿宋_GB2312" w:cs="仿宋_GB2312"/>
          <w:color w:val="000000"/>
          <w:sz w:val="32"/>
          <w:szCs w:val="32"/>
          <w:highlight w:val="none"/>
        </w:rPr>
        <w:t>分局具体负责</w:t>
      </w:r>
      <w:r>
        <w:rPr>
          <w:rFonts w:hint="eastAsia" w:ascii="仿宋_GB2312" w:hAnsi="仿宋_GB2312" w:eastAsia="仿宋_GB2312" w:cs="仿宋_GB2312"/>
          <w:color w:val="000000"/>
          <w:sz w:val="32"/>
          <w:szCs w:val="32"/>
          <w:highlight w:val="none"/>
          <w:lang w:eastAsia="zh-CN"/>
        </w:rPr>
        <w:t>，并按规定接受各级生态环境行政主管部门的监督检查</w:t>
      </w:r>
      <w:r>
        <w:rPr>
          <w:rFonts w:hint="eastAsia" w:ascii="仿宋_GB2312" w:hAnsi="仿宋_GB2312" w:eastAsia="仿宋_GB2312" w:cs="仿宋_GB2312"/>
          <w:color w:val="000000"/>
          <w:sz w:val="32"/>
          <w:szCs w:val="32"/>
          <w:highlight w:val="none"/>
        </w:rPr>
        <w:t>。</w:t>
      </w:r>
    </w:p>
    <w:p>
      <w:pPr>
        <w:pStyle w:val="5"/>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你公司如对本批复不服，可</w:t>
      </w:r>
      <w:r>
        <w:rPr>
          <w:rFonts w:hint="eastAsia" w:ascii="仿宋_GB2312" w:hAnsi="仿宋_GB2312" w:eastAsia="仿宋_GB2312" w:cs="仿宋_GB2312"/>
          <w:color w:val="000000"/>
          <w:kern w:val="2"/>
          <w:sz w:val="32"/>
          <w:szCs w:val="32"/>
          <w:highlight w:val="none"/>
          <w:lang w:val="en-US" w:eastAsia="zh-CN"/>
        </w:rPr>
        <w:t>以在收到决定书之日起六十日内依法向衡阳市人民政府申请行政复议，或者六个月内向衡阳铁路运输法院提起行政诉讼。</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color w:val="000000"/>
          <w:sz w:val="32"/>
          <w:szCs w:val="32"/>
          <w:highlight w:val="none"/>
        </w:rPr>
      </w:pPr>
    </w:p>
    <w:p>
      <w:pPr>
        <w:keepNext w:val="0"/>
        <w:keepLines w:val="0"/>
        <w:pageBreakBefore w:val="0"/>
        <w:kinsoku/>
        <w:wordWrap/>
        <w:overflowPunct/>
        <w:topLinePunct w:val="0"/>
        <w:autoSpaceDE/>
        <w:autoSpaceDN/>
        <w:bidi w:val="0"/>
        <w:adjustRightInd w:val="0"/>
        <w:snapToGrid w:val="0"/>
        <w:spacing w:line="580" w:lineRule="exact"/>
        <w:ind w:firstLine="4480" w:firstLineChars="14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衡阳市生态环境局</w:t>
      </w:r>
    </w:p>
    <w:p>
      <w:pPr>
        <w:keepNext w:val="0"/>
        <w:keepLines w:val="0"/>
        <w:pageBreakBefore w:val="0"/>
        <w:kinsoku/>
        <w:wordWrap/>
        <w:overflowPunct/>
        <w:topLinePunct w:val="0"/>
        <w:autoSpaceDE/>
        <w:autoSpaceDN/>
        <w:bidi w:val="0"/>
        <w:adjustRightInd w:val="0"/>
        <w:snapToGrid w:val="0"/>
        <w:spacing w:line="580" w:lineRule="exact"/>
        <w:ind w:firstLine="4480" w:firstLineChars="14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 xml:space="preserve">21 </w:t>
      </w:r>
      <w:r>
        <w:rPr>
          <w:rFonts w:hint="eastAsia" w:ascii="仿宋_GB2312" w:hAnsi="仿宋_GB2312" w:eastAsia="仿宋_GB2312" w:cs="仿宋_GB2312"/>
          <w:color w:val="000000"/>
          <w:sz w:val="32"/>
          <w:szCs w:val="32"/>
          <w:highlight w:val="none"/>
        </w:rPr>
        <w:t>日</w:t>
      </w:r>
    </w:p>
    <w:p>
      <w:pPr>
        <w:pStyle w:val="3"/>
        <w:rPr>
          <w:rFonts w:hint="eastAsia" w:ascii="仿宋_GB2312" w:hAnsi="仿宋_GB2312" w:eastAsia="仿宋_GB2312" w:cs="仿宋_GB2312"/>
          <w:color w:val="000000"/>
          <w:sz w:val="32"/>
          <w:szCs w:val="32"/>
          <w:highlight w:val="none"/>
        </w:rPr>
      </w:pPr>
    </w:p>
    <w:p>
      <w:pPr>
        <w:rPr>
          <w:rFonts w:hint="eastAsia"/>
          <w:color w:val="000000"/>
        </w:rPr>
      </w:pPr>
    </w:p>
    <w:p>
      <w:pPr>
        <w:pStyle w:val="3"/>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color w:val="000000"/>
          <w:sz w:val="32"/>
          <w:szCs w:val="32"/>
          <w:highlight w:val="none"/>
        </w:rPr>
      </w:pPr>
      <w:r>
        <w:rPr>
          <w:rFonts w:hint="eastAsia" w:ascii="仿宋" w:hAnsi="仿宋" w:eastAsia="仿宋" w:cs="仿宋_GB2312"/>
          <w:color w:val="000000"/>
          <w:kern w:val="2"/>
          <w:sz w:val="32"/>
          <w:szCs w:val="32"/>
          <w:lang w:val="en-US" w:eastAsia="zh-CN" w:bidi="ar-SA"/>
        </w:rPr>
        <w:t>抄送：</w:t>
      </w:r>
      <w:r>
        <w:rPr>
          <w:rFonts w:hint="eastAsia" w:ascii="仿宋_GB2312" w:hAnsi="仿宋_GB2312" w:eastAsia="仿宋_GB2312" w:cs="仿宋_GB2312"/>
          <w:color w:val="000000"/>
          <w:sz w:val="32"/>
          <w:szCs w:val="32"/>
          <w:highlight w:val="none"/>
          <w:lang w:val="en-US" w:eastAsia="zh-CN"/>
        </w:rPr>
        <w:t>衡南县</w:t>
      </w:r>
      <w:r>
        <w:rPr>
          <w:rFonts w:hint="eastAsia" w:ascii="仿宋_GB2312" w:hAnsi="仿宋_GB2312" w:eastAsia="仿宋_GB2312" w:cs="仿宋_GB2312"/>
          <w:color w:val="000000"/>
          <w:sz w:val="32"/>
          <w:szCs w:val="32"/>
          <w:highlight w:val="none"/>
        </w:rPr>
        <w:t>人民政府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衡阳市生态环境局</w:t>
      </w:r>
      <w:r>
        <w:rPr>
          <w:rFonts w:hint="eastAsia" w:ascii="仿宋_GB2312" w:hAnsi="仿宋_GB2312" w:eastAsia="仿宋_GB2312" w:cs="仿宋_GB2312"/>
          <w:color w:val="000000"/>
          <w:sz w:val="32"/>
          <w:szCs w:val="32"/>
          <w:highlight w:val="none"/>
          <w:lang w:val="en-US" w:eastAsia="zh-CN"/>
        </w:rPr>
        <w:t>衡南</w:t>
      </w:r>
      <w:r>
        <w:rPr>
          <w:rFonts w:hint="eastAsia" w:ascii="仿宋_GB2312" w:hAnsi="仿宋_GB2312" w:eastAsia="仿宋_GB2312" w:cs="仿宋_GB2312"/>
          <w:color w:val="000000"/>
          <w:sz w:val="32"/>
          <w:szCs w:val="32"/>
          <w:highlight w:val="none"/>
        </w:rPr>
        <w:t>分局</w:t>
      </w:r>
      <w:r>
        <w:rPr>
          <w:rFonts w:hint="eastAsia" w:ascii="仿宋_GB2312" w:hAnsi="仿宋_GB2312" w:eastAsia="仿宋_GB2312" w:cs="仿宋_GB2312"/>
          <w:color w:val="000000"/>
          <w:sz w:val="32"/>
          <w:szCs w:val="32"/>
          <w:highlight w:val="none"/>
          <w:lang w:eastAsia="zh-CN"/>
        </w:rPr>
        <w:t>、衡南高新技术产业开发区管理委员会、</w:t>
      </w:r>
      <w:r>
        <w:rPr>
          <w:rFonts w:hint="eastAsia" w:ascii="仿宋_GB2312" w:hAnsi="仿宋_GB2312" w:eastAsia="仿宋_GB2312" w:cs="仿宋_GB2312"/>
          <w:color w:val="000000"/>
          <w:sz w:val="32"/>
          <w:szCs w:val="32"/>
          <w:highlight w:val="none"/>
          <w:lang w:val="en-US" w:eastAsia="zh-CN"/>
        </w:rPr>
        <w:t>衡南县自然资源局</w:t>
      </w:r>
    </w:p>
    <w:p>
      <w:pPr>
        <w:rPr>
          <w:color w:val="00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F2CF0"/>
    <w:multiLevelType w:val="singleLevel"/>
    <w:tmpl w:val="5ABF2C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3E205"/>
    <w:rsid w:val="0DBF937D"/>
    <w:rsid w:val="37FF54FA"/>
    <w:rsid w:val="3BBFCA20"/>
    <w:rsid w:val="3FE345BF"/>
    <w:rsid w:val="5BE6B8AA"/>
    <w:rsid w:val="5BFE1AC9"/>
    <w:rsid w:val="5E7F70CD"/>
    <w:rsid w:val="5FFFBE62"/>
    <w:rsid w:val="65776698"/>
    <w:rsid w:val="6FF73D82"/>
    <w:rsid w:val="7273EEED"/>
    <w:rsid w:val="73EF4354"/>
    <w:rsid w:val="77DE076F"/>
    <w:rsid w:val="77FE62AF"/>
    <w:rsid w:val="7D9B2206"/>
    <w:rsid w:val="7DBFFF93"/>
    <w:rsid w:val="7EF277F9"/>
    <w:rsid w:val="7EFDC04D"/>
    <w:rsid w:val="7FBEEF02"/>
    <w:rsid w:val="ABBFC3CE"/>
    <w:rsid w:val="ACFFA29E"/>
    <w:rsid w:val="BB59F754"/>
    <w:rsid w:val="BF7D2FCF"/>
    <w:rsid w:val="BFBFA62B"/>
    <w:rsid w:val="D7EB667A"/>
    <w:rsid w:val="DBBF9B4D"/>
    <w:rsid w:val="DDF3E205"/>
    <w:rsid w:val="E5A84FF1"/>
    <w:rsid w:val="E6E9D1D7"/>
    <w:rsid w:val="EBDF7DA7"/>
    <w:rsid w:val="EDDE2F4D"/>
    <w:rsid w:val="EF7DF411"/>
    <w:rsid w:val="F2FF9405"/>
    <w:rsid w:val="F79F9F97"/>
    <w:rsid w:val="F7F4180B"/>
    <w:rsid w:val="F96FBA4A"/>
    <w:rsid w:val="F9FC20D9"/>
    <w:rsid w:val="FBA79D24"/>
    <w:rsid w:val="FCF07179"/>
    <w:rsid w:val="FFFF3E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Normal Indent"/>
    <w:basedOn w:val="1"/>
    <w:next w:val="3"/>
    <w:qFormat/>
    <w:uiPriority w:val="99"/>
    <w:pPr>
      <w:ind w:firstLine="420"/>
    </w:pPr>
    <w:rPr>
      <w:snapToGrid w:val="0"/>
      <w:kern w:val="0"/>
      <w:sz w:val="28"/>
      <w:szCs w:val="20"/>
    </w:rPr>
  </w:style>
  <w:style w:type="paragraph" w:styleId="3">
    <w:name w:val="Body Text First Indent 2"/>
    <w:basedOn w:val="4"/>
    <w:next w:val="1"/>
    <w:qFormat/>
    <w:uiPriority w:val="0"/>
    <w:pPr>
      <w:spacing w:line="324" w:lineRule="auto"/>
      <w:ind w:firstLine="420" w:firstLineChars="200"/>
    </w:pPr>
  </w:style>
  <w:style w:type="paragraph" w:styleId="4">
    <w:name w:val="Body Text Indent"/>
    <w:basedOn w:val="1"/>
    <w:next w:val="3"/>
    <w:qFormat/>
    <w:uiPriority w:val="0"/>
    <w:pPr>
      <w:spacing w:after="120"/>
      <w:ind w:left="420" w:leftChars="200"/>
    </w:pPr>
  </w:style>
  <w:style w:type="paragraph" w:styleId="5">
    <w:name w:val="Body Text"/>
    <w:basedOn w:val="1"/>
    <w:next w:val="1"/>
    <w:unhideWhenUsed/>
    <w:qFormat/>
    <w:uiPriority w:val="99"/>
    <w:pPr>
      <w:tabs>
        <w:tab w:val="left" w:pos="1021"/>
      </w:tabs>
      <w:spacing w:after="120"/>
    </w:pPr>
    <w:rPr>
      <w:kern w:val="0"/>
    </w:rPr>
  </w:style>
  <w:style w:type="paragraph" w:styleId="6">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4329</Words>
  <Characters>4697</Characters>
  <Lines>0</Lines>
  <Paragraphs>0</Paragraphs>
  <TotalTime>6.66666666666667</TotalTime>
  <ScaleCrop>false</ScaleCrop>
  <LinksUpToDate>false</LinksUpToDate>
  <CharactersWithSpaces>4705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2026-04-30T02:12:00Z</dcterms:created>
  <dc:creator>kylin</dc:creator>
  <cp:lastModifiedBy>kylin</cp:lastModifiedBy>
  <cp:lastPrinted>2026-05-23T15:49:13Z</cp:lastPrinted>
  <dcterms:modified xsi:type="dcterms:W3CDTF">2026-05-25T17:42:02Z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eyJoZGlkIjoiYzU3MTcyOTg2ODBmNTI0ZGQ4NWU4MzA2YzA3ODE2MDAiLCJ1c2VySWQiOiIxNTY1NzkwNzg4In0=</vt:lpwstr>
  </property>
  <property fmtid="{D5CDD505-2E9C-101B-9397-08002B2CF9AE}" pid="4" name="ICV">
    <vt:lpwstr>2FEA9FC3DECC497ABD45ACBF6E5C5490_13</vt:lpwstr>
  </property>
</Properties>
</file>