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9AFD8">
      <w:pPr>
        <w:keepNext/>
        <w:widowControl/>
        <w:shd w:val="clear" w:color="auto" w:fill="FFFFFF"/>
        <w:kinsoku w:val="0"/>
        <w:autoSpaceDE w:val="0"/>
        <w:autoSpaceDN w:val="0"/>
        <w:adjustRightInd w:val="0"/>
        <w:snapToGrid w:val="0"/>
        <w:spacing w:line="600" w:lineRule="exact"/>
        <w:jc w:val="center"/>
        <w:textAlignment w:val="baseline"/>
        <w:outlineLvl w:val="1"/>
        <w:rPr>
          <w:rFonts w:hint="eastAsia" w:cs="宋体"/>
          <w:color w:val="auto"/>
          <w:sz w:val="40"/>
          <w:szCs w:val="40"/>
          <w:highlight w:val="none"/>
        </w:rPr>
      </w:pPr>
      <w:bookmarkStart w:id="0" w:name="_Toc11812"/>
      <w:r>
        <w:rPr>
          <w:rFonts w:hint="eastAsia" w:cs="宋体"/>
          <w:color w:val="auto"/>
          <w:sz w:val="40"/>
          <w:szCs w:val="40"/>
          <w:highlight w:val="none"/>
        </w:rPr>
        <w:t>衡阳市滨江污水处理厂委托运营（O&amp;M)项目</w:t>
      </w:r>
    </w:p>
    <w:p w14:paraId="177C7C68">
      <w:pPr>
        <w:keepNext/>
        <w:widowControl/>
        <w:shd w:val="clear" w:color="auto" w:fill="FFFFFF"/>
        <w:kinsoku w:val="0"/>
        <w:autoSpaceDE w:val="0"/>
        <w:autoSpaceDN w:val="0"/>
        <w:adjustRightInd w:val="0"/>
        <w:snapToGrid w:val="0"/>
        <w:spacing w:line="600" w:lineRule="exact"/>
        <w:jc w:val="center"/>
        <w:textAlignment w:val="baseline"/>
        <w:outlineLvl w:val="1"/>
        <w:rPr>
          <w:rFonts w:hint="eastAsia" w:ascii="Times New Roman" w:hAnsi="Times New Roman" w:eastAsia="宋体" w:cs="Times New Roman"/>
          <w:b/>
          <w:bCs/>
          <w:snapToGrid w:val="0"/>
          <w:color w:val="auto"/>
          <w:spacing w:val="6"/>
          <w:kern w:val="0"/>
          <w:sz w:val="32"/>
          <w:szCs w:val="32"/>
          <w:highlight w:val="none"/>
          <w:lang w:eastAsia="zh-CN"/>
        </w:rPr>
      </w:pPr>
      <w:r>
        <w:rPr>
          <w:rFonts w:hint="eastAsia" w:cs="宋体"/>
          <w:color w:val="auto"/>
          <w:sz w:val="40"/>
          <w:szCs w:val="40"/>
          <w:highlight w:val="none"/>
          <w:lang w:eastAsia="zh-CN"/>
        </w:rPr>
        <w:t>采购需求</w:t>
      </w:r>
    </w:p>
    <w:p w14:paraId="7747C92E">
      <w:pPr>
        <w:keepNext/>
        <w:widowControl/>
        <w:shd w:val="clear" w:color="auto" w:fill="FFFFFF"/>
        <w:kinsoku w:val="0"/>
        <w:autoSpaceDE w:val="0"/>
        <w:autoSpaceDN w:val="0"/>
        <w:adjustRightInd w:val="0"/>
        <w:snapToGrid w:val="0"/>
        <w:spacing w:line="600" w:lineRule="exact"/>
        <w:jc w:val="left"/>
        <w:textAlignment w:val="baseline"/>
        <w:outlineLvl w:val="1"/>
        <w:rPr>
          <w:rFonts w:ascii="Times New Roman" w:hAnsi="Times New Roman" w:eastAsia="黑体" w:cs="Times New Roman"/>
          <w:b/>
          <w:snapToGrid w:val="0"/>
          <w:color w:val="auto"/>
          <w:spacing w:val="6"/>
          <w:kern w:val="0"/>
          <w:sz w:val="24"/>
          <w:szCs w:val="24"/>
          <w:highlight w:val="none"/>
        </w:rPr>
      </w:pPr>
      <w:r>
        <w:rPr>
          <w:rFonts w:hint="eastAsia" w:ascii="Times New Roman" w:hAnsi="Times New Roman" w:eastAsia="黑体" w:cs="Times New Roman"/>
          <w:b/>
          <w:bCs/>
          <w:snapToGrid w:val="0"/>
          <w:color w:val="auto"/>
          <w:spacing w:val="6"/>
          <w:kern w:val="0"/>
          <w:sz w:val="24"/>
          <w:szCs w:val="24"/>
          <w:highlight w:val="none"/>
        </w:rPr>
        <w:t>1、运营范围及</w:t>
      </w:r>
      <w:r>
        <w:rPr>
          <w:rFonts w:ascii="Times New Roman" w:hAnsi="Times New Roman" w:eastAsia="黑体" w:cs="Times New Roman"/>
          <w:b/>
          <w:bCs/>
          <w:snapToGrid w:val="0"/>
          <w:color w:val="auto"/>
          <w:spacing w:val="6"/>
          <w:kern w:val="0"/>
          <w:sz w:val="24"/>
          <w:szCs w:val="24"/>
          <w:highlight w:val="none"/>
        </w:rPr>
        <w:t>内容</w:t>
      </w:r>
      <w:bookmarkEnd w:id="0"/>
    </w:p>
    <w:p w14:paraId="3B72E11A">
      <w:pPr>
        <w:widowControl/>
        <w:kinsoku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bookmarkStart w:id="1" w:name="OLE_LINK1"/>
      <w:r>
        <w:rPr>
          <w:rFonts w:ascii="Times New Roman" w:hAnsi="Times New Roman" w:eastAsia="Arial" w:cs="Times New Roman"/>
          <w:snapToGrid w:val="0"/>
          <w:color w:val="auto"/>
          <w:kern w:val="0"/>
          <w:sz w:val="24"/>
          <w:szCs w:val="24"/>
          <w:highlight w:val="none"/>
        </w:rPr>
        <w:t>本项目运营</w:t>
      </w:r>
      <w:r>
        <w:rPr>
          <w:rFonts w:hint="eastAsia" w:ascii="Times New Roman" w:hAnsi="Times New Roman" w:eastAsia="Arial" w:cs="Times New Roman"/>
          <w:snapToGrid w:val="0"/>
          <w:color w:val="auto"/>
          <w:kern w:val="0"/>
          <w:sz w:val="24"/>
          <w:szCs w:val="24"/>
          <w:highlight w:val="none"/>
        </w:rPr>
        <w:t>范围及</w:t>
      </w:r>
      <w:r>
        <w:rPr>
          <w:rFonts w:ascii="Times New Roman" w:hAnsi="Times New Roman" w:eastAsia="Arial" w:cs="Times New Roman"/>
          <w:snapToGrid w:val="0"/>
          <w:color w:val="auto"/>
          <w:kern w:val="0"/>
          <w:sz w:val="24"/>
          <w:szCs w:val="24"/>
          <w:highlight w:val="none"/>
        </w:rPr>
        <w:t>内容如下：</w:t>
      </w:r>
    </w:p>
    <w:p w14:paraId="13B869A1">
      <w:pPr>
        <w:widowControl/>
        <w:kinsoku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bookmarkStart w:id="2" w:name="_Toc13140"/>
      <w:r>
        <w:rPr>
          <w:rFonts w:hint="eastAsia" w:ascii="Times New Roman" w:hAnsi="Times New Roman" w:eastAsia="Arial" w:cs="Times New Roman"/>
          <w:snapToGrid w:val="0"/>
          <w:color w:val="auto"/>
          <w:kern w:val="0"/>
          <w:sz w:val="24"/>
          <w:szCs w:val="24"/>
          <w:highlight w:val="none"/>
        </w:rPr>
        <w:t>（1）运营范围</w:t>
      </w:r>
    </w:p>
    <w:p w14:paraId="326A356A">
      <w:pPr>
        <w:widowControl/>
        <w:kinsoku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已建成的衡阳市滨江污水处理厂一期工程，处理规模4万m³/d；厂内建构筑物包括粗格栅及提升泵站、细格栅及曝气沉砂池、改良型AAO生物池、二沉池、污泥泵站、高密度沉淀池、反硝化滤池、组合池、加药间、鼓风机房及变配电间、污泥浓缩池、污泥脱水机房、除臭装置、危废间、科学管理中心、门卫。（不包含厂外一体化提升泵站及配套管网）</w:t>
      </w:r>
    </w:p>
    <w:p w14:paraId="414BDEEE">
      <w:pPr>
        <w:widowControl/>
        <w:kinsoku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（2）运维内容</w:t>
      </w:r>
    </w:p>
    <w:p w14:paraId="3D315D19">
      <w:pPr>
        <w:widowControl/>
        <w:kinsoku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包括对新建污水处理厂工程的日常运行、设备设施、工艺、结构、管线等日常的巡检，工艺调控、水质监测及水质异常处置、设备设施的维护维修保养等（不含主要设备更换、升级、改造）。</w:t>
      </w:r>
    </w:p>
    <w:p w14:paraId="273C86B6">
      <w:pPr>
        <w:keepNext/>
        <w:widowControl/>
        <w:shd w:val="clear" w:color="auto" w:fill="FFFFFF"/>
        <w:kinsoku w:val="0"/>
        <w:autoSpaceDE w:val="0"/>
        <w:autoSpaceDN w:val="0"/>
        <w:adjustRightInd w:val="0"/>
        <w:snapToGrid w:val="0"/>
        <w:spacing w:line="600" w:lineRule="exact"/>
        <w:jc w:val="left"/>
        <w:textAlignment w:val="baseline"/>
        <w:outlineLvl w:val="1"/>
        <w:rPr>
          <w:rFonts w:ascii="Times New Roman" w:hAnsi="Times New Roman" w:eastAsia="黑体" w:cs="Times New Roman"/>
          <w:b/>
          <w:snapToGrid w:val="0"/>
          <w:color w:val="auto"/>
          <w:spacing w:val="6"/>
          <w:kern w:val="0"/>
          <w:sz w:val="24"/>
          <w:szCs w:val="24"/>
          <w:highlight w:val="none"/>
        </w:rPr>
      </w:pPr>
      <w:r>
        <w:rPr>
          <w:rFonts w:hint="eastAsia" w:ascii="Times New Roman" w:hAnsi="Times New Roman" w:eastAsia="黑体" w:cs="Times New Roman"/>
          <w:b/>
          <w:bCs/>
          <w:snapToGrid w:val="0"/>
          <w:color w:val="auto"/>
          <w:spacing w:val="6"/>
          <w:kern w:val="0"/>
          <w:sz w:val="24"/>
          <w:szCs w:val="24"/>
          <w:highlight w:val="none"/>
        </w:rPr>
        <w:t>2、出水标准</w:t>
      </w:r>
      <w:bookmarkEnd w:id="2"/>
    </w:p>
    <w:p w14:paraId="3AB4F4D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宋体" w:cs="Times New Roman"/>
          <w:snapToGrid w:val="0"/>
          <w:color w:val="auto"/>
          <w:kern w:val="0"/>
          <w:sz w:val="24"/>
          <w:szCs w:val="24"/>
          <w:highlight w:val="none"/>
        </w:rPr>
      </w:pPr>
      <w:r>
        <w:rPr>
          <w:rFonts w:ascii="Times New Roman" w:hAnsi="Times New Roman" w:eastAsia="Arial" w:cs="Times New Roman"/>
          <w:snapToGrid w:val="0"/>
          <w:color w:val="auto"/>
          <w:kern w:val="0"/>
          <w:sz w:val="24"/>
          <w:szCs w:val="24"/>
          <w:highlight w:val="none"/>
        </w:rPr>
        <w:t>出水标准执行地方《湖南省城镇污水处理厂主要水污染物排放标准》（DB43∕T1546-2018）一级标准，上述标准中未规定的其他指标执行《城镇污水处理厂污染物排放标准》（GB18918-2002）中一级A标准。污水处理厂运营维护应符合《城镇污水处理厂运行监督管理技术规范》（HJ2038-2014）、《城镇污水处理厂运行、维护及安全技术规程》（CJJ60-2011）及其他有关法律的相关规定，</w:t>
      </w:r>
      <w:r>
        <w:rPr>
          <w:rFonts w:hint="eastAsia" w:ascii="Arial" w:hAnsi="Arial" w:eastAsia="Arial" w:cs="Times New Roman"/>
          <w:snapToGrid w:val="0"/>
          <w:color w:val="auto"/>
          <w:kern w:val="0"/>
          <w:sz w:val="24"/>
          <w:szCs w:val="24"/>
          <w:highlight w:val="none"/>
        </w:rPr>
        <w:t>污水处理率达到100%、城市再生水资源利用率达到15%以上。</w:t>
      </w:r>
      <w:r>
        <w:rPr>
          <w:rFonts w:ascii="Times New Roman" w:hAnsi="Times New Roman" w:eastAsia="Arial" w:cs="Times New Roman"/>
          <w:snapToGrid w:val="0"/>
          <w:color w:val="auto"/>
          <w:kern w:val="0"/>
          <w:sz w:val="24"/>
          <w:szCs w:val="24"/>
          <w:highlight w:val="none"/>
        </w:rPr>
        <w:t>出水水质考核指标如下表所示：</w:t>
      </w:r>
      <w:r>
        <w:rPr>
          <w:rFonts w:hint="eastAsia" w:ascii="Times New Roman" w:hAnsi="Times New Roman" w:eastAsia="宋体" w:cs="Times New Roman"/>
          <w:snapToGrid w:val="0"/>
          <w:color w:val="auto"/>
          <w:kern w:val="0"/>
          <w:sz w:val="24"/>
          <w:szCs w:val="24"/>
          <w:highlight w:val="none"/>
        </w:rPr>
        <w:t>（</w:t>
      </w:r>
      <w:r>
        <w:rPr>
          <w:rFonts w:ascii="Times New Roman" w:hAnsi="Times New Roman" w:eastAsia="Arial" w:cs="Times New Roman"/>
          <w:snapToGrid w:val="0"/>
          <w:color w:val="auto"/>
          <w:kern w:val="0"/>
          <w:sz w:val="24"/>
          <w:szCs w:val="24"/>
          <w:highlight w:val="none"/>
        </w:rPr>
        <w:t>具体以</w:t>
      </w:r>
      <w:r>
        <w:rPr>
          <w:rFonts w:hint="eastAsia" w:ascii="Times New Roman" w:hAnsi="Times New Roman" w:eastAsia="宋体" w:cs="Times New Roman"/>
          <w:snapToGrid w:val="0"/>
          <w:color w:val="auto"/>
          <w:kern w:val="0"/>
          <w:sz w:val="24"/>
          <w:szCs w:val="24"/>
          <w:highlight w:val="none"/>
        </w:rPr>
        <w:t>实际签订的</w:t>
      </w:r>
      <w:r>
        <w:rPr>
          <w:rFonts w:ascii="Times New Roman" w:hAnsi="Times New Roman" w:eastAsia="Arial" w:cs="Times New Roman"/>
          <w:snapToGrid w:val="0"/>
          <w:color w:val="auto"/>
          <w:kern w:val="0"/>
          <w:sz w:val="24"/>
          <w:szCs w:val="24"/>
          <w:highlight w:val="none"/>
        </w:rPr>
        <w:t>《</w:t>
      </w:r>
      <w:r>
        <w:rPr>
          <w:rFonts w:hint="eastAsia" w:ascii="Times New Roman" w:hAnsi="Times New Roman" w:eastAsia="Arial" w:cs="Times New Roman"/>
          <w:snapToGrid w:val="0"/>
          <w:color w:val="auto"/>
          <w:kern w:val="0"/>
          <w:sz w:val="24"/>
          <w:szCs w:val="24"/>
          <w:highlight w:val="none"/>
        </w:rPr>
        <w:t>委托</w:t>
      </w:r>
      <w:r>
        <w:rPr>
          <w:rFonts w:ascii="Times New Roman" w:hAnsi="Times New Roman" w:eastAsia="Arial" w:cs="Times New Roman"/>
          <w:snapToGrid w:val="0"/>
          <w:color w:val="auto"/>
          <w:kern w:val="0"/>
          <w:sz w:val="24"/>
          <w:szCs w:val="24"/>
          <w:highlight w:val="none"/>
        </w:rPr>
        <w:t>经营协议》约定为准</w:t>
      </w:r>
      <w:r>
        <w:rPr>
          <w:rFonts w:hint="eastAsia" w:ascii="Times New Roman" w:hAnsi="Times New Roman" w:eastAsia="宋体" w:cs="Times New Roman"/>
          <w:snapToGrid w:val="0"/>
          <w:color w:val="auto"/>
          <w:kern w:val="0"/>
          <w:sz w:val="24"/>
          <w:szCs w:val="24"/>
          <w:highlight w:val="none"/>
        </w:rPr>
        <w:t>）</w:t>
      </w:r>
    </w:p>
    <w:p w14:paraId="3B0D2661">
      <w:pPr>
        <w:pStyle w:val="4"/>
        <w:spacing w:line="6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表</w:t>
      </w:r>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-1滨江污水处理厂出水水质</w:t>
      </w:r>
      <w:r>
        <w:rPr>
          <w:rFonts w:hint="eastAsia" w:cs="Times New Roman"/>
          <w:color w:val="auto"/>
          <w:sz w:val="24"/>
          <w:szCs w:val="24"/>
          <w:highlight w:val="none"/>
        </w:rPr>
        <w:t>指标</w:t>
      </w:r>
      <w:r>
        <w:rPr>
          <w:rFonts w:ascii="Times New Roman" w:hAnsi="Times New Roman" w:cs="Times New Roman"/>
          <w:color w:val="auto"/>
          <w:sz w:val="24"/>
          <w:szCs w:val="24"/>
          <w:highlight w:val="none"/>
        </w:rPr>
        <w:t>（单位：mg/L）</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893"/>
        <w:gridCol w:w="991"/>
        <w:gridCol w:w="991"/>
        <w:gridCol w:w="1277"/>
        <w:gridCol w:w="991"/>
        <w:gridCol w:w="993"/>
        <w:gridCol w:w="1895"/>
      </w:tblGrid>
      <w:tr w14:paraId="1023D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176" w:type="dxa"/>
            <w:noWrap w:val="0"/>
            <w:vAlign w:val="center"/>
          </w:tcPr>
          <w:p w14:paraId="3F36BBF0">
            <w:pPr>
              <w:widowControl/>
              <w:kinsoku w:val="0"/>
              <w:autoSpaceDE w:val="0"/>
              <w:autoSpaceDN w:val="0"/>
              <w:adjustRightInd w:val="0"/>
              <w:snapToGrid w:val="0"/>
              <w:spacing w:line="600" w:lineRule="exact"/>
              <w:ind w:left="207" w:right="198"/>
              <w:jc w:val="center"/>
              <w:textAlignment w:val="baseline"/>
              <w:rPr>
                <w:rFonts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指标</w:t>
            </w:r>
          </w:p>
        </w:tc>
        <w:tc>
          <w:tcPr>
            <w:tcW w:w="893" w:type="dxa"/>
            <w:noWrap w:val="0"/>
            <w:vAlign w:val="center"/>
          </w:tcPr>
          <w:p w14:paraId="45D5B562">
            <w:pPr>
              <w:widowControl/>
              <w:kinsoku w:val="0"/>
              <w:autoSpaceDE w:val="0"/>
              <w:autoSpaceDN w:val="0"/>
              <w:adjustRightInd w:val="0"/>
              <w:snapToGrid w:val="0"/>
              <w:spacing w:before="7" w:line="600" w:lineRule="exact"/>
              <w:ind w:left="95" w:right="84"/>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position w:val="2"/>
                <w:sz w:val="24"/>
                <w:szCs w:val="24"/>
                <w:highlight w:val="none"/>
              </w:rPr>
              <w:t>COD</w:t>
            </w:r>
            <w:r>
              <w:rPr>
                <w:rFonts w:ascii="Times New Roman" w:hAnsi="Times New Roman" w:eastAsia="Times New Roman" w:cs="Times New Roman"/>
                <w:snapToGrid w:val="0"/>
                <w:color w:val="auto"/>
                <w:kern w:val="0"/>
                <w:position w:val="2"/>
                <w:sz w:val="24"/>
                <w:szCs w:val="24"/>
                <w:highlight w:val="none"/>
                <w:vertAlign w:val="subscript"/>
              </w:rPr>
              <w:t>Cr</w:t>
            </w:r>
          </w:p>
        </w:tc>
        <w:tc>
          <w:tcPr>
            <w:tcW w:w="991" w:type="dxa"/>
            <w:noWrap w:val="0"/>
            <w:vAlign w:val="center"/>
          </w:tcPr>
          <w:p w14:paraId="0D1216FB">
            <w:pPr>
              <w:widowControl/>
              <w:kinsoku w:val="0"/>
              <w:autoSpaceDE w:val="0"/>
              <w:autoSpaceDN w:val="0"/>
              <w:adjustRightInd w:val="0"/>
              <w:snapToGrid w:val="0"/>
              <w:spacing w:before="7" w:line="600" w:lineRule="exact"/>
              <w:ind w:left="180" w:right="175"/>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position w:val="2"/>
                <w:sz w:val="24"/>
                <w:szCs w:val="24"/>
                <w:highlight w:val="none"/>
              </w:rPr>
              <w:t>BOD</w:t>
            </w:r>
            <w:r>
              <w:rPr>
                <w:rFonts w:ascii="Times New Roman" w:hAnsi="Times New Roman" w:eastAsia="Times New Roman" w:cs="Times New Roman"/>
                <w:snapToGrid w:val="0"/>
                <w:color w:val="auto"/>
                <w:kern w:val="0"/>
                <w:position w:val="2"/>
                <w:sz w:val="24"/>
                <w:szCs w:val="24"/>
                <w:highlight w:val="none"/>
                <w:vertAlign w:val="subscript"/>
              </w:rPr>
              <w:t>5</w:t>
            </w:r>
          </w:p>
        </w:tc>
        <w:tc>
          <w:tcPr>
            <w:tcW w:w="991" w:type="dxa"/>
            <w:noWrap w:val="0"/>
            <w:vAlign w:val="center"/>
          </w:tcPr>
          <w:p w14:paraId="3E9C563F">
            <w:pPr>
              <w:widowControl/>
              <w:kinsoku w:val="0"/>
              <w:autoSpaceDE w:val="0"/>
              <w:autoSpaceDN w:val="0"/>
              <w:adjustRightInd w:val="0"/>
              <w:snapToGrid w:val="0"/>
              <w:spacing w:before="8" w:line="600" w:lineRule="exact"/>
              <w:ind w:left="180" w:right="168"/>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SS</w:t>
            </w:r>
          </w:p>
        </w:tc>
        <w:tc>
          <w:tcPr>
            <w:tcW w:w="1277" w:type="dxa"/>
            <w:noWrap w:val="0"/>
            <w:vAlign w:val="center"/>
          </w:tcPr>
          <w:p w14:paraId="590A8A5A">
            <w:pPr>
              <w:widowControl/>
              <w:kinsoku w:val="0"/>
              <w:autoSpaceDE w:val="0"/>
              <w:autoSpaceDN w:val="0"/>
              <w:adjustRightInd w:val="0"/>
              <w:snapToGrid w:val="0"/>
              <w:spacing w:line="600" w:lineRule="exact"/>
              <w:ind w:left="107" w:right="98"/>
              <w:jc w:val="center"/>
              <w:textAlignment w:val="baseline"/>
              <w:rPr>
                <w:rFonts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氨氮</w:t>
            </w:r>
          </w:p>
        </w:tc>
        <w:tc>
          <w:tcPr>
            <w:tcW w:w="991" w:type="dxa"/>
            <w:noWrap w:val="0"/>
            <w:vAlign w:val="center"/>
          </w:tcPr>
          <w:p w14:paraId="7DC80901">
            <w:pPr>
              <w:widowControl/>
              <w:kinsoku w:val="0"/>
              <w:autoSpaceDE w:val="0"/>
              <w:autoSpaceDN w:val="0"/>
              <w:adjustRightInd w:val="0"/>
              <w:snapToGrid w:val="0"/>
              <w:spacing w:before="8" w:line="600" w:lineRule="exact"/>
              <w:ind w:left="180" w:right="170"/>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TN</w:t>
            </w:r>
          </w:p>
        </w:tc>
        <w:tc>
          <w:tcPr>
            <w:tcW w:w="993" w:type="dxa"/>
            <w:noWrap w:val="0"/>
            <w:vAlign w:val="center"/>
          </w:tcPr>
          <w:p w14:paraId="54920B28">
            <w:pPr>
              <w:widowControl/>
              <w:kinsoku w:val="0"/>
              <w:autoSpaceDE w:val="0"/>
              <w:autoSpaceDN w:val="0"/>
              <w:adjustRightInd w:val="0"/>
              <w:snapToGrid w:val="0"/>
              <w:spacing w:before="8" w:line="600" w:lineRule="exact"/>
              <w:ind w:left="129" w:right="122"/>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TP</w:t>
            </w:r>
          </w:p>
        </w:tc>
        <w:tc>
          <w:tcPr>
            <w:tcW w:w="1895" w:type="dxa"/>
            <w:noWrap w:val="0"/>
            <w:vAlign w:val="center"/>
          </w:tcPr>
          <w:p w14:paraId="231693B8">
            <w:pPr>
              <w:widowControl/>
              <w:kinsoku w:val="0"/>
              <w:autoSpaceDE w:val="0"/>
              <w:autoSpaceDN w:val="0"/>
              <w:adjustRightInd w:val="0"/>
              <w:snapToGrid w:val="0"/>
              <w:spacing w:line="600" w:lineRule="exact"/>
              <w:ind w:left="208" w:right="196"/>
              <w:jc w:val="center"/>
              <w:textAlignment w:val="baseline"/>
              <w:rPr>
                <w:rFonts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粪大肠菌群数</w:t>
            </w:r>
          </w:p>
        </w:tc>
      </w:tr>
      <w:tr w14:paraId="2E6B7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1176" w:type="dxa"/>
            <w:noWrap w:val="0"/>
            <w:vAlign w:val="center"/>
          </w:tcPr>
          <w:p w14:paraId="40385661">
            <w:pPr>
              <w:widowControl/>
              <w:kinsoku w:val="0"/>
              <w:autoSpaceDE w:val="0"/>
              <w:autoSpaceDN w:val="0"/>
              <w:adjustRightInd w:val="0"/>
              <w:snapToGrid w:val="0"/>
              <w:spacing w:before="172" w:line="600" w:lineRule="exact"/>
              <w:ind w:left="207" w:right="198"/>
              <w:jc w:val="center"/>
              <w:textAlignment w:val="baseline"/>
              <w:rPr>
                <w:rFonts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设计值</w:t>
            </w:r>
          </w:p>
        </w:tc>
        <w:tc>
          <w:tcPr>
            <w:tcW w:w="893" w:type="dxa"/>
            <w:noWrap w:val="0"/>
            <w:vAlign w:val="center"/>
          </w:tcPr>
          <w:p w14:paraId="565CD1DE">
            <w:pPr>
              <w:widowControl/>
              <w:kinsoku w:val="0"/>
              <w:autoSpaceDE w:val="0"/>
              <w:autoSpaceDN w:val="0"/>
              <w:adjustRightInd w:val="0"/>
              <w:snapToGrid w:val="0"/>
              <w:spacing w:before="172" w:line="600" w:lineRule="exact"/>
              <w:ind w:left="93" w:right="84"/>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≤30</w:t>
            </w:r>
          </w:p>
        </w:tc>
        <w:tc>
          <w:tcPr>
            <w:tcW w:w="991" w:type="dxa"/>
            <w:noWrap w:val="0"/>
            <w:vAlign w:val="center"/>
          </w:tcPr>
          <w:p w14:paraId="79DC82AE">
            <w:pPr>
              <w:widowControl/>
              <w:kinsoku w:val="0"/>
              <w:autoSpaceDE w:val="0"/>
              <w:autoSpaceDN w:val="0"/>
              <w:adjustRightInd w:val="0"/>
              <w:snapToGrid w:val="0"/>
              <w:spacing w:before="172" w:line="600" w:lineRule="exact"/>
              <w:ind w:left="180" w:right="173"/>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≤10</w:t>
            </w:r>
          </w:p>
        </w:tc>
        <w:tc>
          <w:tcPr>
            <w:tcW w:w="991" w:type="dxa"/>
            <w:noWrap w:val="0"/>
            <w:vAlign w:val="center"/>
          </w:tcPr>
          <w:p w14:paraId="72C02988">
            <w:pPr>
              <w:widowControl/>
              <w:kinsoku w:val="0"/>
              <w:autoSpaceDE w:val="0"/>
              <w:autoSpaceDN w:val="0"/>
              <w:adjustRightInd w:val="0"/>
              <w:snapToGrid w:val="0"/>
              <w:spacing w:before="172" w:line="600" w:lineRule="exact"/>
              <w:ind w:left="180" w:right="173"/>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≤10</w:t>
            </w:r>
          </w:p>
        </w:tc>
        <w:tc>
          <w:tcPr>
            <w:tcW w:w="1277" w:type="dxa"/>
            <w:noWrap w:val="0"/>
            <w:vAlign w:val="center"/>
          </w:tcPr>
          <w:p w14:paraId="2304B67D">
            <w:pPr>
              <w:widowControl/>
              <w:kinsoku w:val="0"/>
              <w:autoSpaceDE w:val="0"/>
              <w:autoSpaceDN w:val="0"/>
              <w:adjustRightInd w:val="0"/>
              <w:snapToGrid w:val="0"/>
              <w:spacing w:before="172" w:line="600" w:lineRule="exact"/>
              <w:ind w:left="107" w:right="100"/>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1.5</w:t>
            </w:r>
            <w:r>
              <w:rPr>
                <w:rFonts w:hint="eastAsia" w:ascii="Times New Roman" w:hAnsi="Times New Roman" w:eastAsia="宋体" w:cs="Times New Roman"/>
                <w:snapToGrid w:val="0"/>
                <w:color w:val="auto"/>
                <w:kern w:val="0"/>
                <w:sz w:val="24"/>
                <w:szCs w:val="24"/>
                <w:highlight w:val="none"/>
              </w:rPr>
              <w:t>(</w:t>
            </w:r>
            <w:r>
              <w:rPr>
                <w:rFonts w:ascii="Times New Roman" w:hAnsi="Times New Roman" w:eastAsia="Times New Roman" w:cs="Times New Roman"/>
                <w:snapToGrid w:val="0"/>
                <w:color w:val="auto"/>
                <w:kern w:val="0"/>
                <w:sz w:val="24"/>
                <w:szCs w:val="24"/>
                <w:highlight w:val="none"/>
              </w:rPr>
              <w:t>3</w:t>
            </w:r>
            <w:r>
              <w:rPr>
                <w:rFonts w:hint="eastAsia" w:ascii="Times New Roman" w:hAnsi="Times New Roman" w:eastAsia="宋体" w:cs="Times New Roman"/>
                <w:snapToGrid w:val="0"/>
                <w:color w:val="auto"/>
                <w:kern w:val="0"/>
                <w:sz w:val="24"/>
                <w:szCs w:val="24"/>
                <w:highlight w:val="none"/>
              </w:rPr>
              <w:t>)</w:t>
            </w:r>
            <w:r>
              <w:rPr>
                <w:rFonts w:ascii="Times New Roman" w:hAnsi="Times New Roman" w:eastAsia="Times New Roman" w:cs="Times New Roman"/>
                <w:snapToGrid w:val="0"/>
                <w:color w:val="auto"/>
                <w:kern w:val="0"/>
                <w:sz w:val="24"/>
                <w:szCs w:val="24"/>
                <w:highlight w:val="none"/>
              </w:rPr>
              <w:t>*</w:t>
            </w:r>
          </w:p>
        </w:tc>
        <w:tc>
          <w:tcPr>
            <w:tcW w:w="991" w:type="dxa"/>
            <w:noWrap w:val="0"/>
            <w:vAlign w:val="center"/>
          </w:tcPr>
          <w:p w14:paraId="3288B3C2">
            <w:pPr>
              <w:widowControl/>
              <w:kinsoku w:val="0"/>
              <w:autoSpaceDE w:val="0"/>
              <w:autoSpaceDN w:val="0"/>
              <w:adjustRightInd w:val="0"/>
              <w:snapToGrid w:val="0"/>
              <w:spacing w:before="172" w:line="600" w:lineRule="exact"/>
              <w:ind w:left="180" w:right="173"/>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≤10</w:t>
            </w:r>
          </w:p>
        </w:tc>
        <w:tc>
          <w:tcPr>
            <w:tcW w:w="993" w:type="dxa"/>
            <w:noWrap w:val="0"/>
            <w:vAlign w:val="center"/>
          </w:tcPr>
          <w:p w14:paraId="401DE04C">
            <w:pPr>
              <w:widowControl/>
              <w:kinsoku w:val="0"/>
              <w:autoSpaceDE w:val="0"/>
              <w:autoSpaceDN w:val="0"/>
              <w:adjustRightInd w:val="0"/>
              <w:snapToGrid w:val="0"/>
              <w:spacing w:before="172" w:line="600" w:lineRule="exact"/>
              <w:ind w:left="130" w:right="122"/>
              <w:jc w:val="center"/>
              <w:textAlignment w:val="baseline"/>
              <w:rPr>
                <w:rFonts w:ascii="Times New Roman" w:hAnsi="Times New Roman" w:eastAsia="Times New Roman" w:cs="Times New Roman"/>
                <w:snapToGrid w:val="0"/>
                <w:color w:val="auto"/>
                <w:kern w:val="0"/>
                <w:sz w:val="24"/>
                <w:szCs w:val="24"/>
                <w:highlight w:val="none"/>
              </w:rPr>
            </w:pPr>
            <w:r>
              <w:rPr>
                <w:rFonts w:ascii="Times New Roman" w:hAnsi="Times New Roman" w:eastAsia="Times New Roman" w:cs="Times New Roman"/>
                <w:snapToGrid w:val="0"/>
                <w:color w:val="auto"/>
                <w:kern w:val="0"/>
                <w:sz w:val="24"/>
                <w:szCs w:val="24"/>
                <w:highlight w:val="none"/>
              </w:rPr>
              <w:t>≤0.3</w:t>
            </w:r>
          </w:p>
        </w:tc>
        <w:tc>
          <w:tcPr>
            <w:tcW w:w="1895" w:type="dxa"/>
            <w:noWrap w:val="0"/>
            <w:vAlign w:val="center"/>
          </w:tcPr>
          <w:p w14:paraId="4FF292BC">
            <w:pPr>
              <w:widowControl/>
              <w:kinsoku w:val="0"/>
              <w:autoSpaceDE w:val="0"/>
              <w:autoSpaceDN w:val="0"/>
              <w:adjustRightInd w:val="0"/>
              <w:snapToGrid w:val="0"/>
              <w:spacing w:before="172" w:line="600" w:lineRule="exact"/>
              <w:ind w:left="205" w:right="196"/>
              <w:jc w:val="center"/>
              <w:textAlignment w:val="baseline"/>
              <w:rPr>
                <w:rFonts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≤1000</w:t>
            </w:r>
            <w:r>
              <w:rPr>
                <w:rFonts w:hint="eastAsia" w:ascii="Times New Roman" w:hAnsi="Times New Roman" w:eastAsia="宋体" w:cs="Times New Roman"/>
                <w:snapToGrid w:val="0"/>
                <w:color w:val="auto"/>
                <w:kern w:val="0"/>
                <w:sz w:val="24"/>
                <w:szCs w:val="24"/>
                <w:highlight w:val="none"/>
                <w:lang w:val="en-US" w:eastAsia="zh-CN"/>
              </w:rPr>
              <w:t>0</w:t>
            </w:r>
            <w:r>
              <w:rPr>
                <w:rFonts w:ascii="Times New Roman" w:hAnsi="Times New Roman" w:eastAsia="宋体" w:cs="Times New Roman"/>
                <w:snapToGrid w:val="0"/>
                <w:color w:val="auto"/>
                <w:kern w:val="0"/>
                <w:sz w:val="24"/>
                <w:szCs w:val="24"/>
                <w:highlight w:val="none"/>
              </w:rPr>
              <w:t>个/L</w:t>
            </w:r>
          </w:p>
        </w:tc>
      </w:tr>
    </w:tbl>
    <w:p w14:paraId="4C32A2D1">
      <w:pPr>
        <w:widowControl/>
        <w:kinsoku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ascii="Times New Roman" w:hAnsi="Times New Roman" w:eastAsia="Arial" w:cs="Times New Roman"/>
          <w:snapToGrid w:val="0"/>
          <w:color w:val="auto"/>
          <w:kern w:val="0"/>
          <w:sz w:val="24"/>
          <w:szCs w:val="24"/>
          <w:highlight w:val="none"/>
        </w:rPr>
        <w:t>注*：括号外数值为水温＞12℃时的控制指标，括号内数值为水温≤12℃时的控制指标</w:t>
      </w:r>
    </w:p>
    <w:p w14:paraId="20E87027">
      <w:pPr>
        <w:keepNext/>
        <w:widowControl/>
        <w:shd w:val="clear" w:color="auto" w:fill="FFFFFF"/>
        <w:kinsoku w:val="0"/>
        <w:autoSpaceDE w:val="0"/>
        <w:autoSpaceDN w:val="0"/>
        <w:adjustRightInd w:val="0"/>
        <w:snapToGrid w:val="0"/>
        <w:spacing w:line="600" w:lineRule="exact"/>
        <w:jc w:val="left"/>
        <w:textAlignment w:val="baseline"/>
        <w:outlineLvl w:val="1"/>
        <w:rPr>
          <w:rFonts w:ascii="Times New Roman" w:hAnsi="Times New Roman" w:eastAsia="黑体" w:cs="Times New Roman"/>
          <w:b/>
          <w:snapToGrid w:val="0"/>
          <w:color w:val="auto"/>
          <w:spacing w:val="6"/>
          <w:kern w:val="0"/>
          <w:sz w:val="24"/>
          <w:szCs w:val="24"/>
          <w:highlight w:val="none"/>
        </w:rPr>
      </w:pPr>
      <w:bookmarkStart w:id="3" w:name="_Toc20649"/>
      <w:r>
        <w:rPr>
          <w:rFonts w:hint="eastAsia" w:ascii="Times New Roman" w:hAnsi="Times New Roman" w:eastAsia="黑体" w:cs="Times New Roman"/>
          <w:b/>
          <w:bCs/>
          <w:snapToGrid w:val="0"/>
          <w:color w:val="auto"/>
          <w:spacing w:val="6"/>
          <w:kern w:val="0"/>
          <w:sz w:val="24"/>
          <w:szCs w:val="24"/>
          <w:highlight w:val="none"/>
        </w:rPr>
        <w:t>3、污泥排放及标准</w:t>
      </w:r>
      <w:bookmarkEnd w:id="3"/>
    </w:p>
    <w:p w14:paraId="0563C3F2">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本项目处理厂污泥脱水至含水率</w:t>
      </w:r>
      <w:r>
        <w:rPr>
          <w:rFonts w:ascii="Times New Roman" w:hAnsi="Times New Roman" w:eastAsia="Arial" w:cs="Times New Roman"/>
          <w:snapToGrid w:val="0"/>
          <w:color w:val="auto"/>
          <w:kern w:val="0"/>
          <w:sz w:val="24"/>
          <w:szCs w:val="24"/>
          <w:highlight w:val="none"/>
        </w:rPr>
        <w:t>60%</w:t>
      </w:r>
      <w:r>
        <w:rPr>
          <w:rFonts w:hint="eastAsia" w:ascii="Times New Roman" w:hAnsi="Times New Roman" w:eastAsia="Arial" w:cs="Times New Roman"/>
          <w:snapToGrid w:val="0"/>
          <w:color w:val="auto"/>
          <w:kern w:val="0"/>
          <w:sz w:val="24"/>
          <w:szCs w:val="24"/>
          <w:highlight w:val="none"/>
        </w:rPr>
        <w:t>以下送至政府指定场所进行专业处置。运送过程中不得对周围环境造成污染或不利影响。</w:t>
      </w:r>
    </w:p>
    <w:bookmarkEnd w:id="1"/>
    <w:p w14:paraId="2DBB30D5">
      <w:pPr>
        <w:keepNext/>
        <w:widowControl/>
        <w:shd w:val="clear" w:color="auto" w:fill="FFFFFF"/>
        <w:kinsoku w:val="0"/>
        <w:autoSpaceDE w:val="0"/>
        <w:autoSpaceDN w:val="0"/>
        <w:adjustRightInd w:val="0"/>
        <w:snapToGrid w:val="0"/>
        <w:spacing w:line="600" w:lineRule="exact"/>
        <w:jc w:val="left"/>
        <w:textAlignment w:val="baseline"/>
        <w:outlineLvl w:val="1"/>
        <w:rPr>
          <w:rFonts w:hint="eastAsia" w:ascii="Times New Roman" w:hAnsi="Times New Roman" w:eastAsia="宋体" w:cs="Times New Roman"/>
          <w:b/>
          <w:snapToGrid w:val="0"/>
          <w:color w:val="auto"/>
          <w:spacing w:val="6"/>
          <w:kern w:val="0"/>
          <w:sz w:val="24"/>
          <w:szCs w:val="24"/>
          <w:highlight w:val="none"/>
          <w:lang w:val="en-US" w:eastAsia="zh-CN"/>
        </w:rPr>
      </w:pPr>
      <w:bookmarkStart w:id="4" w:name="_Toc18600"/>
      <w:r>
        <w:rPr>
          <w:rFonts w:hint="eastAsia" w:ascii="Times New Roman" w:hAnsi="Times New Roman" w:eastAsia="黑体" w:cs="Times New Roman"/>
          <w:b/>
          <w:bCs/>
          <w:snapToGrid w:val="0"/>
          <w:color w:val="auto"/>
          <w:spacing w:val="6"/>
          <w:kern w:val="0"/>
          <w:sz w:val="24"/>
          <w:szCs w:val="24"/>
          <w:highlight w:val="none"/>
        </w:rPr>
        <w:t>4、</w:t>
      </w:r>
      <w:r>
        <w:rPr>
          <w:rFonts w:hint="eastAsia" w:ascii="Times New Roman" w:hAnsi="Times New Roman" w:eastAsia="黑体" w:cs="Times New Roman"/>
          <w:b/>
          <w:bCs/>
          <w:snapToGrid w:val="0"/>
          <w:color w:val="auto"/>
          <w:spacing w:val="6"/>
          <w:kern w:val="0"/>
          <w:sz w:val="24"/>
          <w:szCs w:val="24"/>
          <w:highlight w:val="none"/>
        </w:rPr>
        <w:t>运营</w:t>
      </w:r>
      <w:r>
        <w:rPr>
          <w:rFonts w:hint="eastAsia" w:ascii="Times New Roman" w:hAnsi="Times New Roman" w:eastAsia="黑体" w:cs="Times New Roman"/>
          <w:b/>
          <w:bCs/>
          <w:snapToGrid w:val="0"/>
          <w:color w:val="auto"/>
          <w:spacing w:val="6"/>
          <w:kern w:val="0"/>
          <w:sz w:val="24"/>
          <w:szCs w:val="24"/>
          <w:highlight w:val="none"/>
          <w:lang w:eastAsia="zh-CN"/>
        </w:rPr>
        <w:t>服务</w:t>
      </w:r>
      <w:r>
        <w:rPr>
          <w:rFonts w:hint="eastAsia" w:ascii="Times New Roman" w:hAnsi="Times New Roman" w:eastAsia="黑体" w:cs="Times New Roman"/>
          <w:b/>
          <w:bCs/>
          <w:snapToGrid w:val="0"/>
          <w:color w:val="auto"/>
          <w:spacing w:val="6"/>
          <w:kern w:val="0"/>
          <w:sz w:val="24"/>
          <w:szCs w:val="24"/>
          <w:highlight w:val="none"/>
        </w:rPr>
        <w:t>期限</w:t>
      </w:r>
      <w:bookmarkEnd w:id="4"/>
      <w:r>
        <w:rPr>
          <w:rFonts w:hint="eastAsia" w:ascii="Times New Roman" w:hAnsi="Times New Roman" w:eastAsia="黑体" w:cs="Times New Roman"/>
          <w:b/>
          <w:bCs/>
          <w:snapToGrid w:val="0"/>
          <w:color w:val="auto"/>
          <w:spacing w:val="6"/>
          <w:kern w:val="0"/>
          <w:sz w:val="24"/>
          <w:szCs w:val="24"/>
          <w:highlight w:val="none"/>
        </w:rPr>
        <w:t>：</w:t>
      </w:r>
      <w:r>
        <w:rPr>
          <w:rFonts w:hint="eastAsia" w:ascii="Times New Roman" w:hAnsi="Times New Roman" w:eastAsia="黑体" w:cs="Times New Roman"/>
          <w:b/>
          <w:snapToGrid w:val="0"/>
          <w:color w:val="auto"/>
          <w:spacing w:val="6"/>
          <w:kern w:val="0"/>
          <w:sz w:val="24"/>
          <w:szCs w:val="24"/>
          <w:highlight w:val="none"/>
          <w:lang w:val="en-US" w:eastAsia="zh-CN"/>
        </w:rPr>
        <w:t>3</w:t>
      </w:r>
      <w:r>
        <w:rPr>
          <w:rFonts w:hint="eastAsia" w:ascii="Times New Roman" w:hAnsi="Times New Roman" w:eastAsia="宋体" w:cs="Times New Roman"/>
          <w:b/>
          <w:snapToGrid w:val="0"/>
          <w:color w:val="auto"/>
          <w:spacing w:val="6"/>
          <w:kern w:val="0"/>
          <w:sz w:val="24"/>
          <w:szCs w:val="24"/>
          <w:highlight w:val="none"/>
        </w:rPr>
        <w:t>年（自委托运营协议签订之日起计算）</w:t>
      </w:r>
      <w:r>
        <w:rPr>
          <w:rFonts w:hint="eastAsia" w:ascii="Times New Roman" w:hAnsi="Times New Roman" w:eastAsia="宋体" w:cs="Times New Roman"/>
          <w:b/>
          <w:snapToGrid w:val="0"/>
          <w:color w:val="auto"/>
          <w:spacing w:val="6"/>
          <w:kern w:val="0"/>
          <w:sz w:val="24"/>
          <w:szCs w:val="24"/>
          <w:highlight w:val="none"/>
          <w:lang w:eastAsia="zh-CN"/>
        </w:rPr>
        <w:t>。</w:t>
      </w:r>
      <w:bookmarkStart w:id="79" w:name="_GoBack"/>
      <w:bookmarkEnd w:id="79"/>
    </w:p>
    <w:p w14:paraId="5A6E6256">
      <w:pPr>
        <w:keepNext/>
        <w:widowControl/>
        <w:numPr>
          <w:ilvl w:val="1"/>
          <w:numId w:val="0"/>
        </w:numPr>
        <w:shd w:val="clear" w:color="auto" w:fill="FFFFFF"/>
        <w:kinsoku w:val="0"/>
        <w:autoSpaceDE w:val="0"/>
        <w:autoSpaceDN w:val="0"/>
        <w:adjustRightInd w:val="0"/>
        <w:snapToGrid w:val="0"/>
        <w:spacing w:line="600" w:lineRule="exact"/>
        <w:jc w:val="left"/>
        <w:textAlignment w:val="baseline"/>
        <w:outlineLvl w:val="1"/>
        <w:rPr>
          <w:rFonts w:ascii="Arial" w:hAnsi="Arial" w:eastAsia="黑体" w:cs="Arial"/>
          <w:b/>
          <w:snapToGrid w:val="0"/>
          <w:color w:val="auto"/>
          <w:spacing w:val="6"/>
          <w:kern w:val="0"/>
          <w:sz w:val="28"/>
          <w:highlight w:val="none"/>
        </w:rPr>
      </w:pPr>
      <w:r>
        <w:rPr>
          <w:rFonts w:hint="eastAsia" w:ascii="Times New Roman" w:hAnsi="Times New Roman" w:eastAsia="黑体" w:cs="Times New Roman"/>
          <w:b/>
          <w:bCs/>
          <w:snapToGrid w:val="0"/>
          <w:color w:val="auto"/>
          <w:spacing w:val="6"/>
          <w:kern w:val="0"/>
          <w:sz w:val="24"/>
          <w:szCs w:val="24"/>
          <w:highlight w:val="none"/>
        </w:rPr>
        <w:t>5、</w:t>
      </w:r>
      <w:bookmarkStart w:id="5" w:name="_Toc10504"/>
      <w:r>
        <w:rPr>
          <w:rFonts w:ascii="Times New Roman" w:hAnsi="Times New Roman" w:eastAsia="黑体" w:cs="Times New Roman"/>
          <w:b/>
          <w:bCs/>
          <w:snapToGrid w:val="0"/>
          <w:color w:val="auto"/>
          <w:spacing w:val="6"/>
          <w:kern w:val="0"/>
          <w:sz w:val="24"/>
          <w:szCs w:val="24"/>
          <w:highlight w:val="none"/>
        </w:rPr>
        <w:t>项目</w:t>
      </w:r>
      <w:r>
        <w:rPr>
          <w:rFonts w:hint="eastAsia" w:ascii="Times New Roman" w:hAnsi="Times New Roman" w:eastAsia="黑体" w:cs="Times New Roman"/>
          <w:b/>
          <w:bCs/>
          <w:snapToGrid w:val="0"/>
          <w:color w:val="auto"/>
          <w:spacing w:val="6"/>
          <w:kern w:val="0"/>
          <w:sz w:val="24"/>
          <w:szCs w:val="24"/>
          <w:highlight w:val="none"/>
        </w:rPr>
        <w:t>运作模式及回报机制</w:t>
      </w:r>
      <w:bookmarkEnd w:id="5"/>
    </w:p>
    <w:p w14:paraId="7017CB4F">
      <w:pPr>
        <w:keepNext/>
        <w:widowControl/>
        <w:numPr>
          <w:ilvl w:val="1"/>
          <w:numId w:val="0"/>
        </w:numPr>
        <w:shd w:val="clear" w:color="auto" w:fill="FFFFFF"/>
        <w:kinsoku w:val="0"/>
        <w:autoSpaceDE w:val="0"/>
        <w:autoSpaceDN w:val="0"/>
        <w:adjustRightInd w:val="0"/>
        <w:snapToGrid w:val="0"/>
        <w:spacing w:line="600" w:lineRule="exact"/>
        <w:jc w:val="left"/>
        <w:textAlignment w:val="baseline"/>
        <w:outlineLvl w:val="1"/>
        <w:rPr>
          <w:rFonts w:ascii="Times New Roman" w:hAnsi="Times New Roman" w:eastAsia="黑体" w:cs="Times New Roman"/>
          <w:b/>
          <w:snapToGrid w:val="0"/>
          <w:color w:val="auto"/>
          <w:spacing w:val="6"/>
          <w:kern w:val="0"/>
          <w:sz w:val="24"/>
          <w:szCs w:val="24"/>
          <w:highlight w:val="none"/>
          <w:lang w:val="zh-CN"/>
        </w:rPr>
      </w:pPr>
      <w:bookmarkStart w:id="6" w:name="_Toc22098"/>
      <w:r>
        <w:rPr>
          <w:rFonts w:hint="eastAsia" w:ascii="Times New Roman" w:hAnsi="Times New Roman" w:eastAsia="黑体" w:cs="Times New Roman"/>
          <w:b/>
          <w:bCs/>
          <w:snapToGrid w:val="0"/>
          <w:color w:val="auto"/>
          <w:spacing w:val="6"/>
          <w:kern w:val="0"/>
          <w:sz w:val="24"/>
          <w:szCs w:val="24"/>
          <w:highlight w:val="none"/>
        </w:rPr>
        <w:t>5.1、总体实施模式概述</w:t>
      </w:r>
      <w:bookmarkEnd w:id="6"/>
    </w:p>
    <w:p w14:paraId="7D4E466D">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ascii="Times New Roman" w:hAnsi="Times New Roman" w:eastAsia="Arial" w:cs="Times New Roman"/>
          <w:snapToGrid w:val="0"/>
          <w:color w:val="auto"/>
          <w:kern w:val="0"/>
          <w:sz w:val="24"/>
          <w:szCs w:val="24"/>
          <w:highlight w:val="none"/>
        </w:rPr>
        <w:t>项目采用</w:t>
      </w:r>
      <w:r>
        <w:rPr>
          <w:rFonts w:hint="eastAsia" w:ascii="Times New Roman" w:hAnsi="Times New Roman" w:eastAsia="Arial" w:cs="Times New Roman"/>
          <w:snapToGrid w:val="0"/>
          <w:color w:val="auto"/>
          <w:kern w:val="0"/>
          <w:sz w:val="24"/>
          <w:szCs w:val="24"/>
          <w:highlight w:val="none"/>
        </w:rPr>
        <w:t>委托运营（OM）</w:t>
      </w:r>
      <w:r>
        <w:rPr>
          <w:rFonts w:ascii="Times New Roman" w:hAnsi="Times New Roman" w:eastAsia="Arial" w:cs="Times New Roman"/>
          <w:snapToGrid w:val="0"/>
          <w:color w:val="auto"/>
          <w:kern w:val="0"/>
          <w:sz w:val="24"/>
          <w:szCs w:val="24"/>
          <w:highlight w:val="none"/>
        </w:rPr>
        <w:t>模式</w:t>
      </w:r>
      <w:r>
        <w:rPr>
          <w:rFonts w:hint="eastAsia" w:ascii="Times New Roman" w:hAnsi="Times New Roman" w:eastAsia="Arial" w:cs="Times New Roman"/>
          <w:snapToGrid w:val="0"/>
          <w:color w:val="auto"/>
          <w:kern w:val="0"/>
          <w:sz w:val="24"/>
          <w:szCs w:val="24"/>
          <w:highlight w:val="none"/>
        </w:rPr>
        <w:t>实施</w:t>
      </w:r>
      <w:r>
        <w:rPr>
          <w:rFonts w:ascii="Times New Roman" w:hAnsi="Times New Roman" w:eastAsia="Arial" w:cs="Times New Roman"/>
          <w:snapToGrid w:val="0"/>
          <w:color w:val="auto"/>
          <w:kern w:val="0"/>
          <w:sz w:val="24"/>
          <w:szCs w:val="24"/>
          <w:highlight w:val="none"/>
        </w:rPr>
        <w:t>，通过</w:t>
      </w:r>
      <w:r>
        <w:rPr>
          <w:rFonts w:hint="eastAsia" w:ascii="Times New Roman" w:hAnsi="Times New Roman" w:eastAsia="Arial" w:cs="Times New Roman"/>
          <w:snapToGrid w:val="0"/>
          <w:color w:val="auto"/>
          <w:kern w:val="0"/>
          <w:sz w:val="24"/>
          <w:szCs w:val="24"/>
          <w:highlight w:val="none"/>
        </w:rPr>
        <w:t>政府采购</w:t>
      </w:r>
      <w:r>
        <w:rPr>
          <w:rFonts w:ascii="Times New Roman" w:hAnsi="Times New Roman" w:eastAsia="Arial" w:cs="Times New Roman"/>
          <w:snapToGrid w:val="0"/>
          <w:color w:val="auto"/>
          <w:kern w:val="0"/>
          <w:sz w:val="24"/>
          <w:szCs w:val="24"/>
          <w:highlight w:val="none"/>
        </w:rPr>
        <w:t>公开招标方式选取符合条件的</w:t>
      </w: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承包人</w:t>
      </w:r>
      <w:r>
        <w:rPr>
          <w:rFonts w:hint="eastAsia" w:ascii="Times New Roman" w:hAnsi="Times New Roman" w:eastAsia="Arial" w:cs="Times New Roman"/>
          <w:snapToGrid w:val="0"/>
          <w:color w:val="auto"/>
          <w:kern w:val="0"/>
          <w:sz w:val="24"/>
          <w:szCs w:val="24"/>
          <w:highlight w:val="none"/>
        </w:rPr>
        <w:t>。</w:t>
      </w:r>
    </w:p>
    <w:p w14:paraId="186017E4">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ascii="Times New Roman" w:hAnsi="Times New Roman" w:eastAsia="Arial" w:cs="Times New Roman"/>
          <w:snapToGrid w:val="0"/>
          <w:color w:val="auto"/>
          <w:kern w:val="0"/>
          <w:sz w:val="24"/>
          <w:szCs w:val="24"/>
          <w:highlight w:val="none"/>
        </w:rPr>
        <w:t>衡阳市人民政府</w:t>
      </w:r>
      <w:r>
        <w:rPr>
          <w:rFonts w:hint="eastAsia" w:ascii="Times New Roman" w:hAnsi="Times New Roman" w:eastAsia="Arial" w:cs="Times New Roman"/>
          <w:snapToGrid w:val="0"/>
          <w:color w:val="auto"/>
          <w:kern w:val="0"/>
          <w:sz w:val="24"/>
          <w:szCs w:val="24"/>
          <w:highlight w:val="none"/>
        </w:rPr>
        <w:t>授权衡阳市住房和城乡建设局</w:t>
      </w:r>
      <w:r>
        <w:rPr>
          <w:rFonts w:ascii="Times New Roman" w:hAnsi="Times New Roman" w:eastAsia="Arial" w:cs="Times New Roman"/>
          <w:snapToGrid w:val="0"/>
          <w:color w:val="auto"/>
          <w:kern w:val="0"/>
          <w:sz w:val="24"/>
          <w:szCs w:val="24"/>
          <w:highlight w:val="none"/>
        </w:rPr>
        <w:t>作为本项目</w:t>
      </w:r>
      <w:r>
        <w:rPr>
          <w:rFonts w:hint="eastAsia" w:ascii="Times New Roman" w:hAnsi="Times New Roman" w:eastAsia="Arial" w:cs="Times New Roman"/>
          <w:snapToGrid w:val="0"/>
          <w:color w:val="auto"/>
          <w:kern w:val="0"/>
          <w:sz w:val="24"/>
          <w:szCs w:val="24"/>
          <w:highlight w:val="none"/>
        </w:rPr>
        <w:t>运营委托方、</w:t>
      </w:r>
      <w:r>
        <w:rPr>
          <w:rFonts w:ascii="Times New Roman" w:hAnsi="Times New Roman" w:eastAsia="Arial" w:cs="Times New Roman"/>
          <w:snapToGrid w:val="0"/>
          <w:color w:val="auto"/>
          <w:kern w:val="0"/>
          <w:sz w:val="24"/>
          <w:szCs w:val="24"/>
          <w:highlight w:val="none"/>
        </w:rPr>
        <w:t>招标实施主体</w:t>
      </w:r>
      <w:r>
        <w:rPr>
          <w:rFonts w:hint="eastAsia" w:ascii="Times New Roman" w:hAnsi="Times New Roman" w:eastAsia="Arial" w:cs="Times New Roman"/>
          <w:snapToGrid w:val="0"/>
          <w:color w:val="auto"/>
          <w:kern w:val="0"/>
          <w:sz w:val="24"/>
          <w:szCs w:val="24"/>
          <w:highlight w:val="none"/>
        </w:rPr>
        <w:t>。</w:t>
      </w:r>
    </w:p>
    <w:p w14:paraId="5F25AA4C">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承包人对</w:t>
      </w:r>
      <w:r>
        <w:rPr>
          <w:rFonts w:hint="eastAsia" w:ascii="Times New Roman" w:hAnsi="Times New Roman" w:eastAsia="Arial" w:cs="Times New Roman"/>
          <w:snapToGrid w:val="0"/>
          <w:color w:val="auto"/>
          <w:kern w:val="0"/>
          <w:sz w:val="24"/>
          <w:szCs w:val="24"/>
          <w:highlight w:val="none"/>
        </w:rPr>
        <w:t>项目</w:t>
      </w:r>
      <w:r>
        <w:rPr>
          <w:rFonts w:ascii="Times New Roman" w:hAnsi="Times New Roman" w:eastAsia="Arial" w:cs="Times New Roman"/>
          <w:snapToGrid w:val="0"/>
          <w:color w:val="auto"/>
          <w:kern w:val="0"/>
          <w:sz w:val="24"/>
          <w:szCs w:val="24"/>
          <w:highlight w:val="none"/>
        </w:rPr>
        <w:t>运营</w:t>
      </w:r>
      <w:r>
        <w:rPr>
          <w:rFonts w:hint="eastAsia" w:ascii="Times New Roman" w:hAnsi="Times New Roman" w:eastAsia="Arial" w:cs="Times New Roman"/>
          <w:snapToGrid w:val="0"/>
          <w:color w:val="auto"/>
          <w:kern w:val="0"/>
          <w:sz w:val="24"/>
          <w:szCs w:val="24"/>
          <w:highlight w:val="none"/>
        </w:rPr>
        <w:t>管理维护</w:t>
      </w:r>
      <w:r>
        <w:rPr>
          <w:rFonts w:ascii="Times New Roman" w:hAnsi="Times New Roman" w:eastAsia="Arial" w:cs="Times New Roman"/>
          <w:snapToGrid w:val="0"/>
          <w:color w:val="auto"/>
          <w:kern w:val="0"/>
          <w:sz w:val="24"/>
          <w:szCs w:val="24"/>
          <w:highlight w:val="none"/>
        </w:rPr>
        <w:t>及运营期满后的移交全面负责。同时</w:t>
      </w: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承包人还需要负责项目有关的临时设施的申请、负责取得应由</w:t>
      </w: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承包人办理的相关许可申请等。</w:t>
      </w:r>
    </w:p>
    <w:p w14:paraId="66BF1A00">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项目污水处理收费权归属于</w:t>
      </w:r>
      <w:r>
        <w:rPr>
          <w:rFonts w:ascii="Times New Roman" w:hAnsi="Times New Roman" w:eastAsia="Arial" w:cs="Times New Roman"/>
          <w:snapToGrid w:val="0"/>
          <w:color w:val="auto"/>
          <w:kern w:val="0"/>
          <w:sz w:val="24"/>
          <w:szCs w:val="24"/>
          <w:highlight w:val="none"/>
        </w:rPr>
        <w:t>衡阳市人民政府</w:t>
      </w:r>
      <w:r>
        <w:rPr>
          <w:rFonts w:hint="eastAsia" w:ascii="Times New Roman" w:hAnsi="Times New Roman" w:eastAsia="Arial" w:cs="Times New Roman"/>
          <w:snapToGrid w:val="0"/>
          <w:color w:val="auto"/>
          <w:kern w:val="0"/>
          <w:sz w:val="24"/>
          <w:szCs w:val="24"/>
          <w:highlight w:val="none"/>
        </w:rPr>
        <w:t>，运营委托方根据委托运营协议约定向运营承包人支付运营服务费</w:t>
      </w:r>
      <w:r>
        <w:rPr>
          <w:rFonts w:ascii="Times New Roman" w:hAnsi="Times New Roman" w:eastAsia="Arial" w:cs="Times New Roman"/>
          <w:snapToGrid w:val="0"/>
          <w:color w:val="auto"/>
          <w:kern w:val="0"/>
          <w:sz w:val="24"/>
          <w:szCs w:val="24"/>
          <w:highlight w:val="none"/>
        </w:rPr>
        <w:t>。</w:t>
      </w:r>
      <w:bookmarkStart w:id="7" w:name="_Toc21670"/>
    </w:p>
    <w:bookmarkEnd w:id="7"/>
    <w:p w14:paraId="62148FA9">
      <w:pPr>
        <w:widowControl/>
        <w:kinsoku w:val="0"/>
        <w:wordWrap w:val="0"/>
        <w:autoSpaceDE w:val="0"/>
        <w:autoSpaceDN w:val="0"/>
        <w:adjustRightInd w:val="0"/>
        <w:snapToGrid w:val="0"/>
        <w:spacing w:line="600" w:lineRule="exact"/>
        <w:textAlignment w:val="baseline"/>
        <w:rPr>
          <w:rFonts w:ascii="Times New Roman" w:hAnsi="Times New Roman" w:eastAsia="Arial" w:cs="Times New Roman"/>
          <w:b/>
          <w:snapToGrid w:val="0"/>
          <w:color w:val="auto"/>
          <w:kern w:val="0"/>
          <w:sz w:val="24"/>
          <w:szCs w:val="24"/>
          <w:highlight w:val="none"/>
          <w:lang w:val="zh-CN"/>
        </w:rPr>
      </w:pPr>
      <w:bookmarkStart w:id="8" w:name="_Toc15878"/>
      <w:r>
        <w:rPr>
          <w:rFonts w:hint="eastAsia" w:ascii="Times New Roman" w:hAnsi="Times New Roman" w:eastAsia="黑体" w:cs="Times New Roman"/>
          <w:b/>
          <w:bCs/>
          <w:snapToGrid w:val="0"/>
          <w:color w:val="auto"/>
          <w:kern w:val="0"/>
          <w:sz w:val="24"/>
          <w:szCs w:val="24"/>
          <w:highlight w:val="none"/>
        </w:rPr>
        <w:t>5.</w:t>
      </w:r>
      <w:r>
        <w:rPr>
          <w:rFonts w:hint="eastAsia" w:ascii="Times New Roman" w:hAnsi="Times New Roman" w:eastAsia="黑体" w:cs="Times New Roman"/>
          <w:b/>
          <w:bCs/>
          <w:snapToGrid w:val="0"/>
          <w:color w:val="auto"/>
          <w:kern w:val="0"/>
          <w:sz w:val="24"/>
          <w:szCs w:val="24"/>
          <w:highlight w:val="none"/>
          <w:lang w:val="en-US" w:eastAsia="zh-CN"/>
        </w:rPr>
        <w:t>2</w:t>
      </w:r>
      <w:r>
        <w:rPr>
          <w:rFonts w:hint="eastAsia" w:ascii="Times New Roman" w:hAnsi="Times New Roman" w:eastAsia="黑体" w:cs="Times New Roman"/>
          <w:b/>
          <w:bCs/>
          <w:snapToGrid w:val="0"/>
          <w:color w:val="auto"/>
          <w:kern w:val="0"/>
          <w:sz w:val="24"/>
          <w:szCs w:val="24"/>
          <w:highlight w:val="none"/>
        </w:rPr>
        <w:t>、资产权属</w:t>
      </w:r>
      <w:bookmarkEnd w:id="8"/>
    </w:p>
    <w:p w14:paraId="11665369">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ascii="Times New Roman" w:hAnsi="Times New Roman" w:eastAsia="Arial" w:cs="Times New Roman"/>
          <w:snapToGrid w:val="0"/>
          <w:color w:val="auto"/>
          <w:kern w:val="0"/>
          <w:sz w:val="24"/>
          <w:szCs w:val="24"/>
          <w:highlight w:val="none"/>
        </w:rPr>
        <w:t>项目资产包括</w:t>
      </w:r>
      <w:r>
        <w:rPr>
          <w:rFonts w:hint="eastAsia" w:ascii="Times New Roman" w:hAnsi="Times New Roman" w:eastAsia="Arial" w:cs="Times New Roman"/>
          <w:snapToGrid w:val="0"/>
          <w:color w:val="auto"/>
          <w:kern w:val="0"/>
          <w:sz w:val="24"/>
          <w:szCs w:val="24"/>
          <w:highlight w:val="none"/>
        </w:rPr>
        <w:t>已建成的污水处理厂资产</w:t>
      </w:r>
      <w:r>
        <w:rPr>
          <w:rFonts w:ascii="Times New Roman" w:hAnsi="Times New Roman" w:eastAsia="Arial" w:cs="Times New Roman"/>
          <w:snapToGrid w:val="0"/>
          <w:color w:val="auto"/>
          <w:kern w:val="0"/>
          <w:sz w:val="24"/>
          <w:szCs w:val="24"/>
          <w:highlight w:val="none"/>
        </w:rPr>
        <w:t>、运营期内更新重置或升级改造形成的资产。</w:t>
      </w:r>
    </w:p>
    <w:p w14:paraId="47FFD2A7">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本项目采取委托运营模式</w:t>
      </w:r>
      <w:r>
        <w:rPr>
          <w:rFonts w:ascii="Times New Roman" w:hAnsi="Times New Roman" w:eastAsia="Arial" w:cs="Times New Roman"/>
          <w:snapToGrid w:val="0"/>
          <w:color w:val="auto"/>
          <w:kern w:val="0"/>
          <w:sz w:val="24"/>
          <w:szCs w:val="24"/>
          <w:highlight w:val="none"/>
        </w:rPr>
        <w:t>，</w:t>
      </w:r>
      <w:r>
        <w:rPr>
          <w:rFonts w:hint="eastAsia" w:ascii="Times New Roman" w:hAnsi="Times New Roman" w:eastAsia="Arial" w:cs="Times New Roman"/>
          <w:snapToGrid w:val="0"/>
          <w:color w:val="auto"/>
          <w:kern w:val="0"/>
          <w:sz w:val="24"/>
          <w:szCs w:val="24"/>
          <w:highlight w:val="none"/>
        </w:rPr>
        <w:t>运营委托方</w:t>
      </w:r>
      <w:r>
        <w:rPr>
          <w:rFonts w:ascii="Times New Roman" w:hAnsi="Times New Roman" w:eastAsia="Arial" w:cs="Times New Roman"/>
          <w:snapToGrid w:val="0"/>
          <w:color w:val="auto"/>
          <w:kern w:val="0"/>
          <w:sz w:val="24"/>
          <w:szCs w:val="24"/>
          <w:highlight w:val="none"/>
        </w:rPr>
        <w:t>通过协议将</w:t>
      </w:r>
      <w:r>
        <w:rPr>
          <w:rFonts w:hint="eastAsia" w:ascii="Times New Roman" w:hAnsi="Times New Roman" w:eastAsia="Arial" w:cs="Times New Roman"/>
          <w:snapToGrid w:val="0"/>
          <w:color w:val="auto"/>
          <w:kern w:val="0"/>
          <w:sz w:val="24"/>
          <w:szCs w:val="24"/>
          <w:highlight w:val="none"/>
        </w:rPr>
        <w:t>本</w:t>
      </w:r>
      <w:r>
        <w:rPr>
          <w:rFonts w:ascii="Times New Roman" w:hAnsi="Times New Roman" w:eastAsia="Arial" w:cs="Times New Roman"/>
          <w:snapToGrid w:val="0"/>
          <w:color w:val="auto"/>
          <w:kern w:val="0"/>
          <w:sz w:val="24"/>
          <w:szCs w:val="24"/>
          <w:highlight w:val="none"/>
        </w:rPr>
        <w:t>污水处理厂</w:t>
      </w:r>
      <w:r>
        <w:rPr>
          <w:rFonts w:hint="eastAsia" w:ascii="Times New Roman" w:hAnsi="Times New Roman" w:eastAsia="Arial" w:cs="Times New Roman"/>
          <w:snapToGrid w:val="0"/>
          <w:color w:val="auto"/>
          <w:kern w:val="0"/>
          <w:sz w:val="24"/>
          <w:szCs w:val="24"/>
          <w:highlight w:val="none"/>
        </w:rPr>
        <w:t>资产运营使用</w:t>
      </w:r>
      <w:r>
        <w:rPr>
          <w:rFonts w:ascii="Times New Roman" w:hAnsi="Times New Roman" w:eastAsia="Arial" w:cs="Times New Roman"/>
          <w:snapToGrid w:val="0"/>
          <w:color w:val="auto"/>
          <w:kern w:val="0"/>
          <w:sz w:val="24"/>
          <w:szCs w:val="24"/>
          <w:highlight w:val="none"/>
        </w:rPr>
        <w:t>权授予</w:t>
      </w:r>
      <w:r>
        <w:rPr>
          <w:rFonts w:hint="eastAsia" w:ascii="Times New Roman" w:hAnsi="Times New Roman" w:eastAsia="Arial" w:cs="Times New Roman"/>
          <w:snapToGrid w:val="0"/>
          <w:color w:val="auto"/>
          <w:kern w:val="0"/>
          <w:sz w:val="24"/>
          <w:szCs w:val="24"/>
          <w:highlight w:val="none"/>
        </w:rPr>
        <w:t>运营承包方</w:t>
      </w:r>
      <w:r>
        <w:rPr>
          <w:rFonts w:ascii="Times New Roman" w:hAnsi="Times New Roman" w:eastAsia="Arial" w:cs="Times New Roman"/>
          <w:snapToGrid w:val="0"/>
          <w:color w:val="auto"/>
          <w:kern w:val="0"/>
          <w:sz w:val="24"/>
          <w:szCs w:val="24"/>
          <w:highlight w:val="none"/>
        </w:rPr>
        <w:t>，</w:t>
      </w:r>
      <w:r>
        <w:rPr>
          <w:rFonts w:hint="eastAsia" w:ascii="Times New Roman" w:hAnsi="Times New Roman" w:eastAsia="Arial" w:cs="Times New Roman"/>
          <w:snapToGrid w:val="0"/>
          <w:color w:val="auto"/>
          <w:kern w:val="0"/>
          <w:sz w:val="24"/>
          <w:szCs w:val="24"/>
          <w:highlight w:val="none"/>
        </w:rPr>
        <w:t>本项目</w:t>
      </w:r>
      <w:r>
        <w:rPr>
          <w:rFonts w:ascii="Times New Roman" w:hAnsi="Times New Roman" w:eastAsia="Arial" w:cs="Times New Roman"/>
          <w:snapToGrid w:val="0"/>
          <w:color w:val="auto"/>
          <w:kern w:val="0"/>
          <w:sz w:val="24"/>
          <w:szCs w:val="24"/>
          <w:highlight w:val="none"/>
        </w:rPr>
        <w:t>资产所有权</w:t>
      </w:r>
      <w:r>
        <w:rPr>
          <w:rFonts w:hint="eastAsia" w:ascii="Times New Roman" w:hAnsi="Times New Roman" w:eastAsia="Arial" w:cs="Times New Roman"/>
          <w:snapToGrid w:val="0"/>
          <w:color w:val="auto"/>
          <w:kern w:val="0"/>
          <w:sz w:val="24"/>
          <w:szCs w:val="24"/>
          <w:highlight w:val="none"/>
        </w:rPr>
        <w:t>、污水处理收费权</w:t>
      </w:r>
      <w:r>
        <w:rPr>
          <w:rFonts w:ascii="Times New Roman" w:hAnsi="Times New Roman" w:eastAsia="Arial" w:cs="Times New Roman"/>
          <w:snapToGrid w:val="0"/>
          <w:color w:val="auto"/>
          <w:kern w:val="0"/>
          <w:sz w:val="24"/>
          <w:szCs w:val="24"/>
          <w:highlight w:val="none"/>
        </w:rPr>
        <w:t>仍属于衡阳市人民政府。</w:t>
      </w:r>
    </w:p>
    <w:p w14:paraId="0B9F274D">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在运营</w:t>
      </w:r>
      <w:r>
        <w:rPr>
          <w:rFonts w:ascii="Times New Roman" w:hAnsi="Times New Roman" w:eastAsia="Arial" w:cs="Times New Roman"/>
          <w:snapToGrid w:val="0"/>
          <w:color w:val="auto"/>
          <w:kern w:val="0"/>
          <w:sz w:val="24"/>
          <w:szCs w:val="24"/>
          <w:highlight w:val="none"/>
        </w:rPr>
        <w:t>期限内，</w:t>
      </w:r>
      <w:r>
        <w:rPr>
          <w:rFonts w:hint="eastAsia" w:ascii="Times New Roman" w:hAnsi="Times New Roman" w:eastAsia="Arial" w:cs="Times New Roman"/>
          <w:snapToGrid w:val="0"/>
          <w:color w:val="auto"/>
          <w:kern w:val="0"/>
          <w:sz w:val="24"/>
          <w:szCs w:val="24"/>
          <w:highlight w:val="none"/>
        </w:rPr>
        <w:t>运营承包</w:t>
      </w:r>
      <w:r>
        <w:rPr>
          <w:rFonts w:ascii="Times New Roman" w:hAnsi="Times New Roman" w:eastAsia="Arial" w:cs="Times New Roman"/>
          <w:snapToGrid w:val="0"/>
          <w:color w:val="auto"/>
          <w:kern w:val="0"/>
          <w:sz w:val="24"/>
          <w:szCs w:val="24"/>
          <w:highlight w:val="none"/>
        </w:rPr>
        <w:t>方</w:t>
      </w:r>
      <w:r>
        <w:rPr>
          <w:rFonts w:hint="eastAsia" w:ascii="Times New Roman" w:hAnsi="Times New Roman" w:eastAsia="Arial" w:cs="Times New Roman"/>
          <w:snapToGrid w:val="0"/>
          <w:color w:val="auto"/>
          <w:kern w:val="0"/>
          <w:sz w:val="24"/>
          <w:szCs w:val="24"/>
          <w:highlight w:val="none"/>
        </w:rPr>
        <w:t>可</w:t>
      </w:r>
      <w:r>
        <w:rPr>
          <w:rFonts w:ascii="Times New Roman" w:hAnsi="Times New Roman" w:eastAsia="Arial" w:cs="Times New Roman"/>
          <w:snapToGrid w:val="0"/>
          <w:color w:val="auto"/>
          <w:kern w:val="0"/>
          <w:sz w:val="24"/>
          <w:szCs w:val="24"/>
          <w:highlight w:val="none"/>
        </w:rPr>
        <w:t>拥有本项目</w:t>
      </w:r>
      <w:r>
        <w:rPr>
          <w:rFonts w:hint="eastAsia" w:ascii="Times New Roman" w:hAnsi="Times New Roman" w:eastAsia="Arial" w:cs="Times New Roman"/>
          <w:snapToGrid w:val="0"/>
          <w:color w:val="auto"/>
          <w:kern w:val="0"/>
          <w:sz w:val="24"/>
          <w:szCs w:val="24"/>
          <w:highlight w:val="none"/>
        </w:rPr>
        <w:t>续建、</w:t>
      </w:r>
      <w:r>
        <w:rPr>
          <w:rFonts w:ascii="Times New Roman" w:hAnsi="Times New Roman" w:eastAsia="Arial" w:cs="Times New Roman"/>
          <w:snapToGrid w:val="0"/>
          <w:color w:val="auto"/>
          <w:kern w:val="0"/>
          <w:sz w:val="24"/>
          <w:szCs w:val="24"/>
          <w:highlight w:val="none"/>
        </w:rPr>
        <w:t>更新重置</w:t>
      </w:r>
      <w:r>
        <w:rPr>
          <w:rFonts w:hint="eastAsia" w:ascii="Times New Roman" w:hAnsi="Times New Roman" w:eastAsia="Arial" w:cs="Times New Roman"/>
          <w:snapToGrid w:val="0"/>
          <w:color w:val="auto"/>
          <w:kern w:val="0"/>
          <w:sz w:val="24"/>
          <w:szCs w:val="24"/>
          <w:highlight w:val="none"/>
        </w:rPr>
        <w:t>、</w:t>
      </w:r>
      <w:r>
        <w:rPr>
          <w:rFonts w:ascii="Times New Roman" w:hAnsi="Times New Roman" w:eastAsia="Arial" w:cs="Times New Roman"/>
          <w:snapToGrid w:val="0"/>
          <w:color w:val="auto"/>
          <w:kern w:val="0"/>
          <w:sz w:val="24"/>
          <w:szCs w:val="24"/>
          <w:highlight w:val="none"/>
        </w:rPr>
        <w:t>升级改造形成</w:t>
      </w:r>
      <w:r>
        <w:rPr>
          <w:rFonts w:hint="eastAsia" w:ascii="Times New Roman" w:hAnsi="Times New Roman" w:eastAsia="Arial" w:cs="Times New Roman"/>
          <w:snapToGrid w:val="0"/>
          <w:color w:val="auto"/>
          <w:kern w:val="0"/>
          <w:sz w:val="24"/>
          <w:szCs w:val="24"/>
          <w:highlight w:val="none"/>
        </w:rPr>
        <w:t>的</w:t>
      </w:r>
      <w:r>
        <w:rPr>
          <w:rFonts w:ascii="Times New Roman" w:hAnsi="Times New Roman" w:eastAsia="Arial" w:cs="Times New Roman"/>
          <w:snapToGrid w:val="0"/>
          <w:color w:val="auto"/>
          <w:kern w:val="0"/>
          <w:sz w:val="24"/>
          <w:szCs w:val="24"/>
          <w:highlight w:val="none"/>
        </w:rPr>
        <w:t>项目资产使用</w:t>
      </w: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权；</w:t>
      </w:r>
    </w:p>
    <w:p w14:paraId="41D4E752">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期内项目的设施、设备及土地</w:t>
      </w:r>
      <w:r>
        <w:rPr>
          <w:rFonts w:hint="eastAsia" w:ascii="Times New Roman" w:hAnsi="Times New Roman" w:eastAsia="Arial" w:cs="Times New Roman"/>
          <w:snapToGrid w:val="0"/>
          <w:color w:val="auto"/>
          <w:kern w:val="0"/>
          <w:sz w:val="24"/>
          <w:szCs w:val="24"/>
          <w:highlight w:val="none"/>
        </w:rPr>
        <w:t>的</w:t>
      </w:r>
      <w:r>
        <w:rPr>
          <w:rFonts w:ascii="Times New Roman" w:hAnsi="Times New Roman" w:eastAsia="Arial" w:cs="Times New Roman"/>
          <w:snapToGrid w:val="0"/>
          <w:color w:val="auto"/>
          <w:kern w:val="0"/>
          <w:sz w:val="24"/>
          <w:szCs w:val="24"/>
          <w:highlight w:val="none"/>
        </w:rPr>
        <w:t>使用权不得用于</w:t>
      </w:r>
      <w:r>
        <w:rPr>
          <w:rFonts w:hint="eastAsia" w:ascii="Times New Roman" w:hAnsi="Times New Roman" w:eastAsia="Arial" w:cs="Times New Roman"/>
          <w:snapToGrid w:val="0"/>
          <w:color w:val="auto"/>
          <w:kern w:val="0"/>
          <w:sz w:val="24"/>
          <w:szCs w:val="24"/>
          <w:highlight w:val="none"/>
        </w:rPr>
        <w:t>运营协议范围</w:t>
      </w:r>
      <w:r>
        <w:rPr>
          <w:rFonts w:ascii="Times New Roman" w:hAnsi="Times New Roman" w:eastAsia="Arial" w:cs="Times New Roman"/>
          <w:snapToGrid w:val="0"/>
          <w:color w:val="auto"/>
          <w:kern w:val="0"/>
          <w:sz w:val="24"/>
          <w:szCs w:val="24"/>
          <w:highlight w:val="none"/>
        </w:rPr>
        <w:t>以外的</w:t>
      </w:r>
      <w:r>
        <w:rPr>
          <w:rFonts w:hint="eastAsia" w:ascii="Times New Roman" w:hAnsi="Times New Roman" w:eastAsia="Arial" w:cs="Times New Roman"/>
          <w:snapToGrid w:val="0"/>
          <w:color w:val="auto"/>
          <w:kern w:val="0"/>
          <w:sz w:val="24"/>
          <w:szCs w:val="24"/>
          <w:highlight w:val="none"/>
        </w:rPr>
        <w:t>任何</w:t>
      </w:r>
      <w:r>
        <w:rPr>
          <w:rFonts w:ascii="Times New Roman" w:hAnsi="Times New Roman" w:eastAsia="Arial" w:cs="Times New Roman"/>
          <w:snapToGrid w:val="0"/>
          <w:color w:val="auto"/>
          <w:kern w:val="0"/>
          <w:sz w:val="24"/>
          <w:szCs w:val="24"/>
          <w:highlight w:val="none"/>
        </w:rPr>
        <w:t>用途</w:t>
      </w:r>
      <w:r>
        <w:rPr>
          <w:rFonts w:hint="eastAsia" w:ascii="Times New Roman" w:hAnsi="Times New Roman" w:eastAsia="Arial" w:cs="Times New Roman"/>
          <w:snapToGrid w:val="0"/>
          <w:color w:val="auto"/>
          <w:kern w:val="0"/>
          <w:sz w:val="24"/>
          <w:szCs w:val="24"/>
          <w:highlight w:val="none"/>
        </w:rPr>
        <w:t>，运营承包方</w:t>
      </w:r>
      <w:r>
        <w:rPr>
          <w:rFonts w:ascii="Times New Roman" w:hAnsi="Times New Roman" w:eastAsia="Arial" w:cs="Times New Roman"/>
          <w:snapToGrid w:val="0"/>
          <w:color w:val="auto"/>
          <w:kern w:val="0"/>
          <w:sz w:val="24"/>
          <w:szCs w:val="24"/>
          <w:highlight w:val="none"/>
        </w:rPr>
        <w:t>无</w:t>
      </w:r>
      <w:r>
        <w:rPr>
          <w:rFonts w:hint="eastAsia" w:ascii="Times New Roman" w:hAnsi="Times New Roman" w:eastAsia="Arial" w:cs="Times New Roman"/>
          <w:snapToGrid w:val="0"/>
          <w:color w:val="auto"/>
          <w:kern w:val="0"/>
          <w:sz w:val="24"/>
          <w:szCs w:val="24"/>
          <w:highlight w:val="none"/>
        </w:rPr>
        <w:t>项目</w:t>
      </w:r>
      <w:r>
        <w:rPr>
          <w:rFonts w:ascii="Times New Roman" w:hAnsi="Times New Roman" w:eastAsia="Arial" w:cs="Times New Roman"/>
          <w:snapToGrid w:val="0"/>
          <w:color w:val="auto"/>
          <w:kern w:val="0"/>
          <w:sz w:val="24"/>
          <w:szCs w:val="24"/>
          <w:highlight w:val="none"/>
        </w:rPr>
        <w:t>资产</w:t>
      </w:r>
      <w:r>
        <w:rPr>
          <w:rFonts w:hint="eastAsia" w:ascii="Times New Roman" w:hAnsi="Times New Roman" w:eastAsia="Arial" w:cs="Times New Roman"/>
          <w:snapToGrid w:val="0"/>
          <w:color w:val="auto"/>
          <w:kern w:val="0"/>
          <w:sz w:val="24"/>
          <w:szCs w:val="24"/>
          <w:highlight w:val="none"/>
        </w:rPr>
        <w:t>的处置权。</w:t>
      </w:r>
    </w:p>
    <w:p w14:paraId="08543E4B">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ascii="Times New Roman" w:hAnsi="Times New Roman" w:eastAsia="Arial" w:cs="Times New Roman"/>
          <w:snapToGrid w:val="0"/>
          <w:color w:val="auto"/>
          <w:kern w:val="0"/>
          <w:sz w:val="24"/>
          <w:szCs w:val="24"/>
          <w:highlight w:val="none"/>
        </w:rPr>
        <w:t>本项目</w:t>
      </w: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协议期满或提前终止时，</w:t>
      </w:r>
      <w:r>
        <w:rPr>
          <w:rFonts w:hint="eastAsia" w:ascii="Times New Roman" w:hAnsi="Times New Roman" w:eastAsia="Arial" w:cs="Times New Roman"/>
          <w:snapToGrid w:val="0"/>
          <w:color w:val="auto"/>
          <w:kern w:val="0"/>
          <w:sz w:val="24"/>
          <w:szCs w:val="24"/>
          <w:highlight w:val="none"/>
        </w:rPr>
        <w:t>运</w:t>
      </w:r>
      <w:r>
        <w:rPr>
          <w:rFonts w:ascii="Times New Roman" w:hAnsi="Times New Roman" w:eastAsia="Arial" w:cs="Times New Roman"/>
          <w:snapToGrid w:val="0"/>
          <w:color w:val="auto"/>
          <w:kern w:val="0"/>
          <w:sz w:val="24"/>
          <w:szCs w:val="24"/>
          <w:highlight w:val="none"/>
        </w:rPr>
        <w:t>营方应按照</w:t>
      </w:r>
      <w:r>
        <w:rPr>
          <w:rFonts w:hint="eastAsia" w:ascii="Times New Roman" w:hAnsi="Times New Roman" w:eastAsia="Arial" w:cs="Times New Roman"/>
          <w:snapToGrid w:val="0"/>
          <w:color w:val="auto"/>
          <w:kern w:val="0"/>
          <w:sz w:val="24"/>
          <w:szCs w:val="24"/>
          <w:highlight w:val="none"/>
        </w:rPr>
        <w:t>运营</w:t>
      </w:r>
      <w:r>
        <w:rPr>
          <w:rFonts w:ascii="Times New Roman" w:hAnsi="Times New Roman" w:eastAsia="Arial" w:cs="Times New Roman"/>
          <w:snapToGrid w:val="0"/>
          <w:color w:val="auto"/>
          <w:kern w:val="0"/>
          <w:sz w:val="24"/>
          <w:szCs w:val="24"/>
          <w:highlight w:val="none"/>
        </w:rPr>
        <w:t>协议约定的机制、流程和资产范围</w:t>
      </w:r>
      <w:r>
        <w:rPr>
          <w:rFonts w:hint="eastAsia" w:ascii="Times New Roman" w:hAnsi="Times New Roman" w:eastAsia="Arial" w:cs="Times New Roman"/>
          <w:snapToGrid w:val="0"/>
          <w:color w:val="auto"/>
          <w:kern w:val="0"/>
          <w:sz w:val="24"/>
          <w:szCs w:val="24"/>
          <w:highlight w:val="none"/>
        </w:rPr>
        <w:t>及使用条件</w:t>
      </w:r>
      <w:r>
        <w:rPr>
          <w:rFonts w:ascii="Times New Roman" w:hAnsi="Times New Roman" w:eastAsia="Arial" w:cs="Times New Roman"/>
          <w:snapToGrid w:val="0"/>
          <w:color w:val="auto"/>
          <w:kern w:val="0"/>
          <w:sz w:val="24"/>
          <w:szCs w:val="24"/>
          <w:highlight w:val="none"/>
        </w:rPr>
        <w:t>，将</w:t>
      </w:r>
      <w:r>
        <w:rPr>
          <w:rFonts w:hint="eastAsia" w:ascii="Times New Roman" w:hAnsi="Times New Roman" w:eastAsia="Arial" w:cs="Times New Roman"/>
          <w:snapToGrid w:val="0"/>
          <w:color w:val="auto"/>
          <w:kern w:val="0"/>
          <w:sz w:val="24"/>
          <w:szCs w:val="24"/>
          <w:highlight w:val="none"/>
        </w:rPr>
        <w:t>使用权</w:t>
      </w:r>
      <w:r>
        <w:rPr>
          <w:rFonts w:ascii="Times New Roman" w:hAnsi="Times New Roman" w:eastAsia="Arial" w:cs="Times New Roman"/>
          <w:snapToGrid w:val="0"/>
          <w:color w:val="auto"/>
          <w:kern w:val="0"/>
          <w:sz w:val="24"/>
          <w:szCs w:val="24"/>
          <w:highlight w:val="none"/>
        </w:rPr>
        <w:t>移交给衡阳市人民政府或其指定机构。</w:t>
      </w:r>
      <w:bookmarkStart w:id="9" w:name="_Toc12288"/>
    </w:p>
    <w:p w14:paraId="067AA6EC">
      <w:pPr>
        <w:widowControl/>
        <w:kinsoku w:val="0"/>
        <w:wordWrap w:val="0"/>
        <w:autoSpaceDE w:val="0"/>
        <w:autoSpaceDN w:val="0"/>
        <w:adjustRightInd w:val="0"/>
        <w:snapToGrid w:val="0"/>
        <w:spacing w:line="600" w:lineRule="exact"/>
        <w:textAlignment w:val="baseline"/>
        <w:rPr>
          <w:rFonts w:ascii="Times New Roman" w:hAnsi="Times New Roman" w:eastAsia="Arial" w:cs="Times New Roman"/>
          <w:b/>
          <w:snapToGrid w:val="0"/>
          <w:color w:val="auto"/>
          <w:kern w:val="0"/>
          <w:sz w:val="24"/>
          <w:szCs w:val="24"/>
          <w:highlight w:val="none"/>
          <w:lang w:val="zh-CN"/>
        </w:rPr>
      </w:pPr>
      <w:r>
        <w:rPr>
          <w:rFonts w:hint="eastAsia" w:ascii="Times New Roman" w:hAnsi="Times New Roman" w:eastAsia="黑体" w:cs="Times New Roman"/>
          <w:b/>
          <w:bCs/>
          <w:snapToGrid w:val="0"/>
          <w:color w:val="auto"/>
          <w:kern w:val="0"/>
          <w:sz w:val="24"/>
          <w:szCs w:val="24"/>
          <w:highlight w:val="none"/>
        </w:rPr>
        <w:t>5.</w:t>
      </w:r>
      <w:r>
        <w:rPr>
          <w:rFonts w:hint="eastAsia" w:ascii="Times New Roman" w:hAnsi="Times New Roman" w:eastAsia="黑体" w:cs="Times New Roman"/>
          <w:b/>
          <w:bCs/>
          <w:snapToGrid w:val="0"/>
          <w:color w:val="auto"/>
          <w:kern w:val="0"/>
          <w:sz w:val="24"/>
          <w:szCs w:val="24"/>
          <w:highlight w:val="none"/>
          <w:lang w:val="en-US" w:eastAsia="zh-CN"/>
        </w:rPr>
        <w:t>3</w:t>
      </w:r>
      <w:r>
        <w:rPr>
          <w:rFonts w:hint="eastAsia" w:ascii="Times New Roman" w:hAnsi="Times New Roman" w:eastAsia="黑体" w:cs="Times New Roman"/>
          <w:b/>
          <w:bCs/>
          <w:snapToGrid w:val="0"/>
          <w:color w:val="auto"/>
          <w:kern w:val="0"/>
          <w:sz w:val="24"/>
          <w:szCs w:val="24"/>
          <w:highlight w:val="none"/>
        </w:rPr>
        <w:t>、回报机制</w:t>
      </w:r>
      <w:bookmarkEnd w:id="9"/>
    </w:p>
    <w:p w14:paraId="2D247318">
      <w:pPr>
        <w:widowControl/>
        <w:kinsoku w:val="0"/>
        <w:wordWrap w:val="0"/>
        <w:autoSpaceDE w:val="0"/>
        <w:autoSpaceDN w:val="0"/>
        <w:adjustRightInd w:val="0"/>
        <w:snapToGrid w:val="0"/>
        <w:spacing w:line="600" w:lineRule="exact"/>
        <w:ind w:firstLine="480" w:firstLineChars="200"/>
        <w:textAlignment w:val="baseline"/>
        <w:rPr>
          <w:rFonts w:hAnsi="Times New Roman" w:eastAsia="宋体"/>
          <w:color w:val="auto"/>
          <w:highlight w:val="none"/>
        </w:rPr>
      </w:pPr>
      <w:r>
        <w:rPr>
          <w:rFonts w:hint="eastAsia" w:ascii="Times New Roman" w:hAnsi="Times New Roman" w:eastAsia="Arial" w:cs="Times New Roman"/>
          <w:snapToGrid w:val="0"/>
          <w:color w:val="auto"/>
          <w:kern w:val="0"/>
          <w:sz w:val="24"/>
          <w:szCs w:val="24"/>
          <w:highlight w:val="none"/>
        </w:rPr>
        <w:t>项目污水处理收费权归属于</w:t>
      </w:r>
      <w:r>
        <w:rPr>
          <w:rFonts w:ascii="Times New Roman" w:hAnsi="Times New Roman" w:eastAsia="Arial" w:cs="Times New Roman"/>
          <w:snapToGrid w:val="0"/>
          <w:color w:val="auto"/>
          <w:kern w:val="0"/>
          <w:sz w:val="24"/>
          <w:szCs w:val="24"/>
          <w:highlight w:val="none"/>
        </w:rPr>
        <w:t>衡阳市人民政府</w:t>
      </w:r>
      <w:r>
        <w:rPr>
          <w:rFonts w:hint="eastAsia" w:ascii="Times New Roman" w:hAnsi="Times New Roman" w:eastAsia="Arial" w:cs="Times New Roman"/>
          <w:snapToGrid w:val="0"/>
          <w:color w:val="auto"/>
          <w:kern w:val="0"/>
          <w:sz w:val="24"/>
          <w:szCs w:val="24"/>
          <w:highlight w:val="none"/>
        </w:rPr>
        <w:t>，运营委托方根据运营协议约定向运营承包人</w:t>
      </w:r>
      <w:r>
        <w:rPr>
          <w:rFonts w:hint="eastAsia" w:ascii="Times New Roman" w:hAnsi="Times New Roman" w:eastAsia="宋体" w:cs="Times New Roman"/>
          <w:snapToGrid w:val="0"/>
          <w:color w:val="auto"/>
          <w:kern w:val="0"/>
          <w:sz w:val="24"/>
          <w:szCs w:val="24"/>
          <w:highlight w:val="none"/>
          <w:lang w:val="en-US" w:eastAsia="zh-CN"/>
        </w:rPr>
        <w:t>按效</w:t>
      </w:r>
      <w:r>
        <w:rPr>
          <w:rFonts w:hint="eastAsia" w:ascii="Times New Roman" w:hAnsi="Times New Roman" w:eastAsia="Arial" w:cs="Times New Roman"/>
          <w:snapToGrid w:val="0"/>
          <w:color w:val="auto"/>
          <w:kern w:val="0"/>
          <w:sz w:val="24"/>
          <w:szCs w:val="24"/>
          <w:highlight w:val="none"/>
        </w:rPr>
        <w:t>支付运营服务费</w:t>
      </w:r>
      <w:r>
        <w:rPr>
          <w:rFonts w:ascii="Times New Roman" w:hAnsi="Times New Roman" w:eastAsia="Arial" w:cs="Times New Roman"/>
          <w:snapToGrid w:val="0"/>
          <w:color w:val="auto"/>
          <w:kern w:val="0"/>
          <w:sz w:val="24"/>
          <w:szCs w:val="24"/>
          <w:highlight w:val="none"/>
        </w:rPr>
        <w:t>。</w:t>
      </w:r>
    </w:p>
    <w:p w14:paraId="19A641D5">
      <w:pPr>
        <w:widowControl/>
        <w:kinsoku w:val="0"/>
        <w:wordWrap w:val="0"/>
        <w:autoSpaceDE w:val="0"/>
        <w:autoSpaceDN w:val="0"/>
        <w:adjustRightInd w:val="0"/>
        <w:snapToGrid w:val="0"/>
        <w:spacing w:line="600" w:lineRule="exact"/>
        <w:textAlignment w:val="baseline"/>
        <w:rPr>
          <w:rFonts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6、</w:t>
      </w:r>
      <w:bookmarkStart w:id="10" w:name="_Toc32311"/>
      <w:r>
        <w:rPr>
          <w:rFonts w:ascii="Times New Roman" w:hAnsi="Times New Roman" w:eastAsia="黑体" w:cs="Times New Roman"/>
          <w:b/>
          <w:bCs/>
          <w:snapToGrid w:val="0"/>
          <w:color w:val="auto"/>
          <w:kern w:val="0"/>
          <w:sz w:val="24"/>
          <w:szCs w:val="24"/>
          <w:highlight w:val="none"/>
        </w:rPr>
        <w:t>运营与</w:t>
      </w:r>
      <w:r>
        <w:rPr>
          <w:rFonts w:hint="eastAsia" w:ascii="Times New Roman" w:hAnsi="Times New Roman" w:eastAsia="黑体" w:cs="Times New Roman"/>
          <w:b/>
          <w:bCs/>
          <w:snapToGrid w:val="0"/>
          <w:color w:val="auto"/>
          <w:kern w:val="0"/>
          <w:sz w:val="24"/>
          <w:szCs w:val="24"/>
          <w:highlight w:val="none"/>
        </w:rPr>
        <w:t>维护要求</w:t>
      </w:r>
      <w:bookmarkEnd w:id="10"/>
    </w:p>
    <w:p w14:paraId="40056140">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11" w:name="bookmark99"/>
      <w:bookmarkEnd w:id="11"/>
      <w:bookmarkStart w:id="12" w:name="_Toc23505"/>
      <w:r>
        <w:rPr>
          <w:rFonts w:hint="eastAsia" w:ascii="Times New Roman" w:hAnsi="Times New Roman" w:eastAsia="黑体" w:cs="Times New Roman"/>
          <w:b/>
          <w:bCs/>
          <w:snapToGrid w:val="0"/>
          <w:color w:val="auto"/>
          <w:kern w:val="0"/>
          <w:sz w:val="24"/>
          <w:szCs w:val="24"/>
          <w:highlight w:val="none"/>
        </w:rPr>
        <w:t>6.1、运营和维护基本原则</w:t>
      </w:r>
      <w:bookmarkEnd w:id="12"/>
    </w:p>
    <w:p w14:paraId="4EDF0A81">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在整个运营期内，运营承包人自行承担费用（包括税费）和风险，管理、运营和维护污水处理设施。应确保在整个运营期内，始终根据下列规定运营并维护污水处理项目：</w:t>
      </w:r>
    </w:p>
    <w:p w14:paraId="4509EE8D">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（1）国家和地方现行的污水处理企业运行的有关法律法规，污水处理的有关法律法规、规范和标准，本项目有关批准文件、招投标文件的要求；</w:t>
      </w:r>
    </w:p>
    <w:p w14:paraId="52DAB630">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（2）运营协议（具体以签订的运营协议为准）规定的质量保证、质量控制和安全生产的要求；</w:t>
      </w:r>
    </w:p>
    <w:p w14:paraId="3FAE1546">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宋体" w:cs="Times New Roman"/>
          <w:snapToGrid w:val="0"/>
          <w:color w:val="auto"/>
          <w:kern w:val="0"/>
          <w:sz w:val="30"/>
          <w:szCs w:val="30"/>
          <w:highlight w:val="none"/>
          <w:lang w:bidi="zh-CN"/>
        </w:rPr>
      </w:pPr>
      <w:r>
        <w:rPr>
          <w:rFonts w:hint="eastAsia" w:ascii="Times New Roman" w:hAnsi="Times New Roman" w:eastAsia="Arial" w:cs="Times New Roman"/>
          <w:snapToGrid w:val="0"/>
          <w:color w:val="auto"/>
          <w:kern w:val="0"/>
          <w:sz w:val="24"/>
          <w:szCs w:val="24"/>
          <w:highlight w:val="none"/>
        </w:rPr>
        <w:t>（3）运行维护手册以及污水处理项目内设备制造商提供的说明手册和指导。运营承包方应确保污水处理项目设施设备始终处于良好运行状态并能够安全稳定地处理污水和污泥，使其达到排放标准，大气污染物和噪声满足环保要求。</w:t>
      </w:r>
    </w:p>
    <w:p w14:paraId="091AEC7C">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13" w:name="bookmark101"/>
      <w:bookmarkEnd w:id="13"/>
      <w:bookmarkStart w:id="14" w:name="bookmark102"/>
      <w:bookmarkEnd w:id="14"/>
      <w:bookmarkStart w:id="15" w:name="_Toc3123"/>
      <w:r>
        <w:rPr>
          <w:rFonts w:hint="eastAsia" w:ascii="Times New Roman" w:hAnsi="Times New Roman" w:eastAsia="黑体" w:cs="Times New Roman"/>
          <w:b/>
          <w:bCs/>
          <w:snapToGrid w:val="0"/>
          <w:color w:val="auto"/>
          <w:kern w:val="0"/>
          <w:sz w:val="24"/>
          <w:szCs w:val="24"/>
          <w:highlight w:val="none"/>
        </w:rPr>
        <w:t>6.2、污水处理范围</w:t>
      </w:r>
      <w:bookmarkEnd w:id="15"/>
    </w:p>
    <w:p w14:paraId="4EB45127">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在运营期内，运营承包人应只对运营委托方提供的污水进行处理。未经运营委托方事先书面同意，不得接受任何第三方的污水处理（本项目自身产生的污水除外）。</w:t>
      </w:r>
      <w:bookmarkStart w:id="16" w:name="bookmark104"/>
      <w:bookmarkEnd w:id="16"/>
      <w:bookmarkStart w:id="17" w:name="bookmark103"/>
      <w:bookmarkEnd w:id="17"/>
      <w:bookmarkStart w:id="18" w:name="_Toc31146"/>
    </w:p>
    <w:p w14:paraId="1A8A3964">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6.3、运营委托方责任</w:t>
      </w:r>
      <w:bookmarkEnd w:id="18"/>
    </w:p>
    <w:p w14:paraId="0E4BA1B1">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运营委托方应确保在整个运营期内，将本污水处理厂纳污范围的污水收集和输送至项目污水接收点，控制污水进水水质在约定的进水水质标准以内（进水水质标准：COD≤300mg/L；BOD≤140mg/L；总磷≤4mg/L；氨氮≤32mg/L；总氮≤40mg/L；pH：6~9）。</w:t>
      </w:r>
    </w:p>
    <w:p w14:paraId="37FF7D69">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（2）按运营协议（具体以签订的运营协议为准）的规定向运营承包方支付运营服务费。</w:t>
      </w:r>
    </w:p>
    <w:p w14:paraId="15746BC5">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（3）在整个运营期内，如需进行设备更新改造应由运营承包方提出申请，经委托方同意后实施，相关费用由委托方负责保障。</w:t>
      </w:r>
    </w:p>
    <w:p w14:paraId="11812F1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（4）委托方应积极配合运营承包方在运营期间需办理各类许可证等相关材料的工作。</w:t>
      </w:r>
    </w:p>
    <w:p w14:paraId="0A760A5C">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（5）在整个运营期内，应督促运营承包方认真执行国家行业标准、行业管理部门和地方政府的相关规定以及委托运营协议规定的出水质量标准。</w:t>
      </w:r>
    </w:p>
    <w:p w14:paraId="2A708512">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19" w:name="bookmark105"/>
      <w:bookmarkEnd w:id="19"/>
      <w:bookmarkStart w:id="20" w:name="bookmark106"/>
      <w:bookmarkEnd w:id="20"/>
      <w:bookmarkStart w:id="21" w:name="_Toc26334"/>
      <w:r>
        <w:rPr>
          <w:rFonts w:hint="eastAsia" w:ascii="Times New Roman" w:hAnsi="Times New Roman" w:eastAsia="黑体" w:cs="Times New Roman"/>
          <w:b/>
          <w:bCs/>
          <w:snapToGrid w:val="0"/>
          <w:color w:val="auto"/>
          <w:kern w:val="0"/>
          <w:sz w:val="24"/>
          <w:szCs w:val="24"/>
          <w:highlight w:val="none"/>
        </w:rPr>
        <w:t>6.4、运营承包方责任</w:t>
      </w:r>
      <w:bookmarkEnd w:id="21"/>
    </w:p>
    <w:p w14:paraId="4FD3886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除运营协议（具体以签订的运营协议为准）规定的暂停服务、不可抗力情况外，从正式开始运营日起，运营承包方应每日二十四小时连续接收和处理污水，从接收点接收污水，污水处理排放的污染物在委托方指定的污染物排放点达到运营协议约定的标准。</w:t>
      </w:r>
    </w:p>
    <w:p w14:paraId="2EC4099F">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（2）如果进水水量超过运营协议规定的设计处理能力，运营承包方应及时通知运营委托方，同时提出拟采取对超量污水进行处理的措施。</w:t>
      </w:r>
    </w:p>
    <w:p w14:paraId="485668FE">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（3）运营承包方应按适用法律法规和合理标准以及谨慎运行惯例认真而有效地处理其业务与事务，向运营委托方提交真实反映其经营情况的财务报表。</w:t>
      </w:r>
    </w:p>
    <w:p w14:paraId="20B6F7C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（4）运营承包方应建立健全水质检测和检验制度，按照国家或行业规定的检测项目、检测频次和有关标准、方法定期监测本项目进水和出水等项目，做好各项检测分析资料和水质报表的汇总、归档。</w:t>
      </w:r>
    </w:p>
    <w:p w14:paraId="0EADA28F">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（5）运营承包方在日常生产经营活动中，应充分考虑环境影响，维护生态环境。</w:t>
      </w:r>
    </w:p>
    <w:p w14:paraId="382AD11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（6）运营期间，如有报废资产需进行处置，运营承包方应向委托方提出申请，经委托方同意后方可进行处置。</w:t>
      </w:r>
    </w:p>
    <w:p w14:paraId="73E83201">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7）运营承包方应建立完善安全生产制度和意外事故的应急机制，制定应急预案报委托方备案，并按要求定期进行应急预案演练；运营承包方应保障生产和服务的稳定和安全，防止事故发生。如出现重大意外事故，运营承包方应及时通报委托方，并尽最大人力、物力进行抢救，尽快恢复生产与服务；在事故影响期间，运营承包方应采取各种应急措施进行补救，尽量减少事故对公众的影响。</w:t>
      </w:r>
    </w:p>
    <w:p w14:paraId="269139A2">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22" w:name="bookmark107"/>
      <w:bookmarkEnd w:id="22"/>
      <w:bookmarkStart w:id="23" w:name="bookmark108"/>
      <w:bookmarkEnd w:id="23"/>
      <w:bookmarkStart w:id="24" w:name="_Toc10795"/>
      <w:r>
        <w:rPr>
          <w:rFonts w:hint="eastAsia" w:ascii="Times New Roman" w:hAnsi="Times New Roman" w:eastAsia="黑体" w:cs="Times New Roman"/>
          <w:b/>
          <w:bCs/>
          <w:snapToGrid w:val="0"/>
          <w:color w:val="auto"/>
          <w:kern w:val="0"/>
          <w:sz w:val="24"/>
          <w:szCs w:val="24"/>
          <w:highlight w:val="none"/>
        </w:rPr>
        <w:t>6.5、运行维护手册</w:t>
      </w:r>
      <w:bookmarkEnd w:id="24"/>
    </w:p>
    <w:p w14:paraId="4BE510C6">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在开始运营之前，运营承包方应根据所适用的法律和谨慎运行惯例编制运行维护手册。该手册应包括设施设备的定期和年度检查，以及日常运行维护、大修维护、设备检修的内容、程序和频率等事项。该手册应列明本项目正常运营所需的消耗性备品备件和事故抢修的备品备件，并在开始正式运营之前报送委托方备案。</w:t>
      </w:r>
    </w:p>
    <w:p w14:paraId="3483EF06">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25" w:name="bookmark109"/>
      <w:bookmarkEnd w:id="25"/>
      <w:bookmarkStart w:id="26" w:name="bookmark110"/>
      <w:bookmarkEnd w:id="26"/>
      <w:bookmarkStart w:id="27" w:name="_Toc31860"/>
      <w:r>
        <w:rPr>
          <w:rFonts w:hint="eastAsia" w:ascii="Times New Roman" w:hAnsi="Times New Roman" w:eastAsia="黑体" w:cs="Times New Roman"/>
          <w:b/>
          <w:bCs/>
          <w:snapToGrid w:val="0"/>
          <w:color w:val="auto"/>
          <w:kern w:val="0"/>
          <w:sz w:val="24"/>
          <w:szCs w:val="24"/>
          <w:highlight w:val="none"/>
        </w:rPr>
        <w:t>6.6、水样采集和储存</w:t>
      </w:r>
      <w:bookmarkEnd w:id="27"/>
    </w:p>
    <w:p w14:paraId="64F4F682">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（1）按照相关技术规范进行水样的采集和储存。</w:t>
      </w:r>
    </w:p>
    <w:p w14:paraId="7579CB65">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（2）用于检测水质的进水水样和出水水样应分别在污水进水采样点和污水出水采样点采集。</w:t>
      </w:r>
    </w:p>
    <w:p w14:paraId="02B5C6A8">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（3）委托方有权指定代表在任何时候对运营承包方的检测程序、仪器、设备和结果进行现场随机抽查和检测。</w:t>
      </w:r>
    </w:p>
    <w:p w14:paraId="6CCF324B">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（4）委托方核实或抽查的结果与运营承包方自检结果不一致时，应以双方认可的有资质的第三方检测结果为准。聘请第三方的检测细则、检测装置的选择等由双方另行约定。</w:t>
      </w:r>
    </w:p>
    <w:p w14:paraId="30AD7D9F">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28" w:name="bookmark112"/>
      <w:bookmarkEnd w:id="28"/>
      <w:bookmarkStart w:id="29" w:name="bookmark111"/>
      <w:bookmarkEnd w:id="29"/>
      <w:bookmarkStart w:id="30" w:name="_Toc14905"/>
      <w:r>
        <w:rPr>
          <w:rFonts w:hint="eastAsia" w:ascii="Times New Roman" w:hAnsi="Times New Roman" w:eastAsia="黑体" w:cs="Times New Roman"/>
          <w:b/>
          <w:bCs/>
          <w:snapToGrid w:val="0"/>
          <w:color w:val="auto"/>
          <w:kern w:val="0"/>
          <w:sz w:val="24"/>
          <w:szCs w:val="24"/>
          <w:highlight w:val="none"/>
        </w:rPr>
        <w:t>6.7、水量的计量</w:t>
      </w:r>
      <w:bookmarkEnd w:id="30"/>
    </w:p>
    <w:p w14:paraId="3F91A31E">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运营承包方应安装经委托方核准的计量检测装置，计量本项目的进水量及出水量，并与委托方及其他监管部门实时联通。在开始运营日或双方约定的时间，双方应将所有安装的流量计设定一个基础读数，以确定每一流量计的原始值。进、出水流量由运营承包方在每月固定日期抄表，以确定进、出水水量。水量以立方米计算。委托方有权随时核查流量计读数及运营承包方的抄表记录。如果双方就水量计量结果存在分歧，任何一方有权提请有资质的第三方进行检验确定。</w:t>
      </w:r>
    </w:p>
    <w:p w14:paraId="2718E0B9">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（2）运营承包方应使用符合要求的流量计连续测量、计算和记录在进水计量点提取的进水量和在出水计量点提取的出水量。包括瞬时流量和时、日、月、年的累计流量。</w:t>
      </w:r>
      <w:bookmarkStart w:id="31" w:name="bookmark114"/>
      <w:bookmarkEnd w:id="31"/>
      <w:bookmarkStart w:id="32" w:name="bookmark113"/>
      <w:bookmarkEnd w:id="32"/>
    </w:p>
    <w:p w14:paraId="74440616">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33" w:name="_Toc1919"/>
      <w:r>
        <w:rPr>
          <w:rFonts w:hint="eastAsia" w:ascii="Times New Roman" w:hAnsi="Times New Roman" w:eastAsia="黑体" w:cs="Times New Roman"/>
          <w:b/>
          <w:bCs/>
          <w:snapToGrid w:val="0"/>
          <w:color w:val="auto"/>
          <w:kern w:val="0"/>
          <w:sz w:val="24"/>
          <w:szCs w:val="24"/>
          <w:highlight w:val="none"/>
        </w:rPr>
        <w:t>6.8、暂停服务</w:t>
      </w:r>
      <w:bookmarkEnd w:id="33"/>
    </w:p>
    <w:p w14:paraId="0FA6ED46">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运营承包方应于每年XX月XX日前向委托方提交下一年度维护计划，将重大维护和更新内容上报委托方。如属于维护计划内的暂停服务，运营承包方应提前至少15个工作日通知委托方。委托方应在5个工作日内给予书面答复，如果委托方没有答复，运营承包方在计划内暂停服务应被视为获得委托方批准。运营承包方应尽最大努力使计划内暂停服务的影响降低到最低，并使本项目设施设备的处理能力在计划内暂停服务期间维持不少于50%的设计处理能力。每一个运营年运营承包方计划内暂停服务不得多于10个工作日。暂停服务期间污水处理服务费按实际污水处理量支付。（相关时间及暂停期间处理能力等</w:t>
      </w:r>
      <w:r>
        <w:rPr>
          <w:rFonts w:ascii="Times New Roman" w:hAnsi="Times New Roman" w:eastAsia="Arial" w:cs="Times New Roman"/>
          <w:snapToGrid w:val="0"/>
          <w:color w:val="auto"/>
          <w:kern w:val="0"/>
          <w:sz w:val="24"/>
          <w:szCs w:val="24"/>
          <w:highlight w:val="none"/>
        </w:rPr>
        <w:t>具体以</w:t>
      </w:r>
      <w:r>
        <w:rPr>
          <w:rFonts w:hint="eastAsia" w:ascii="Times New Roman" w:hAnsi="Times New Roman" w:eastAsia="Arial" w:cs="Times New Roman"/>
          <w:snapToGrid w:val="0"/>
          <w:color w:val="auto"/>
          <w:kern w:val="0"/>
          <w:sz w:val="24"/>
          <w:szCs w:val="24"/>
          <w:highlight w:val="none"/>
        </w:rPr>
        <w:t>双方实际签订的</w:t>
      </w:r>
      <w:r>
        <w:rPr>
          <w:rFonts w:ascii="Times New Roman" w:hAnsi="Times New Roman" w:eastAsia="Arial" w:cs="Times New Roman"/>
          <w:snapToGrid w:val="0"/>
          <w:color w:val="auto"/>
          <w:kern w:val="0"/>
          <w:sz w:val="24"/>
          <w:szCs w:val="24"/>
          <w:highlight w:val="none"/>
        </w:rPr>
        <w:t>《</w:t>
      </w:r>
      <w:r>
        <w:rPr>
          <w:rFonts w:hint="eastAsia" w:ascii="Times New Roman" w:hAnsi="Times New Roman" w:eastAsia="Arial" w:cs="Times New Roman"/>
          <w:snapToGrid w:val="0"/>
          <w:color w:val="auto"/>
          <w:kern w:val="0"/>
          <w:sz w:val="24"/>
          <w:szCs w:val="24"/>
          <w:highlight w:val="none"/>
        </w:rPr>
        <w:t>委托</w:t>
      </w:r>
      <w:r>
        <w:rPr>
          <w:rFonts w:ascii="Times New Roman" w:hAnsi="Times New Roman" w:eastAsia="Arial" w:cs="Times New Roman"/>
          <w:snapToGrid w:val="0"/>
          <w:color w:val="auto"/>
          <w:kern w:val="0"/>
          <w:sz w:val="24"/>
          <w:szCs w:val="24"/>
          <w:highlight w:val="none"/>
        </w:rPr>
        <w:t>经营协议》约定为准</w:t>
      </w:r>
      <w:r>
        <w:rPr>
          <w:rFonts w:hint="eastAsia" w:ascii="Times New Roman" w:hAnsi="Times New Roman" w:eastAsia="Arial" w:cs="Times New Roman"/>
          <w:snapToGrid w:val="0"/>
          <w:color w:val="auto"/>
          <w:kern w:val="0"/>
          <w:sz w:val="24"/>
          <w:szCs w:val="24"/>
          <w:highlight w:val="none"/>
        </w:rPr>
        <w:t>）</w:t>
      </w:r>
    </w:p>
    <w:p w14:paraId="664258EE">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若发生计划外暂停服务，运营承包方应立即启动应急预案，并立即通知委托方及环保部门，解释其原因并尽最大努力在24小时内恢复正常服务。若因运营承包方原因计划外暂停服务超过24小时，运营承包方应按协议约定条款支付污水处理量不足的违约金。</w:t>
      </w:r>
    </w:p>
    <w:p w14:paraId="10C655E5">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（3）因设备突发故障、电力部门供电影响造成停产或部分停运，不构成违约。</w:t>
      </w:r>
    </w:p>
    <w:p w14:paraId="5F2B0E89">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（相关时间及具体违约金等</w:t>
      </w:r>
      <w:r>
        <w:rPr>
          <w:rFonts w:ascii="Times New Roman" w:hAnsi="Times New Roman" w:eastAsia="Arial" w:cs="Times New Roman"/>
          <w:snapToGrid w:val="0"/>
          <w:color w:val="auto"/>
          <w:kern w:val="0"/>
          <w:sz w:val="24"/>
          <w:szCs w:val="24"/>
          <w:highlight w:val="none"/>
        </w:rPr>
        <w:t>具体以</w:t>
      </w:r>
      <w:r>
        <w:rPr>
          <w:rFonts w:hint="eastAsia" w:ascii="Times New Roman" w:hAnsi="Times New Roman" w:eastAsia="Arial" w:cs="Times New Roman"/>
          <w:snapToGrid w:val="0"/>
          <w:color w:val="auto"/>
          <w:kern w:val="0"/>
          <w:sz w:val="24"/>
          <w:szCs w:val="24"/>
          <w:highlight w:val="none"/>
        </w:rPr>
        <w:t>双方实际签订的</w:t>
      </w:r>
      <w:r>
        <w:rPr>
          <w:rFonts w:ascii="Times New Roman" w:hAnsi="Times New Roman" w:eastAsia="Arial" w:cs="Times New Roman"/>
          <w:snapToGrid w:val="0"/>
          <w:color w:val="auto"/>
          <w:kern w:val="0"/>
          <w:sz w:val="24"/>
          <w:szCs w:val="24"/>
          <w:highlight w:val="none"/>
        </w:rPr>
        <w:t>《</w:t>
      </w:r>
      <w:r>
        <w:rPr>
          <w:rFonts w:hint="eastAsia" w:ascii="Times New Roman" w:hAnsi="Times New Roman" w:eastAsia="Arial" w:cs="Times New Roman"/>
          <w:snapToGrid w:val="0"/>
          <w:color w:val="auto"/>
          <w:kern w:val="0"/>
          <w:sz w:val="24"/>
          <w:szCs w:val="24"/>
          <w:highlight w:val="none"/>
        </w:rPr>
        <w:t>委托</w:t>
      </w:r>
      <w:r>
        <w:rPr>
          <w:rFonts w:ascii="Times New Roman" w:hAnsi="Times New Roman" w:eastAsia="Arial" w:cs="Times New Roman"/>
          <w:snapToGrid w:val="0"/>
          <w:color w:val="auto"/>
          <w:kern w:val="0"/>
          <w:sz w:val="24"/>
          <w:szCs w:val="24"/>
          <w:highlight w:val="none"/>
        </w:rPr>
        <w:t>经营协议》约定为准</w:t>
      </w:r>
      <w:r>
        <w:rPr>
          <w:rFonts w:hint="eastAsia" w:ascii="Times New Roman" w:hAnsi="Times New Roman" w:eastAsia="Arial" w:cs="Times New Roman"/>
          <w:snapToGrid w:val="0"/>
          <w:color w:val="auto"/>
          <w:kern w:val="0"/>
          <w:sz w:val="24"/>
          <w:szCs w:val="24"/>
          <w:highlight w:val="none"/>
        </w:rPr>
        <w:t>）</w:t>
      </w:r>
      <w:bookmarkStart w:id="34" w:name="bookmark115"/>
      <w:bookmarkEnd w:id="34"/>
      <w:bookmarkStart w:id="35" w:name="bookmark116"/>
      <w:bookmarkEnd w:id="35"/>
      <w:bookmarkStart w:id="36" w:name="_Toc24222"/>
    </w:p>
    <w:p w14:paraId="70F938E6">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6.9、出水和污泥的所有权</w:t>
      </w:r>
      <w:bookmarkEnd w:id="36"/>
    </w:p>
    <w:p w14:paraId="7C00536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（1）在运营期间委托方始终拥有出水和污泥的所有权。</w:t>
      </w:r>
    </w:p>
    <w:p w14:paraId="304CC314">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（2）委托方、运营承包方双方协商约定进一步处理处置污泥产生的效益。</w:t>
      </w:r>
    </w:p>
    <w:p w14:paraId="132069AF">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宋体" w:cs="Times New Roman"/>
          <w:snapToGrid w:val="0"/>
          <w:color w:val="auto"/>
          <w:kern w:val="0"/>
          <w:sz w:val="28"/>
          <w:szCs w:val="28"/>
          <w:highlight w:val="none"/>
          <w:lang w:bidi="zh-CN"/>
        </w:rPr>
      </w:pPr>
      <w:r>
        <w:rPr>
          <w:rFonts w:hint="eastAsia" w:ascii="Times New Roman" w:hAnsi="Times New Roman" w:eastAsia="Arial" w:cs="Times New Roman"/>
          <w:snapToGrid w:val="0"/>
          <w:color w:val="auto"/>
          <w:kern w:val="0"/>
          <w:sz w:val="24"/>
          <w:szCs w:val="24"/>
          <w:highlight w:val="none"/>
        </w:rPr>
        <w:t>（3）再生水利用的收益归运营承包方。</w:t>
      </w:r>
    </w:p>
    <w:p w14:paraId="09C2ADB7">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37" w:name="bookmark118"/>
      <w:bookmarkEnd w:id="37"/>
      <w:bookmarkStart w:id="38" w:name="bookmark117"/>
      <w:bookmarkEnd w:id="38"/>
      <w:bookmarkStart w:id="39" w:name="_Toc25694"/>
      <w:r>
        <w:rPr>
          <w:rFonts w:hint="eastAsia" w:ascii="Times New Roman" w:hAnsi="Times New Roman" w:eastAsia="黑体" w:cs="Times New Roman"/>
          <w:b/>
          <w:bCs/>
          <w:snapToGrid w:val="0"/>
          <w:color w:val="auto"/>
          <w:kern w:val="0"/>
          <w:sz w:val="24"/>
          <w:szCs w:val="24"/>
          <w:highlight w:val="none"/>
        </w:rPr>
        <w:t>6.10、环境保护</w:t>
      </w:r>
      <w:bookmarkEnd w:id="39"/>
    </w:p>
    <w:p w14:paraId="32B3735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（1）运营承包方应始终遵守有关公共卫生和安全的法律法规及委托运营协议的规定。</w:t>
      </w:r>
    </w:p>
    <w:p w14:paraId="57CBEFD7">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（2）运营承包方不可因项目的运营和维护而造成污水处理项目场地（包括地下水、土壤、地表水及空气）或周围环境的污染。</w:t>
      </w:r>
    </w:p>
    <w:p w14:paraId="198FB442">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运营承包方在项目的运营和维护期间应采取一切合理措施来避免或尽量减少对项目周边环境敏感区的干扰。</w:t>
      </w:r>
    </w:p>
    <w:p w14:paraId="49500D93">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宋体" w:cs="Times New Roman"/>
          <w:snapToGrid w:val="0"/>
          <w:color w:val="auto"/>
          <w:kern w:val="0"/>
          <w:sz w:val="30"/>
          <w:szCs w:val="30"/>
          <w:highlight w:val="none"/>
          <w:lang w:bidi="zh-CN"/>
        </w:rPr>
      </w:pPr>
      <w:r>
        <w:rPr>
          <w:rFonts w:hint="eastAsia" w:ascii="Times New Roman" w:hAnsi="Times New Roman" w:eastAsia="Arial" w:cs="Times New Roman"/>
          <w:snapToGrid w:val="0"/>
          <w:color w:val="auto"/>
          <w:kern w:val="0"/>
          <w:sz w:val="24"/>
          <w:szCs w:val="24"/>
          <w:highlight w:val="none"/>
        </w:rPr>
        <w:t>（3）但运营承包方对于以下任何一种情形不承担责任：1）委托运营协议生效前已经存在的或潜在且无法排除、修复的环境污染；2）由于委托方原因而产生的环境污染；3）因其他外部原因影响正常生产的。</w:t>
      </w:r>
    </w:p>
    <w:p w14:paraId="2005D7C4">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40" w:name="bookmark120"/>
      <w:bookmarkEnd w:id="40"/>
      <w:bookmarkStart w:id="41" w:name="bookmark119"/>
      <w:bookmarkEnd w:id="41"/>
      <w:bookmarkStart w:id="42" w:name="_Toc6648"/>
      <w:r>
        <w:rPr>
          <w:rFonts w:hint="eastAsia" w:ascii="Times New Roman" w:hAnsi="Times New Roman" w:eastAsia="黑体" w:cs="Times New Roman"/>
          <w:b/>
          <w:bCs/>
          <w:snapToGrid w:val="0"/>
          <w:color w:val="auto"/>
          <w:kern w:val="0"/>
          <w:sz w:val="24"/>
          <w:szCs w:val="24"/>
          <w:highlight w:val="none"/>
        </w:rPr>
        <w:t>6.11、未履行维护的处理</w:t>
      </w:r>
      <w:bookmarkEnd w:id="42"/>
    </w:p>
    <w:p w14:paraId="00CCFA7C">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如果运营承包方违反运营协议约定的维护义务，委托方可就相应违约向运营承包方发出通知，限期完成纠正性维护。运营承包方在接到上述通知后应对污水处理项目进行纠正性维护。如运营承包方未在限期内进行纠正性维护，委托方有权自行或委托他人对项目进行纠正性维护，由此所发生的维护费用委托方有权从应付运营承包方的运营服务费中扣除。</w:t>
      </w:r>
      <w:bookmarkStart w:id="43" w:name="bookmark121"/>
      <w:bookmarkEnd w:id="43"/>
      <w:bookmarkStart w:id="44" w:name="bookmark122"/>
      <w:bookmarkEnd w:id="44"/>
      <w:bookmarkStart w:id="45" w:name="_Toc11273"/>
    </w:p>
    <w:p w14:paraId="412198CA">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6.12、污泥排放及标准</w:t>
      </w:r>
      <w:bookmarkEnd w:id="45"/>
    </w:p>
    <w:p w14:paraId="2E88C14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污泥处理处置应满足国家标准要求；并且：</w:t>
      </w:r>
    </w:p>
    <w:p w14:paraId="3A7DE6CD">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（1）污泥经脱水处理后，污泥含水率应小于60%；</w:t>
      </w:r>
    </w:p>
    <w:p w14:paraId="17E2BF42">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（2）委托方委托运营承包方或第三方运送污泥至政府指定场所进行专业处置，运送过程中不得对周围环境造成污染或不利影响。</w:t>
      </w:r>
    </w:p>
    <w:p w14:paraId="7C1F1A14">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46" w:name="bookmark123"/>
      <w:bookmarkEnd w:id="46"/>
      <w:bookmarkStart w:id="47" w:name="bookmark124"/>
      <w:bookmarkEnd w:id="47"/>
      <w:bookmarkStart w:id="48" w:name="_Toc1770"/>
      <w:r>
        <w:rPr>
          <w:rFonts w:hint="eastAsia" w:ascii="Times New Roman" w:hAnsi="Times New Roman" w:eastAsia="黑体" w:cs="Times New Roman"/>
          <w:b/>
          <w:bCs/>
          <w:snapToGrid w:val="0"/>
          <w:color w:val="auto"/>
          <w:kern w:val="0"/>
          <w:sz w:val="24"/>
          <w:szCs w:val="24"/>
          <w:highlight w:val="none"/>
        </w:rPr>
        <w:t>6.13、现场监管</w:t>
      </w:r>
      <w:bookmarkEnd w:id="48"/>
    </w:p>
    <w:p w14:paraId="1C049A97">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委托方及其代表在不干涉、延误或干扰运营承包方履行其在运营协议项下的义务时，有权在任何时候进入本项目现场按照相关规定对滨江污水处理厂的运营和维护进行监督和检查。</w:t>
      </w:r>
    </w:p>
    <w:p w14:paraId="3FE251CB">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委托方有权要求运营承包方提交与生产、经营有关的报表、报告和资料，予以保密且不向任何第三人泄露（政府相关管理机构行使行政职权除外）。</w:t>
      </w:r>
    </w:p>
    <w:p w14:paraId="21E4E79A">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49" w:name="bookmark125"/>
      <w:bookmarkEnd w:id="49"/>
      <w:bookmarkStart w:id="50" w:name="bookmark126"/>
      <w:bookmarkEnd w:id="50"/>
      <w:bookmarkStart w:id="51" w:name="_Toc1530"/>
      <w:r>
        <w:rPr>
          <w:rFonts w:hint="eastAsia" w:ascii="Times New Roman" w:hAnsi="Times New Roman" w:eastAsia="黑体" w:cs="Times New Roman"/>
          <w:b/>
          <w:bCs/>
          <w:snapToGrid w:val="0"/>
          <w:color w:val="auto"/>
          <w:kern w:val="0"/>
          <w:sz w:val="24"/>
          <w:szCs w:val="24"/>
          <w:highlight w:val="none"/>
        </w:rPr>
        <w:t>6.14、中期评估</w:t>
      </w:r>
      <w:bookmarkEnd w:id="51"/>
    </w:p>
    <w:p w14:paraId="2600D6D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滨江污水处理厂开始商业运营后的</w:t>
      </w:r>
      <w:r>
        <w:rPr>
          <w:rFonts w:hint="eastAsia" w:ascii="Times New Roman" w:hAnsi="Times New Roman" w:eastAsia="Arial" w:cs="Times New Roman"/>
          <w:snapToGrid w:val="0"/>
          <w:color w:val="auto"/>
          <w:kern w:val="0"/>
          <w:sz w:val="24"/>
          <w:szCs w:val="24"/>
          <w:highlight w:val="none"/>
        </w:rPr>
        <w:t>第</w:t>
      </w:r>
      <w:r>
        <w:rPr>
          <w:rFonts w:hint="eastAsia" w:ascii="Times New Roman" w:hAnsi="Times New Roman" w:eastAsia="宋体" w:cs="Times New Roman"/>
          <w:snapToGrid w:val="0"/>
          <w:color w:val="auto"/>
          <w:kern w:val="0"/>
          <w:sz w:val="24"/>
          <w:szCs w:val="24"/>
          <w:highlight w:val="none"/>
          <w:lang w:val="en-US" w:eastAsia="zh-CN"/>
        </w:rPr>
        <w:t>3</w:t>
      </w:r>
      <w:r>
        <w:rPr>
          <w:rFonts w:hint="eastAsia" w:ascii="Times New Roman" w:hAnsi="Times New Roman" w:eastAsia="Arial" w:cs="Times New Roman"/>
          <w:snapToGrid w:val="0"/>
          <w:color w:val="auto"/>
          <w:kern w:val="0"/>
          <w:sz w:val="24"/>
          <w:szCs w:val="24"/>
          <w:highlight w:val="none"/>
        </w:rPr>
        <w:t>个年度</w:t>
      </w:r>
      <w:r>
        <w:rPr>
          <w:rFonts w:hint="eastAsia" w:ascii="Times New Roman" w:hAnsi="Times New Roman" w:eastAsia="Arial" w:cs="Times New Roman"/>
          <w:snapToGrid w:val="0"/>
          <w:color w:val="auto"/>
          <w:kern w:val="0"/>
          <w:sz w:val="24"/>
          <w:szCs w:val="24"/>
          <w:highlight w:val="none"/>
        </w:rPr>
        <w:t>（含正式运营开始的当年度在内），委托方可组织开展中期评估。</w:t>
      </w:r>
    </w:p>
    <w:p w14:paraId="40EDBAD9">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（1）中期评估包括但不限于以下内容：</w:t>
      </w:r>
    </w:p>
    <w:p w14:paraId="6A26DB64">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1）本项目建设与改造是否依据规定的基本建设程序和规划要求执行；</w:t>
      </w:r>
    </w:p>
    <w:p w14:paraId="371ADFC6">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2）提供的产品和服务是否满足各类标准和规范的要求；</w:t>
      </w:r>
    </w:p>
    <w:p w14:paraId="0324AC9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3）应急预案的制定、执行情况；</w:t>
      </w:r>
    </w:p>
    <w:p w14:paraId="0458C901">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4）重要设备、设施的完好情况；</w:t>
      </w:r>
    </w:p>
    <w:p w14:paraId="7181159F">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5）安全生产和管理情况；</w:t>
      </w:r>
    </w:p>
    <w:p w14:paraId="466FC817">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6）社会公益性义务的执行情况；</w:t>
      </w:r>
    </w:p>
    <w:p w14:paraId="23F3EED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7）委托方认为需要评估的其他事项。</w:t>
      </w:r>
    </w:p>
    <w:p w14:paraId="7AFA631D">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运营承包方应在委托方要求的期限内对中期评估发现的问题进行整改，整改期限不超过1个月（具体在委托协议中约定）。中期评估过程中如发现运营承包方有违约行为，委托方可按照委托协议约定追究运营承包方的违约责任。</w:t>
      </w:r>
    </w:p>
    <w:p w14:paraId="6CBEE911">
      <w:pPr>
        <w:widowControl/>
        <w:kinsoku w:val="0"/>
        <w:wordWrap w:val="0"/>
        <w:autoSpaceDE w:val="0"/>
        <w:autoSpaceDN w:val="0"/>
        <w:adjustRightInd w:val="0"/>
        <w:snapToGrid w:val="0"/>
        <w:spacing w:line="600" w:lineRule="exact"/>
        <w:textAlignment w:val="baseline"/>
        <w:rPr>
          <w:rFonts w:ascii="Arial" w:hAnsi="Arial" w:eastAsia="Arial" w:cs="Arial"/>
          <w:snapToGrid w:val="0"/>
          <w:color w:val="auto"/>
          <w:kern w:val="0"/>
          <w:szCs w:val="21"/>
          <w:highlight w:val="none"/>
        </w:rPr>
      </w:pPr>
      <w:r>
        <w:rPr>
          <w:rFonts w:hint="eastAsia" w:ascii="Times New Roman" w:hAnsi="Times New Roman" w:eastAsia="黑体" w:cs="Times New Roman"/>
          <w:b/>
          <w:bCs/>
          <w:snapToGrid w:val="0"/>
          <w:color w:val="auto"/>
          <w:kern w:val="0"/>
          <w:sz w:val="24"/>
          <w:szCs w:val="24"/>
          <w:highlight w:val="none"/>
        </w:rPr>
        <w:t>7、</w:t>
      </w:r>
      <w:bookmarkStart w:id="52" w:name="_Toc20702"/>
      <w:r>
        <w:rPr>
          <w:rFonts w:hint="eastAsia" w:ascii="Times New Roman" w:hAnsi="Times New Roman" w:eastAsia="黑体" w:cs="Times New Roman"/>
          <w:b/>
          <w:bCs/>
          <w:snapToGrid w:val="0"/>
          <w:color w:val="auto"/>
          <w:kern w:val="0"/>
          <w:sz w:val="24"/>
          <w:szCs w:val="24"/>
          <w:highlight w:val="none"/>
        </w:rPr>
        <w:t>运营服务费用</w:t>
      </w:r>
      <w:bookmarkEnd w:id="52"/>
    </w:p>
    <w:p w14:paraId="370BBD51">
      <w:pPr>
        <w:widowControl/>
        <w:kinsoku w:val="0"/>
        <w:wordWrap w:val="0"/>
        <w:autoSpaceDE w:val="0"/>
        <w:autoSpaceDN w:val="0"/>
        <w:adjustRightInd w:val="0"/>
        <w:snapToGrid w:val="0"/>
        <w:spacing w:line="600" w:lineRule="exact"/>
        <w:textAlignment w:val="baseline"/>
        <w:rPr>
          <w:rFonts w:ascii="Times New Roman" w:hAnsi="Times New Roman" w:eastAsia="Arial" w:cs="Times New Roman"/>
          <w:b/>
          <w:snapToGrid w:val="0"/>
          <w:color w:val="auto"/>
          <w:kern w:val="0"/>
          <w:sz w:val="24"/>
          <w:szCs w:val="24"/>
          <w:highlight w:val="none"/>
        </w:rPr>
      </w:pPr>
      <w:bookmarkStart w:id="53" w:name="bookmark131"/>
      <w:bookmarkEnd w:id="53"/>
      <w:bookmarkStart w:id="54" w:name="_Toc29286"/>
      <w:r>
        <w:rPr>
          <w:rFonts w:hAnsi="宋体" w:eastAsia="宋体" w:cs="宋体"/>
          <w:color w:val="auto"/>
          <w:highlight w:val="none"/>
        </w:rPr>
        <w:t>★</w:t>
      </w:r>
      <w:r>
        <w:rPr>
          <w:rFonts w:hint="eastAsia" w:ascii="Times New Roman" w:hAnsi="Times New Roman" w:eastAsia="黑体" w:cs="Times New Roman"/>
          <w:b/>
          <w:bCs/>
          <w:snapToGrid w:val="0"/>
          <w:color w:val="auto"/>
          <w:kern w:val="0"/>
          <w:sz w:val="24"/>
          <w:szCs w:val="24"/>
          <w:highlight w:val="none"/>
        </w:rPr>
        <w:t>7.1、运营服务费用测算</w:t>
      </w:r>
      <w:bookmarkEnd w:id="54"/>
      <w:r>
        <w:rPr>
          <w:rFonts w:hint="eastAsia" w:ascii="Times New Roman" w:hAnsi="Times New Roman" w:eastAsia="黑体" w:cs="Times New Roman"/>
          <w:b/>
          <w:bCs/>
          <w:snapToGrid w:val="0"/>
          <w:color w:val="auto"/>
          <w:kern w:val="0"/>
          <w:sz w:val="24"/>
          <w:szCs w:val="24"/>
          <w:highlight w:val="none"/>
        </w:rPr>
        <w:t>（不含厂外一体化提升泵站及配套管网运维费）</w:t>
      </w:r>
    </w:p>
    <w:p w14:paraId="71DA8211">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滨江污水处理厂运营成本最高限价由第三方造价机构核定为0.673元/吨水，各项单价上限如下：外购原材料费0.112元/吨水、燃料及动力费0.281元/吨水、水费0.000元/吨水、职工薪酬0.100元/吨水、修理费0.062元/吨水、尾水、尾气及污泥处置费0.035元/吨水、化验检验费0.000元/吨水、房产税及土地使用税0.036元/吨水、其他费用0.047元/吨水。其中水费、化验检验费包干纳入本次运营服务范围。</w:t>
      </w:r>
    </w:p>
    <w:p w14:paraId="7D4BBFFB">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为落实《关于加强城市生活污水管网建设和运行维护的通知》（建城〔2024〕18号）、《湖南省城镇污水管网建设运行管理若干规定》、《关于推进城镇生活污水处理质效提升行动的通知》（湘建城〔2024〕63号）等文件要求，全面推行按效付费机制，提升设施运行质效。本项目污水处理服务费按费用性质划分为两类：一是物料能耗费，包含外购原材料费、燃料及动力费；二是运维其他综合费用，包含水费、职工薪酬、修理费、尾水、尾气及污泥处置费、化验检验费、房产税、土地使用税、其他费用。</w:t>
      </w:r>
    </w:p>
    <w:p w14:paraId="3E8E296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一、服务费计算公式</w:t>
      </w:r>
    </w:p>
    <w:p w14:paraId="6CC1EE49">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污水处理按效付费服务费计算公式：当日污水处理服务费=运维其他综合费用单价×单日设计水量+物料能耗费（固定部分）单价×当日实际处理水量+物料能耗费（可变部分）单价×污染物综合削减率×调整系数×当日实际处理水量</w:t>
      </w:r>
    </w:p>
    <w:p w14:paraId="3F698D75">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二、水量计费规则</w:t>
      </w:r>
    </w:p>
    <w:p w14:paraId="601FE88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本项目单日设计处理水量上限为4万m³。单日实际进水量≤4万m³的，按上述公式正常计费；单日实际进水量＞4万m³的，超出4万m³部分对应的物料能耗费（含固定、可变部分），按按效付费调整后单价的50%计取；运维其他综合费用仍按原标准全额计取。</w:t>
      </w:r>
    </w:p>
    <w:p w14:paraId="6402A9FF">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三、污染物综合削减率核算规则</w:t>
      </w:r>
    </w:p>
    <w:p w14:paraId="03142C8E">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污染物浓度削减量为单项污染物进水浓度与出水浓度的差值。综合削减率采用COD、BOD、氨氮、总氮、总磷五项指标削减率加权平均计算，公式如下：综合削减率=∑（单项指标削减率×对应指标权值）。单项指标削减率=单项指标实际浓度削减量÷单项指标设计浓度削减量。</w:t>
      </w:r>
    </w:p>
    <w:p w14:paraId="29386E9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综合削减率取值规则：计算结果＞100%时，按100%取值。</w:t>
      </w:r>
    </w:p>
    <w:p w14:paraId="13079F72">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指标权值、物料能耗费固定与可变部分拆分比例、调整系数，均以第三方咨询机构出具的正式测算文件为准。本项目按效付费其余未尽事宜，均参照第三方机构测算数据执行。</w:t>
      </w:r>
    </w:p>
    <w:p w14:paraId="2D32164A">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四、费用范围说明</w:t>
      </w:r>
    </w:p>
    <w:p w14:paraId="7990FA7F">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lang w:val="en-US" w:eastAsia="zh-CN"/>
        </w:rPr>
      </w:pPr>
      <w:r>
        <w:rPr>
          <w:rFonts w:hint="eastAsia" w:ascii="Times New Roman" w:hAnsi="Times New Roman" w:eastAsia="Arial" w:cs="Times New Roman"/>
          <w:snapToGrid w:val="0"/>
          <w:color w:val="auto"/>
          <w:kern w:val="0"/>
          <w:sz w:val="24"/>
          <w:szCs w:val="24"/>
          <w:highlight w:val="none"/>
          <w:lang w:val="en-US" w:eastAsia="zh-CN"/>
        </w:rPr>
        <w:t>本次运营服务费包含厂区内污泥脱水、污泥运输相关成本；污泥终端处置费用不纳入本服务费，由市政府统一对接处置单位结算。</w:t>
      </w:r>
    </w:p>
    <w:p w14:paraId="1FAFFDE8">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五、厂外设施运维约定</w:t>
      </w:r>
    </w:p>
    <w:p w14:paraId="31A0A6E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lang w:val="en-US" w:eastAsia="zh-CN"/>
        </w:rPr>
        <w:t>厂外一体化提升泵站运维费用实行财政单列，据实拨付。配套污水管网日常养护由运营方负责；管网发生淤堵、破损等故障需应急抢修的，运营方须及时上报应急处置方案，经委托方批复后方可实施，抢修费用由市财政据实保障。厂外泵站及管网相关运维事项实行专项商议管理。</w:t>
      </w:r>
    </w:p>
    <w:p w14:paraId="3CBE9ABE">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55" w:name="bookmark134"/>
      <w:bookmarkEnd w:id="55"/>
      <w:bookmarkStart w:id="56" w:name="bookmark133"/>
      <w:bookmarkEnd w:id="56"/>
      <w:bookmarkStart w:id="57" w:name="_Toc14306"/>
      <w:r>
        <w:rPr>
          <w:rFonts w:hint="eastAsia" w:ascii="Times New Roman" w:hAnsi="Times New Roman" w:eastAsia="黑体" w:cs="Times New Roman"/>
          <w:b/>
          <w:bCs/>
          <w:snapToGrid w:val="0"/>
          <w:color w:val="auto"/>
          <w:kern w:val="0"/>
          <w:sz w:val="24"/>
          <w:szCs w:val="24"/>
          <w:highlight w:val="none"/>
        </w:rPr>
        <w:t>7.2、运营服务费用的调整</w:t>
      </w:r>
      <w:bookmarkEnd w:id="57"/>
    </w:p>
    <w:p w14:paraId="24FBE24E">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1）在运营期内，每满两个运营年双方可根据能源价格、原材料价格、人员工资的变动或政策法规的变更影响等因素，按照运营协议约定的费用调整内容及计算公式的计算结果提出调整运营服务费的要求，同时提交价格等因素变动的依据和按照委托运营协议约定的费用计算公式计算变动后的运营服务费的具体方法。在收到调整费用申请后，委托方应会同财政、发改等相关部门履行必要的审核、查验程序并在1个月内给予答复。</w:t>
      </w:r>
    </w:p>
    <w:p w14:paraId="75430E0B">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（2）如果根据委托协议约定的费用计算公式计算的运营服务费变动幅度在</w:t>
      </w:r>
    </w:p>
    <w:p w14:paraId="26200167">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2%之内的，不在调整的范围内。超出此变动幅度的，按委托协议约定的运营费用条款处理。</w:t>
      </w:r>
      <w:bookmarkStart w:id="58" w:name="bookmark135"/>
      <w:bookmarkEnd w:id="58"/>
      <w:bookmarkStart w:id="59" w:name="bookmark136"/>
      <w:bookmarkEnd w:id="59"/>
      <w:bookmarkStart w:id="60" w:name="_Toc5926"/>
    </w:p>
    <w:p w14:paraId="07B252F9">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7.3、运营服务费的支付</w:t>
      </w:r>
      <w:bookmarkEnd w:id="60"/>
    </w:p>
    <w:p w14:paraId="22CCAD35">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运营承包方应在每个运营月结束后5个工作日内根据委托运营协议约定计算的污水处理量及运营水价单价计算运营服务费，向委托方开具账单或付款通知，并同时向委托方提供当月运营报告，包括污水处理量、污染物排放监测报告、设施设备运行状态等情况。委托方在收到账单或付款通知后5个工作日内支付运营服务费。</w:t>
      </w:r>
    </w:p>
    <w:p w14:paraId="17ACA240">
      <w:pPr>
        <w:widowControl/>
        <w:kinsoku w:val="0"/>
        <w:wordWrap w:val="0"/>
        <w:autoSpaceDE w:val="0"/>
        <w:autoSpaceDN w:val="0"/>
        <w:adjustRightInd w:val="0"/>
        <w:snapToGrid w:val="0"/>
        <w:spacing w:line="600" w:lineRule="exact"/>
        <w:ind w:firstLine="480" w:firstLineChars="200"/>
        <w:textAlignment w:val="baseline"/>
        <w:rPr>
          <w:rFonts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若每个运营月内含有额外费用，例如设备维修费、更换费、应急抢修费等，相应费用计入当月结算费用内，与运营服务费一起结算。</w:t>
      </w:r>
    </w:p>
    <w:p w14:paraId="40DD2B10">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61" w:name="bookmark138"/>
      <w:bookmarkEnd w:id="61"/>
      <w:bookmarkStart w:id="62" w:name="bookmark137"/>
      <w:bookmarkEnd w:id="62"/>
      <w:bookmarkStart w:id="63" w:name="_Toc8291"/>
      <w:r>
        <w:rPr>
          <w:rFonts w:hint="eastAsia" w:ascii="Times New Roman" w:hAnsi="Times New Roman" w:eastAsia="黑体" w:cs="Times New Roman"/>
          <w:b/>
          <w:bCs/>
          <w:snapToGrid w:val="0"/>
          <w:color w:val="auto"/>
          <w:kern w:val="0"/>
          <w:sz w:val="24"/>
          <w:szCs w:val="24"/>
          <w:highlight w:val="none"/>
        </w:rPr>
        <w:t>7.4、污水进水水质低于设计水质标准</w:t>
      </w:r>
      <w:bookmarkEnd w:id="63"/>
    </w:p>
    <w:p w14:paraId="1CB90F1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如果污水进水水质任何一个指标低于设计进水水质指标的50%达七日以上，由甲乙双方协商另外支付相关应急处置费用。</w:t>
      </w:r>
      <w:bookmarkStart w:id="64" w:name="bookmark139"/>
      <w:bookmarkEnd w:id="64"/>
      <w:bookmarkStart w:id="65" w:name="bookmark140"/>
      <w:bookmarkEnd w:id="65"/>
      <w:bookmarkStart w:id="66" w:name="_Toc11520"/>
    </w:p>
    <w:p w14:paraId="34AA38C9">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7.5、污水进水水质超标</w:t>
      </w:r>
      <w:bookmarkEnd w:id="66"/>
    </w:p>
    <w:p w14:paraId="30993773">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宋体" w:cs="Times New Roman"/>
          <w:snapToGrid w:val="0"/>
          <w:color w:val="auto"/>
          <w:kern w:val="0"/>
          <w:sz w:val="30"/>
          <w:szCs w:val="30"/>
          <w:highlight w:val="none"/>
          <w:lang w:bidi="zh-CN"/>
        </w:rPr>
      </w:pPr>
      <w:r>
        <w:rPr>
          <w:rFonts w:hint="eastAsia" w:ascii="Times New Roman" w:hAnsi="Times New Roman" w:eastAsia="Arial" w:cs="Times New Roman"/>
          <w:snapToGrid w:val="0"/>
          <w:color w:val="auto"/>
          <w:kern w:val="0"/>
          <w:sz w:val="24"/>
          <w:szCs w:val="24"/>
          <w:highlight w:val="none"/>
        </w:rPr>
        <w:t>如果污水进水水质超过委托协议约定的标准致使运营委托方不能履行其在委托协议项下的义务，配套污水管网发生淤堵、破损等影响运行需要应急抢修的，运营承包方应立即报告委托方，委托方应额外增加应急处置抢修产生的费用。</w:t>
      </w:r>
    </w:p>
    <w:p w14:paraId="7BF82E3B">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67" w:name="bookmark142"/>
      <w:bookmarkEnd w:id="67"/>
      <w:bookmarkStart w:id="68" w:name="bookmark141"/>
      <w:bookmarkEnd w:id="68"/>
      <w:bookmarkStart w:id="69" w:name="_Toc30168"/>
      <w:r>
        <w:rPr>
          <w:rFonts w:hint="eastAsia" w:ascii="Times New Roman" w:hAnsi="Times New Roman" w:eastAsia="黑体" w:cs="Times New Roman"/>
          <w:b/>
          <w:bCs/>
          <w:snapToGrid w:val="0"/>
          <w:color w:val="auto"/>
          <w:kern w:val="0"/>
          <w:sz w:val="24"/>
          <w:szCs w:val="24"/>
          <w:highlight w:val="none"/>
        </w:rPr>
        <w:t>7.6、出水水质超标</w:t>
      </w:r>
      <w:bookmarkEnd w:id="69"/>
    </w:p>
    <w:p w14:paraId="66ED7F24">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每日处理后排放的任何一种出水水质指标超过委托运营协议约定的标准，当日出水应视为超标，全年出水合格率达到95%以上视为达标（以累计超标日为依据），如未达标，运营承包方应向委托方支付违约金（由外部原因造成出水水质不能达标时除外）。</w:t>
      </w:r>
    </w:p>
    <w:p w14:paraId="49B0E03D">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出水水质超标违约金额由双方具体在委托运营协议中进行约定。</w:t>
      </w:r>
      <w:bookmarkStart w:id="70" w:name="bookmark144"/>
      <w:bookmarkEnd w:id="70"/>
      <w:bookmarkStart w:id="71" w:name="bookmark143"/>
      <w:bookmarkEnd w:id="71"/>
      <w:bookmarkStart w:id="72" w:name="_Toc22583"/>
    </w:p>
    <w:p w14:paraId="588AD009">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7.7、污水处理相应标准的调整</w:t>
      </w:r>
      <w:bookmarkEnd w:id="72"/>
    </w:p>
    <w:p w14:paraId="1C966F7D">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因执行国家政府部门政策，调整污水处理相应标准，造成项目运营成本的增加或运营承包方额外的资本性支出，运营承包方有权获得相应的补偿。</w:t>
      </w:r>
    </w:p>
    <w:p w14:paraId="4AB69838">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但因运营承包方原因，导致项目不能及时按要求完成调整的，委托方有权根据委托运营协议启动临时接管或终止程序。</w:t>
      </w:r>
    </w:p>
    <w:p w14:paraId="59EC498F">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bookmarkStart w:id="73" w:name="bookmark145"/>
      <w:bookmarkEnd w:id="73"/>
      <w:bookmarkStart w:id="74" w:name="bookmark146"/>
      <w:bookmarkEnd w:id="74"/>
      <w:bookmarkStart w:id="75" w:name="_Toc8083"/>
      <w:r>
        <w:rPr>
          <w:rFonts w:hint="eastAsia" w:ascii="Times New Roman" w:hAnsi="Times New Roman" w:eastAsia="黑体" w:cs="Times New Roman"/>
          <w:b/>
          <w:bCs/>
          <w:snapToGrid w:val="0"/>
          <w:color w:val="auto"/>
          <w:kern w:val="0"/>
          <w:sz w:val="24"/>
          <w:szCs w:val="24"/>
          <w:highlight w:val="none"/>
        </w:rPr>
        <w:t>7.8、处理水量不足违约金</w:t>
      </w:r>
      <w:bookmarkEnd w:id="75"/>
    </w:p>
    <w:p w14:paraId="4D19FEA9">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除因委托方的违约或不可抗力，在运营期内任一运营日，运营承包方在本污水处理厂设计处理能力之内且未能对全部污水进行处理时，运营承包方应根据委托运营协议支付违约金。</w:t>
      </w:r>
      <w:bookmarkStart w:id="76" w:name="bookmark148"/>
      <w:bookmarkEnd w:id="76"/>
      <w:bookmarkStart w:id="77" w:name="bookmark147"/>
      <w:bookmarkEnd w:id="77"/>
      <w:bookmarkStart w:id="78" w:name="_Toc20100"/>
    </w:p>
    <w:p w14:paraId="7117E3C6">
      <w:pPr>
        <w:widowControl/>
        <w:kinsoku w:val="0"/>
        <w:wordWrap w:val="0"/>
        <w:autoSpaceDE w:val="0"/>
        <w:autoSpaceDN w:val="0"/>
        <w:adjustRightInd w:val="0"/>
        <w:snapToGrid w:val="0"/>
        <w:spacing w:line="600" w:lineRule="exact"/>
        <w:textAlignment w:val="baseline"/>
        <w:rPr>
          <w:rFonts w:hint="eastAsia" w:ascii="Times New Roman" w:hAnsi="Times New Roman" w:eastAsia="Arial" w:cs="Times New Roman"/>
          <w:b/>
          <w:snapToGrid w:val="0"/>
          <w:color w:val="auto"/>
          <w:kern w:val="0"/>
          <w:sz w:val="24"/>
          <w:szCs w:val="24"/>
          <w:highlight w:val="none"/>
        </w:rPr>
      </w:pPr>
      <w:r>
        <w:rPr>
          <w:rFonts w:hint="eastAsia" w:ascii="Times New Roman" w:hAnsi="Times New Roman" w:eastAsia="黑体" w:cs="Times New Roman"/>
          <w:b/>
          <w:bCs/>
          <w:snapToGrid w:val="0"/>
          <w:color w:val="auto"/>
          <w:kern w:val="0"/>
          <w:sz w:val="24"/>
          <w:szCs w:val="24"/>
          <w:highlight w:val="none"/>
        </w:rPr>
        <w:t>7.9</w:t>
      </w:r>
      <w:r>
        <w:rPr>
          <w:rFonts w:hint="eastAsia" w:ascii="Times New Roman" w:hAnsi="Times New Roman" w:eastAsia="黑体" w:cs="Times New Roman"/>
          <w:b/>
          <w:bCs/>
          <w:snapToGrid w:val="0"/>
          <w:color w:val="auto"/>
          <w:kern w:val="0"/>
          <w:sz w:val="24"/>
          <w:szCs w:val="24"/>
          <w:highlight w:val="none"/>
          <w:lang w:eastAsia="zh-CN"/>
        </w:rPr>
        <w:t>、</w:t>
      </w:r>
      <w:r>
        <w:rPr>
          <w:rFonts w:hint="eastAsia" w:ascii="Times New Roman" w:hAnsi="Times New Roman" w:eastAsia="黑体" w:cs="Times New Roman"/>
          <w:b/>
          <w:bCs/>
          <w:snapToGrid w:val="0"/>
          <w:color w:val="auto"/>
          <w:kern w:val="0"/>
          <w:sz w:val="24"/>
          <w:szCs w:val="24"/>
          <w:highlight w:val="none"/>
        </w:rPr>
        <w:t>补助与奖励</w:t>
      </w:r>
      <w:bookmarkEnd w:id="78"/>
    </w:p>
    <w:p w14:paraId="34ED781F">
      <w:pPr>
        <w:widowControl/>
        <w:kinsoku w:val="0"/>
        <w:wordWrap w:val="0"/>
        <w:autoSpaceDE w:val="0"/>
        <w:autoSpaceDN w:val="0"/>
        <w:adjustRightInd w:val="0"/>
        <w:snapToGrid w:val="0"/>
        <w:spacing w:line="600" w:lineRule="exact"/>
        <w:ind w:firstLine="480" w:firstLineChars="200"/>
        <w:textAlignment w:val="baseline"/>
        <w:rPr>
          <w:rFonts w:hint="eastAsia" w:ascii="Times New Roman" w:hAnsi="Times New Roman" w:eastAsia="Arial" w:cs="Times New Roman"/>
          <w:snapToGrid w:val="0"/>
          <w:color w:val="auto"/>
          <w:kern w:val="0"/>
          <w:sz w:val="24"/>
          <w:szCs w:val="24"/>
          <w:highlight w:val="none"/>
        </w:rPr>
      </w:pPr>
      <w:r>
        <w:rPr>
          <w:rFonts w:hint="eastAsia" w:ascii="Times New Roman" w:hAnsi="Times New Roman" w:eastAsia="Arial" w:cs="Times New Roman"/>
          <w:snapToGrid w:val="0"/>
          <w:color w:val="auto"/>
          <w:kern w:val="0"/>
          <w:sz w:val="24"/>
          <w:szCs w:val="24"/>
          <w:highlight w:val="none"/>
        </w:rPr>
        <w:t>政府部门对本污水处理厂的各种政策补助、奖励及贴息资金，均归委托方所有，委托方可根据运营考核情况给予运营承包方相应奖励（具体在委托运营协议中约定）。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C4D99"/>
    <w:rsid w:val="33EC4D99"/>
    <w:rsid w:val="3C1D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仿宋_GB2312"/>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图表标题"/>
    <w:next w:val="1"/>
    <w:qFormat/>
    <w:uiPriority w:val="0"/>
    <w:pPr>
      <w:kinsoku w:val="0"/>
      <w:autoSpaceDE w:val="0"/>
      <w:autoSpaceDN w:val="0"/>
      <w:adjustRightInd w:val="0"/>
      <w:snapToGrid w:val="0"/>
      <w:jc w:val="center"/>
      <w:textAlignment w:val="baseline"/>
    </w:pPr>
    <w:rPr>
      <w:rFonts w:ascii="Arial" w:hAnsi="Arial" w:eastAsia="Arial" w:cs="Arial"/>
      <w:b/>
      <w:bCs/>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2181</Words>
  <Characters>2336</Characters>
  <Lines>0</Lines>
  <Paragraphs>0</Paragraphs>
  <TotalTime>1</TotalTime>
  <ScaleCrop>false</ScaleCrop>
  <LinksUpToDate>false</LinksUpToDate>
  <CharactersWithSpaces>2336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2026-05-28T02:30:00Z</dcterms:created>
  <dc:creator>Administrator</dc:creator>
  <cp:lastModifiedBy>Administrator</cp:lastModifiedBy>
  <dcterms:modified xsi:type="dcterms:W3CDTF">2026-05-28T04:17:35Z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0DBBE57736DC4A6AA4E84E576C7DB2A1_11</vt:lpwstr>
  </property>
  <property fmtid="{D5CDD505-2E9C-101B-9397-08002B2CF9AE}" pid="4" name="KSOTemplateDocerSaveRecord">
    <vt:lpwstr>eyJoZGlkIjoiMzAyNDlhZWZhYzY3NTc4ODVkMWFjNmIyMzkxZTEzMmEiLCJ1c2VySWQiOiIyNTQyMDY4NjEifQ==</vt:lpwstr>
  </property>
</Properties>
</file>