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楷体_GB2312" w:hAnsi="方正楷体_GB2312" w:eastAsia="方正楷体_GB2312" w:cs="方正楷体_GB2312"/>
          <w:b/>
          <w:bCs/>
          <w:color w:val="auto"/>
          <w:sz w:val="36"/>
          <w:szCs w:val="36"/>
          <w:lang w:val="en-US" w:eastAsia="zh-CN"/>
        </w:rPr>
      </w:pPr>
      <w:r>
        <w:rPr>
          <w:rFonts w:hint="eastAsia" w:ascii="方正楷体_GB2312" w:hAnsi="方正楷体_GB2312" w:eastAsia="方正楷体_GB2312" w:cs="方正楷体_GB2312"/>
          <w:b/>
          <w:bCs/>
          <w:color w:val="auto"/>
          <w:sz w:val="36"/>
          <w:szCs w:val="36"/>
          <w:lang w:val="en-US" w:eastAsia="zh-CN"/>
        </w:rPr>
        <w:t>衡阳市中医药康养与文旅融合发展若干规定</w:t>
      </w:r>
    </w:p>
    <w:p>
      <w:pPr>
        <w:ind w:left="0" w:leftChars="0" w:firstLine="0" w:firstLineChars="0"/>
        <w:jc w:val="center"/>
        <w:rPr>
          <w:rFonts w:hint="eastAsia" w:ascii="方正楷体_GB2312" w:hAnsi="方正楷体_GB2312" w:eastAsia="方正楷体_GB2312" w:cs="方正楷体_GB2312"/>
          <w:b/>
          <w:bCs/>
          <w:color w:val="auto"/>
          <w:sz w:val="36"/>
          <w:szCs w:val="36"/>
          <w:lang w:val="en-US" w:eastAsia="zh-CN"/>
        </w:rPr>
      </w:pPr>
      <w:r>
        <w:rPr>
          <w:rFonts w:hint="eastAsia" w:ascii="方正楷体_GB2312" w:hAnsi="方正楷体_GB2312" w:eastAsia="方正楷体_GB2312" w:cs="方正楷体_GB2312"/>
          <w:b/>
          <w:bCs/>
          <w:color w:val="auto"/>
          <w:sz w:val="36"/>
          <w:szCs w:val="36"/>
          <w:lang w:val="en-US" w:eastAsia="zh-CN"/>
        </w:rPr>
        <w:t>（征求意见稿）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楷体_GB2312" w:hAnsi="方正楷体_GB2312" w:eastAsia="方正楷体_GB2312" w:cs="方正楷体_GB2312"/>
          <w:color w:val="auto"/>
          <w:sz w:val="32"/>
          <w:szCs w:val="32"/>
          <w:lang w:val="en-US" w:eastAsia="zh-CN"/>
        </w:rPr>
      </w:pPr>
      <w:bookmarkStart w:id="0" w:name="_GoBack"/>
      <w:r>
        <w:rPr>
          <w:rFonts w:hint="eastAsia" w:ascii="方正楷体_GB2312" w:hAnsi="方正楷体_GB2312" w:eastAsia="方正楷体_GB2312" w:cs="方正楷体_GB2312"/>
          <w:b/>
          <w:bCs/>
          <w:color w:val="auto"/>
          <w:sz w:val="32"/>
          <w:szCs w:val="32"/>
          <w:lang w:val="en-US" w:eastAsia="zh-CN"/>
        </w:rPr>
        <w:t>第一条〔定义与适用范围〕</w:t>
      </w:r>
      <w:r>
        <w:rPr>
          <w:rFonts w:hint="eastAsia" w:ascii="方正楷体_GB2312" w:hAnsi="方正楷体_GB2312" w:eastAsia="方正楷体_GB2312" w:cs="方正楷体_GB2312"/>
          <w:color w:val="auto"/>
          <w:sz w:val="32"/>
          <w:szCs w:val="32"/>
          <w:lang w:val="en-US" w:eastAsia="zh-CN"/>
        </w:rPr>
        <w:t>本规定所称中医药康养，是指运用中医药理论和方法，以颐养生命、增强体质、预防疾病为目的，面向全生命周期所提供的健康服务及相关业态，包括中医诊疗、康复护理、养生保健、药膳食疗、健康咨询评估、中医药健康旅游及中医药文化体验等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2312" w:hAnsi="方正楷体_GB2312" w:eastAsia="方正楷体_GB2312" w:cs="方正楷体_GB2312"/>
          <w:b w:val="0"/>
          <w:bCs w:val="0"/>
          <w:sz w:val="32"/>
          <w:szCs w:val="32"/>
          <w:u w:val="none"/>
          <w:lang w:val="en-US" w:eastAsia="zh-CN"/>
        </w:rPr>
      </w:pPr>
      <w:r>
        <w:rPr>
          <w:rFonts w:hint="eastAsia" w:ascii="方正楷体_GB2312" w:hAnsi="方正楷体_GB2312" w:eastAsia="方正楷体_GB2312" w:cs="方正楷体_GB2312"/>
          <w:b w:val="0"/>
          <w:bCs w:val="0"/>
          <w:color w:val="auto"/>
          <w:sz w:val="32"/>
          <w:szCs w:val="32"/>
          <w:u w:val="none"/>
          <w:lang w:val="en-US" w:eastAsia="zh-CN"/>
        </w:rPr>
        <w:t>本规定所称中医药康养与文旅融合发展，是指将中医药康养与文旅资源、设施、活动相结合，形成的康养服务、旅游体验、文化传播等相互交融的产业形态。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color w:val="auto"/>
          <w:sz w:val="32"/>
          <w:szCs w:val="32"/>
          <w:lang w:val="en-US" w:eastAsia="zh-CN"/>
        </w:rPr>
        <w:t>本市行政区域内中医药康养与文旅融合发展等活动，适用本规定。</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楷体_GB2312" w:hAnsi="方正楷体_GB2312" w:eastAsia="方正楷体_GB2312" w:cs="方正楷体_GB2312"/>
          <w:b w:val="0"/>
          <w:bCs w:val="0"/>
          <w:color w:val="auto"/>
          <w:sz w:val="32"/>
          <w:szCs w:val="32"/>
          <w:u w:val="none"/>
          <w:lang w:val="en-US" w:eastAsia="zh-CN"/>
        </w:rPr>
      </w:pPr>
      <w:r>
        <w:rPr>
          <w:rFonts w:hint="eastAsia" w:ascii="方正楷体_GB2312" w:hAnsi="方正楷体_GB2312" w:eastAsia="方正楷体_GB2312" w:cs="方正楷体_GB2312"/>
          <w:b/>
          <w:bCs/>
          <w:color w:val="auto"/>
          <w:sz w:val="32"/>
          <w:szCs w:val="32"/>
          <w:u w:val="none"/>
          <w:lang w:val="en-US" w:eastAsia="zh-CN"/>
        </w:rPr>
        <w:t xml:space="preserve">第二条〔发展原则〕 </w:t>
      </w:r>
      <w:r>
        <w:rPr>
          <w:rFonts w:hint="eastAsia" w:ascii="方正楷体_GB2312" w:hAnsi="方正楷体_GB2312" w:eastAsia="方正楷体_GB2312" w:cs="方正楷体_GB2312"/>
          <w:b w:val="0"/>
          <w:bCs w:val="0"/>
          <w:color w:val="auto"/>
          <w:sz w:val="32"/>
          <w:szCs w:val="32"/>
          <w:u w:val="none"/>
          <w:lang w:val="en-US" w:eastAsia="zh-CN"/>
        </w:rPr>
        <w:t>本市中医药康养与文旅融合发展应当坚持全域统筹、重点引领、特色互补、协同并进的原则。以南岳区为核心引擎，带动其他县（市、区）发挥各自资源禀赋，形成全域联动的发展格局。</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 xml:space="preserve">第三条〔政府职责〕 </w:t>
      </w:r>
      <w:r>
        <w:rPr>
          <w:rFonts w:hint="eastAsia" w:ascii="方正楷体_GB2312" w:hAnsi="方正楷体_GB2312" w:eastAsia="方正楷体_GB2312" w:cs="方正楷体_GB2312"/>
          <w:color w:val="auto"/>
          <w:sz w:val="32"/>
          <w:szCs w:val="32"/>
          <w:lang w:val="en-US" w:eastAsia="zh-CN"/>
        </w:rPr>
        <w:t>市、县（市、区）人民政府应当将中医药康养与文旅融合发展事业纳入国民经济和社会发展规划；应当加强本行政区域内中医药康养与文旅融合发展工作的组织和领导，建立中医药康养与文旅融合发展综合协调机制，统筹解决中医药康养与文旅融合发展的重大问题，并将促进中医药康养与文旅融合发展工作经费纳入本级财政预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color w:val="auto"/>
          <w:sz w:val="32"/>
          <w:szCs w:val="32"/>
          <w:lang w:val="en-US" w:eastAsia="zh-CN"/>
        </w:rPr>
        <w:t>乡（镇）人民政府、街道办事处应当引导和推动本辖区内中医药康养与文旅融合发展工作。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2312" w:hAnsi="方正楷体_GB2312" w:eastAsia="方正楷体_GB2312" w:cs="方正楷体_GB2312"/>
          <w:sz w:val="32"/>
          <w:szCs w:val="32"/>
          <w:u w:val="none"/>
          <w:lang w:val="en-US" w:eastAsia="zh-CN"/>
        </w:rPr>
      </w:pPr>
      <w:r>
        <w:rPr>
          <w:rFonts w:hint="eastAsia" w:ascii="方正楷体_GB2312" w:hAnsi="方正楷体_GB2312" w:eastAsia="方正楷体_GB2312" w:cs="方正楷体_GB2312"/>
          <w:color w:val="auto"/>
          <w:sz w:val="32"/>
          <w:szCs w:val="32"/>
          <w:u w:val="none"/>
          <w:lang w:val="en-US" w:eastAsia="zh-CN"/>
        </w:rPr>
        <w:t>村（居）民委员会应当支持和协助开展中医药康养与文旅融合发展工作。</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 xml:space="preserve">第四条〔部门和其他组织职责〕 </w:t>
      </w:r>
      <w:r>
        <w:rPr>
          <w:rFonts w:hint="eastAsia" w:ascii="方正楷体_GB2312" w:hAnsi="方正楷体_GB2312" w:eastAsia="方正楷体_GB2312" w:cs="方正楷体_GB2312"/>
          <w:color w:val="auto"/>
          <w:sz w:val="32"/>
          <w:szCs w:val="32"/>
          <w:lang w:val="en-US" w:eastAsia="zh-CN"/>
        </w:rPr>
        <w:t>市、县（市、区）人民政府卫生健康部门负责中医药康养</w:t>
      </w:r>
      <w:r>
        <w:rPr>
          <w:rFonts w:hint="eastAsia" w:ascii="方正楷体_GB2312" w:hAnsi="方正楷体_GB2312" w:eastAsia="方正楷体_GB2312" w:cs="方正楷体_GB2312"/>
          <w:color w:val="auto"/>
          <w:sz w:val="32"/>
          <w:szCs w:val="32"/>
          <w:u w:val="none"/>
          <w:lang w:val="en-US" w:eastAsia="zh-CN"/>
        </w:rPr>
        <w:t>医疗</w:t>
      </w:r>
      <w:r>
        <w:rPr>
          <w:rFonts w:hint="eastAsia" w:ascii="方正楷体_GB2312" w:hAnsi="方正楷体_GB2312" w:eastAsia="方正楷体_GB2312" w:cs="方正楷体_GB2312"/>
          <w:color w:val="auto"/>
          <w:sz w:val="32"/>
          <w:szCs w:val="32"/>
          <w:lang w:val="en-US" w:eastAsia="zh-CN"/>
        </w:rPr>
        <w:t>服务的行业管理、技术指导和质量监管。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color w:val="auto"/>
          <w:sz w:val="32"/>
          <w:szCs w:val="32"/>
          <w:lang w:val="en-US" w:eastAsia="zh-CN"/>
        </w:rPr>
        <w:t>市、县（市、区）人民政府文化旅游部门负责文旅资源开发、线路整合、市场推广及旅游服务质量监管。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color w:val="auto"/>
          <w:sz w:val="32"/>
          <w:szCs w:val="32"/>
          <w:lang w:val="en-US" w:eastAsia="zh-CN"/>
        </w:rPr>
        <w:t>市、县（市、区）人民政府卫生健康部门和文化旅游部门应当按照职能分工，建立融合工作机制，合理统筹、均衡配置中医药康养与文旅资源，推动中医药康养与文旅资源融合。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color w:val="auto"/>
          <w:sz w:val="32"/>
          <w:szCs w:val="32"/>
          <w:lang w:val="en-US" w:eastAsia="zh-CN"/>
        </w:rPr>
        <w:t>市、县（市、区）人民政府发改、教育、科技、民政、财政、人社、自然资源、</w:t>
      </w:r>
      <w:r>
        <w:rPr>
          <w:rFonts w:hint="eastAsia" w:ascii="方正楷体_GB2312" w:hAnsi="方正楷体_GB2312" w:eastAsia="方正楷体_GB2312" w:cs="方正楷体_GB2312"/>
          <w:b w:val="0"/>
          <w:bCs w:val="0"/>
          <w:color w:val="auto"/>
          <w:sz w:val="32"/>
          <w:szCs w:val="32"/>
          <w:u w:val="none"/>
          <w:lang w:val="en-US" w:eastAsia="zh-CN"/>
        </w:rPr>
        <w:t>农业农村、商务、</w:t>
      </w:r>
      <w:r>
        <w:rPr>
          <w:rFonts w:hint="eastAsia" w:ascii="方正楷体_GB2312" w:hAnsi="方正楷体_GB2312" w:eastAsia="方正楷体_GB2312" w:cs="方正楷体_GB2312"/>
          <w:color w:val="auto"/>
          <w:sz w:val="32"/>
          <w:szCs w:val="32"/>
          <w:lang w:val="en-US" w:eastAsia="zh-CN"/>
        </w:rPr>
        <w:t>林业、医保等部门和</w:t>
      </w:r>
      <w:r>
        <w:rPr>
          <w:rFonts w:hint="eastAsia" w:ascii="方正楷体_GB2312" w:hAnsi="方正楷体_GB2312" w:eastAsia="方正楷体_GB2312" w:cs="方正楷体_GB2312"/>
          <w:b w:val="0"/>
          <w:bCs w:val="0"/>
          <w:color w:val="auto"/>
          <w:sz w:val="32"/>
          <w:szCs w:val="32"/>
          <w:u w:val="none"/>
          <w:lang w:val="en-US" w:eastAsia="zh-CN"/>
        </w:rPr>
        <w:t>总工会</w:t>
      </w:r>
      <w:r>
        <w:rPr>
          <w:rFonts w:hint="eastAsia" w:ascii="方正楷体_GB2312" w:hAnsi="方正楷体_GB2312" w:eastAsia="方正楷体_GB2312" w:cs="方正楷体_GB2312"/>
          <w:color w:val="auto"/>
          <w:sz w:val="32"/>
          <w:szCs w:val="32"/>
          <w:lang w:val="en-US" w:eastAsia="zh-CN"/>
        </w:rPr>
        <w:t>按照各自职责做好中医药康养与文旅融合发展相关工作。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color w:val="auto"/>
          <w:sz w:val="32"/>
          <w:szCs w:val="32"/>
          <w:lang w:val="en-US" w:eastAsia="zh-CN"/>
        </w:rPr>
        <w:t>县级以上中医医院应当发挥专业技术优势，积极参与中医药康养与文旅融合发展工作。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color w:val="auto"/>
          <w:sz w:val="32"/>
          <w:szCs w:val="32"/>
          <w:lang w:val="en-US" w:eastAsia="zh-CN"/>
        </w:rPr>
        <w:t>鼓励中医药产业协会、</w:t>
      </w:r>
      <w:r>
        <w:rPr>
          <w:rFonts w:hint="eastAsia" w:ascii="方正楷体_GB2312" w:hAnsi="方正楷体_GB2312" w:eastAsia="方正楷体_GB2312" w:cs="方正楷体_GB2312"/>
          <w:b w:val="0"/>
          <w:bCs w:val="0"/>
          <w:color w:val="auto"/>
          <w:sz w:val="32"/>
          <w:szCs w:val="32"/>
          <w:lang w:val="en-US" w:eastAsia="zh-CN"/>
        </w:rPr>
        <w:t>中医</w:t>
      </w:r>
      <w:r>
        <w:rPr>
          <w:rFonts w:hint="eastAsia" w:ascii="方正楷体_GB2312" w:hAnsi="方正楷体_GB2312" w:eastAsia="方正楷体_GB2312" w:cs="方正楷体_GB2312"/>
          <w:color w:val="auto"/>
          <w:sz w:val="32"/>
          <w:szCs w:val="32"/>
          <w:lang w:val="en-US" w:eastAsia="zh-CN"/>
        </w:rPr>
        <w:t>药学会、旅游协会等行业组织发挥服务、引导、交流和协调作用，维护行业合法权益和公平竞争秩序，促进中医药康养旅游行业健康发展。</w:t>
      </w:r>
    </w:p>
    <w:p>
      <w:pPr>
        <w:pStyle w:val="7"/>
        <w:keepNext w:val="0"/>
        <w:keepLines w:val="0"/>
        <w:pageBreakBefore w:val="0"/>
        <w:widowControl w:val="0"/>
        <w:kinsoku/>
        <w:wordWrap/>
        <w:overflowPunct/>
        <w:topLinePunct w:val="0"/>
        <w:autoSpaceDE/>
        <w:autoSpaceDN/>
        <w:bidi w:val="0"/>
        <w:adjustRightInd/>
        <w:snapToGrid/>
        <w:spacing w:after="0" w:line="580" w:lineRule="exact"/>
        <w:ind w:firstLine="642" w:firstLineChars="200"/>
        <w:textAlignment w:val="baseline"/>
        <w:rPr>
          <w:rFonts w:hint="eastAsia" w:ascii="方正楷体_GB2312" w:hAnsi="方正楷体_GB2312" w:eastAsia="方正楷体_GB2312" w:cs="方正楷体_GB2312"/>
          <w:b w:val="0"/>
          <w:bCs w:val="0"/>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第五条〔融合发展</w:t>
      </w:r>
      <w:r>
        <w:rPr>
          <w:rFonts w:hint="eastAsia" w:ascii="方正楷体_GB2312" w:hAnsi="方正楷体_GB2312" w:eastAsia="方正楷体_GB2312" w:cs="方正楷体_GB2312"/>
          <w:b/>
          <w:bCs/>
          <w:color w:val="auto"/>
          <w:sz w:val="32"/>
          <w:szCs w:val="32"/>
          <w:u w:val="none"/>
          <w:lang w:val="en-US" w:eastAsia="zh-CN"/>
        </w:rPr>
        <w:t>场景</w:t>
      </w:r>
      <w:r>
        <w:rPr>
          <w:rFonts w:hint="eastAsia" w:ascii="方正楷体_GB2312" w:hAnsi="方正楷体_GB2312" w:eastAsia="方正楷体_GB2312" w:cs="方正楷体_GB2312"/>
          <w:b/>
          <w:bCs/>
          <w:color w:val="auto"/>
          <w:sz w:val="32"/>
          <w:szCs w:val="32"/>
          <w:lang w:val="en-US" w:eastAsia="zh-CN"/>
        </w:rPr>
        <w:t>〕</w:t>
      </w:r>
      <w:r>
        <w:rPr>
          <w:rFonts w:hint="eastAsia" w:ascii="方正楷体_GB2312" w:hAnsi="方正楷体_GB2312" w:eastAsia="方正楷体_GB2312" w:cs="方正楷体_GB2312"/>
          <w:b w:val="0"/>
          <w:bCs w:val="0"/>
          <w:color w:val="auto"/>
          <w:sz w:val="32"/>
          <w:szCs w:val="32"/>
          <w:lang w:val="en-US" w:eastAsia="zh-CN"/>
        </w:rPr>
        <w:t>市、县（市、区）人民政府应当支持打造多元化的融合发展场景，包括但不限于：</w:t>
      </w:r>
    </w:p>
    <w:p>
      <w:pPr>
        <w:pStyle w:val="7"/>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baseline"/>
        <w:rPr>
          <w:rFonts w:hint="eastAsia" w:ascii="方正楷体_GB2312" w:hAnsi="方正楷体_GB2312" w:eastAsia="方正楷体_GB2312" w:cs="方正楷体_GB2312"/>
          <w:b w:val="0"/>
          <w:bCs w:val="0"/>
          <w:color w:val="auto"/>
          <w:sz w:val="32"/>
          <w:szCs w:val="32"/>
          <w:lang w:val="en-US" w:eastAsia="zh-CN"/>
        </w:rPr>
      </w:pPr>
      <w:r>
        <w:rPr>
          <w:rFonts w:hint="eastAsia" w:ascii="方正楷体_GB2312" w:hAnsi="方正楷体_GB2312" w:eastAsia="方正楷体_GB2312" w:cs="方正楷体_GB2312"/>
          <w:b w:val="0"/>
          <w:bCs w:val="0"/>
          <w:color w:val="auto"/>
          <w:sz w:val="32"/>
          <w:szCs w:val="32"/>
          <w:lang w:val="en-US" w:eastAsia="zh-CN"/>
        </w:rPr>
        <w:t>（一）集中医药健康管理、</w:t>
      </w:r>
      <w:r>
        <w:rPr>
          <w:rFonts w:hint="eastAsia" w:ascii="方正楷体_GB2312" w:hAnsi="方正楷体_GB2312" w:eastAsia="方正楷体_GB2312" w:cs="方正楷体_GB2312"/>
          <w:color w:val="auto"/>
          <w:sz w:val="32"/>
          <w:szCs w:val="32"/>
        </w:rPr>
        <w:t>康养民宿、森林康养基地、温泉疗愈中心等休闲度假和</w:t>
      </w:r>
      <w:r>
        <w:rPr>
          <w:rFonts w:hint="eastAsia" w:ascii="方正楷体_GB2312" w:hAnsi="方正楷体_GB2312" w:eastAsia="方正楷体_GB2312" w:cs="方正楷体_GB2312"/>
          <w:b w:val="0"/>
          <w:bCs w:val="0"/>
          <w:color w:val="auto"/>
          <w:sz w:val="32"/>
          <w:szCs w:val="32"/>
          <w:lang w:val="en-US" w:eastAsia="zh-CN"/>
        </w:rPr>
        <w:t>文化体验于一体的康养度假区、特色产业聚集区；</w:t>
      </w:r>
    </w:p>
    <w:p>
      <w:pPr>
        <w:pStyle w:val="7"/>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baseline"/>
        <w:rPr>
          <w:rFonts w:hint="eastAsia" w:ascii="方正楷体_GB2312" w:hAnsi="方正楷体_GB2312" w:eastAsia="方正楷体_GB2312" w:cs="方正楷体_GB2312"/>
          <w:b w:val="0"/>
          <w:bCs w:val="0"/>
          <w:color w:val="auto"/>
          <w:sz w:val="32"/>
          <w:szCs w:val="32"/>
          <w:lang w:val="en-US" w:eastAsia="zh-CN"/>
        </w:rPr>
      </w:pPr>
      <w:r>
        <w:rPr>
          <w:rFonts w:hint="eastAsia" w:ascii="方正楷体_GB2312" w:hAnsi="方正楷体_GB2312" w:eastAsia="方正楷体_GB2312" w:cs="方正楷体_GB2312"/>
          <w:b w:val="0"/>
          <w:bCs w:val="0"/>
          <w:color w:val="auto"/>
          <w:sz w:val="32"/>
          <w:szCs w:val="32"/>
          <w:lang w:val="en-US" w:eastAsia="zh-CN"/>
        </w:rPr>
        <w:t>（二）提供中医药诊疗、调理、养生功法教学等服务的中医馆、康养驿站；</w:t>
      </w:r>
    </w:p>
    <w:p>
      <w:pPr>
        <w:pStyle w:val="7"/>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baseline"/>
        <w:rPr>
          <w:rFonts w:hint="eastAsia" w:ascii="方正楷体_GB2312" w:hAnsi="方正楷体_GB2312" w:eastAsia="方正楷体_GB2312" w:cs="方正楷体_GB2312"/>
          <w:b w:val="0"/>
          <w:bCs w:val="0"/>
          <w:color w:val="auto"/>
          <w:sz w:val="32"/>
          <w:szCs w:val="32"/>
          <w:lang w:val="en-US" w:eastAsia="zh-CN"/>
        </w:rPr>
      </w:pPr>
      <w:r>
        <w:rPr>
          <w:rFonts w:hint="eastAsia" w:ascii="方正楷体_GB2312" w:hAnsi="方正楷体_GB2312" w:eastAsia="方正楷体_GB2312" w:cs="方正楷体_GB2312"/>
          <w:b w:val="0"/>
          <w:bCs w:val="0"/>
          <w:color w:val="auto"/>
          <w:sz w:val="32"/>
          <w:szCs w:val="32"/>
          <w:lang w:val="en-US" w:eastAsia="zh-CN"/>
        </w:rPr>
        <w:t>（三）展示中医药文化、技艺、药材的博物馆、非遗工坊、数字体验馆；</w:t>
      </w:r>
    </w:p>
    <w:p>
      <w:pPr>
        <w:pStyle w:val="7"/>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baseline"/>
        <w:rPr>
          <w:rFonts w:hint="eastAsia" w:ascii="方正楷体_GB2312" w:hAnsi="方正楷体_GB2312" w:eastAsia="方正楷体_GB2312" w:cs="方正楷体_GB2312"/>
          <w:b w:val="0"/>
          <w:bCs w:val="0"/>
          <w:color w:val="auto"/>
          <w:sz w:val="32"/>
          <w:szCs w:val="32"/>
          <w:lang w:val="en-US" w:eastAsia="zh-CN"/>
        </w:rPr>
      </w:pPr>
      <w:r>
        <w:rPr>
          <w:rFonts w:hint="eastAsia" w:ascii="方正楷体_GB2312" w:hAnsi="方正楷体_GB2312" w:eastAsia="方正楷体_GB2312" w:cs="方正楷体_GB2312"/>
          <w:b w:val="0"/>
          <w:bCs w:val="0"/>
          <w:color w:val="auto"/>
          <w:sz w:val="32"/>
          <w:szCs w:val="32"/>
          <w:lang w:val="en-US" w:eastAsia="zh-CN"/>
        </w:rPr>
        <w:t>（四）推广药膳食疗、养生茶饮的特色餐饮街区与主题酒店。</w:t>
      </w:r>
    </w:p>
    <w:p>
      <w:pPr>
        <w:pStyle w:val="7"/>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baseline"/>
        <w:rPr>
          <w:rFonts w:hint="eastAsia" w:ascii="方正楷体_GB2312" w:hAnsi="方正楷体_GB2312" w:eastAsia="方正楷体_GB2312" w:cs="方正楷体_GB2312"/>
          <w:b w:val="0"/>
          <w:bCs w:val="0"/>
          <w:color w:val="auto"/>
          <w:sz w:val="32"/>
          <w:szCs w:val="32"/>
          <w:lang w:val="en-US" w:eastAsia="zh-CN"/>
        </w:rPr>
      </w:pPr>
      <w:r>
        <w:rPr>
          <w:rFonts w:hint="eastAsia" w:ascii="方正楷体_GB2312" w:hAnsi="方正楷体_GB2312" w:eastAsia="方正楷体_GB2312" w:cs="方正楷体_GB2312"/>
          <w:b w:val="0"/>
          <w:bCs w:val="0"/>
          <w:color w:val="auto"/>
          <w:sz w:val="32"/>
          <w:szCs w:val="32"/>
          <w:lang w:val="en-US" w:eastAsia="zh-CN"/>
        </w:rPr>
        <w:t>（五）集道地、特色中药材种苗培育、示范种植、科普研学体验于一体的特色园区。</w:t>
      </w:r>
    </w:p>
    <w:p>
      <w:pPr>
        <w:keepNext w:val="0"/>
        <w:keepLines w:val="0"/>
        <w:pageBreakBefore w:val="0"/>
        <w:widowControl w:val="0"/>
        <w:tabs>
          <w:tab w:val="left" w:pos="6720"/>
        </w:tabs>
        <w:kinsoku/>
        <w:wordWrap/>
        <w:overflowPunct/>
        <w:topLinePunct w:val="0"/>
        <w:autoSpaceDE/>
        <w:autoSpaceDN/>
        <w:bidi w:val="0"/>
        <w:adjustRightInd/>
        <w:snapToGrid/>
        <w:spacing w:line="580" w:lineRule="exact"/>
        <w:ind w:firstLine="642"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 xml:space="preserve">第六条〔融合发展重点区域〕 </w:t>
      </w:r>
      <w:r>
        <w:rPr>
          <w:rFonts w:hint="eastAsia" w:ascii="方正楷体_GB2312" w:hAnsi="方正楷体_GB2312" w:eastAsia="方正楷体_GB2312" w:cs="方正楷体_GB2312"/>
          <w:b w:val="0"/>
          <w:bCs w:val="0"/>
          <w:color w:val="auto"/>
          <w:sz w:val="32"/>
          <w:szCs w:val="32"/>
          <w:u w:val="none"/>
          <w:lang w:val="en-US" w:eastAsia="zh-CN"/>
        </w:rPr>
        <w:t>市人民政府应当</w:t>
      </w:r>
      <w:r>
        <w:rPr>
          <w:rFonts w:hint="eastAsia" w:ascii="方正楷体_GB2312" w:hAnsi="方正楷体_GB2312" w:eastAsia="方正楷体_GB2312" w:cs="方正楷体_GB2312"/>
          <w:color w:val="auto"/>
          <w:sz w:val="32"/>
          <w:szCs w:val="32"/>
          <w:lang w:val="en-US" w:eastAsia="zh-CN"/>
        </w:rPr>
        <w:t>依托南岳衡山自然资源优势和“中华寿岳”文化品牌，鼓励各类市场主体在南岳衡山</w:t>
      </w:r>
      <w:r>
        <w:rPr>
          <w:rFonts w:hint="eastAsia" w:ascii="方正楷体_GB2312" w:hAnsi="方正楷体_GB2312" w:eastAsia="方正楷体_GB2312" w:cs="方正楷体_GB2312"/>
          <w:b w:val="0"/>
          <w:bCs w:val="0"/>
          <w:color w:val="auto"/>
          <w:sz w:val="32"/>
          <w:szCs w:val="32"/>
          <w:u w:val="none"/>
          <w:lang w:val="en-US" w:eastAsia="zh-CN"/>
        </w:rPr>
        <w:t>提供</w:t>
      </w:r>
      <w:r>
        <w:rPr>
          <w:rFonts w:hint="eastAsia" w:ascii="方正楷体_GB2312" w:hAnsi="方正楷体_GB2312" w:eastAsia="方正楷体_GB2312" w:cs="方正楷体_GB2312"/>
          <w:color w:val="auto"/>
          <w:sz w:val="32"/>
          <w:szCs w:val="32"/>
          <w:lang w:val="en-US" w:eastAsia="zh-CN"/>
        </w:rPr>
        <w:t>中医药</w:t>
      </w:r>
      <w:r>
        <w:rPr>
          <w:rFonts w:hint="eastAsia" w:ascii="方正楷体_GB2312" w:hAnsi="方正楷体_GB2312" w:eastAsia="方正楷体_GB2312" w:cs="方正楷体_GB2312"/>
          <w:b w:val="0"/>
          <w:bCs w:val="0"/>
          <w:color w:val="auto"/>
          <w:sz w:val="32"/>
          <w:szCs w:val="32"/>
          <w:u w:val="none"/>
          <w:lang w:val="en-US" w:eastAsia="zh-CN"/>
        </w:rPr>
        <w:t>康养</w:t>
      </w:r>
      <w:r>
        <w:rPr>
          <w:rFonts w:hint="eastAsia" w:ascii="方正楷体_GB2312" w:hAnsi="方正楷体_GB2312" w:eastAsia="方正楷体_GB2312" w:cs="方正楷体_GB2312"/>
          <w:color w:val="auto"/>
          <w:sz w:val="32"/>
          <w:szCs w:val="32"/>
          <w:lang w:val="en-US" w:eastAsia="zh-CN"/>
        </w:rPr>
        <w:t>旅游服务，开发中医药</w:t>
      </w:r>
      <w:r>
        <w:rPr>
          <w:rFonts w:hint="eastAsia" w:ascii="方正楷体_GB2312" w:hAnsi="方正楷体_GB2312" w:eastAsia="方正楷体_GB2312" w:cs="方正楷体_GB2312"/>
          <w:b w:val="0"/>
          <w:bCs w:val="0"/>
          <w:color w:val="auto"/>
          <w:sz w:val="32"/>
          <w:szCs w:val="32"/>
          <w:u w:val="none"/>
          <w:lang w:val="en-US" w:eastAsia="zh-CN"/>
        </w:rPr>
        <w:t>康养</w:t>
      </w:r>
      <w:r>
        <w:rPr>
          <w:rFonts w:hint="eastAsia" w:ascii="方正楷体_GB2312" w:hAnsi="方正楷体_GB2312" w:eastAsia="方正楷体_GB2312" w:cs="方正楷体_GB2312"/>
          <w:color w:val="auto"/>
          <w:sz w:val="32"/>
          <w:szCs w:val="32"/>
          <w:lang w:val="en-US" w:eastAsia="zh-CN"/>
        </w:rPr>
        <w:t>旅游产品与路线，建设</w:t>
      </w:r>
      <w:r>
        <w:rPr>
          <w:rFonts w:hint="eastAsia" w:ascii="方正楷体_GB2312" w:hAnsi="方正楷体_GB2312" w:eastAsia="方正楷体_GB2312" w:cs="方正楷体_GB2312"/>
          <w:b w:val="0"/>
          <w:bCs w:val="0"/>
          <w:color w:val="auto"/>
          <w:sz w:val="32"/>
          <w:szCs w:val="32"/>
          <w:u w:val="none"/>
          <w:lang w:val="en-US" w:eastAsia="zh-CN"/>
        </w:rPr>
        <w:t>集</w:t>
      </w:r>
      <w:r>
        <w:rPr>
          <w:rFonts w:hint="eastAsia" w:ascii="方正楷体_GB2312" w:hAnsi="方正楷体_GB2312" w:eastAsia="方正楷体_GB2312" w:cs="方正楷体_GB2312"/>
          <w:color w:val="auto"/>
          <w:sz w:val="32"/>
          <w:szCs w:val="32"/>
          <w:lang w:val="en-US" w:eastAsia="zh-CN"/>
        </w:rPr>
        <w:t>中药材种植、中医药</w:t>
      </w:r>
      <w:r>
        <w:rPr>
          <w:rFonts w:hint="eastAsia" w:ascii="方正楷体_GB2312" w:hAnsi="方正楷体_GB2312" w:eastAsia="方正楷体_GB2312" w:cs="方正楷体_GB2312"/>
          <w:b w:val="0"/>
          <w:bCs w:val="0"/>
          <w:color w:val="auto"/>
          <w:sz w:val="32"/>
          <w:szCs w:val="32"/>
          <w:u w:val="none"/>
          <w:lang w:val="en-US" w:eastAsia="zh-CN"/>
        </w:rPr>
        <w:t>康养</w:t>
      </w:r>
      <w:r>
        <w:rPr>
          <w:rFonts w:hint="eastAsia" w:ascii="方正楷体_GB2312" w:hAnsi="方正楷体_GB2312" w:eastAsia="方正楷体_GB2312" w:cs="方正楷体_GB2312"/>
          <w:color w:val="auto"/>
          <w:sz w:val="32"/>
          <w:szCs w:val="32"/>
          <w:lang w:val="en-US" w:eastAsia="zh-CN"/>
        </w:rPr>
        <w:t>服务、文化景观旅游、传统健身运动、药膳药饮养生于一体的中医药康养与文旅融合示范基地。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color w:val="auto"/>
          <w:sz w:val="32"/>
          <w:szCs w:val="32"/>
          <w:lang w:val="en-US" w:eastAsia="zh-CN"/>
        </w:rPr>
        <w:t>鼓励其他县（市、区）结合本地特色资源，发展差异化、互补型的中医药康养与文旅融合发展项目。</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第七条〔文化品牌与保护〕</w:t>
      </w:r>
      <w:r>
        <w:rPr>
          <w:rFonts w:hint="eastAsia" w:ascii="方正楷体_GB2312" w:hAnsi="方正楷体_GB2312" w:eastAsia="方正楷体_GB2312" w:cs="方正楷体_GB2312"/>
          <w:color w:val="auto"/>
          <w:sz w:val="32"/>
          <w:szCs w:val="32"/>
          <w:lang w:val="en-US" w:eastAsia="zh-CN"/>
        </w:rPr>
        <w:t>市人民政府应当支持举办南岳衡山国际寿文化节、“衡山论健”中医药健康论坛等品牌活动，传承弘扬“衡阳会议”精神和中医药文化，提升“中华寿岳”品牌影响力和产业带动效应。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color w:val="auto"/>
          <w:sz w:val="32"/>
          <w:szCs w:val="32"/>
          <w:lang w:val="en-US" w:eastAsia="zh-CN"/>
        </w:rPr>
        <w:t>县（市、区）人民政府应当根据本地实际举办中医药康养与文旅融合发展特色旅游产品和精品旅游路线展示活动，开展中医夜市、药膳大赛、膏方节等特色主题活动，培育具有衡阳特色的中医药康养与文旅融合发展文化品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b w:val="0"/>
          <w:bCs w:val="0"/>
          <w:color w:val="auto"/>
          <w:sz w:val="32"/>
          <w:szCs w:val="32"/>
          <w:u w:val="none"/>
          <w:lang w:val="en-US" w:eastAsia="zh-CN"/>
        </w:rPr>
        <w:t>市场监督（知识产权）部门</w:t>
      </w:r>
      <w:r>
        <w:rPr>
          <w:rFonts w:hint="eastAsia" w:ascii="方正楷体_GB2312" w:hAnsi="方正楷体_GB2312" w:eastAsia="方正楷体_GB2312" w:cs="方正楷体_GB2312"/>
          <w:color w:val="auto"/>
          <w:sz w:val="32"/>
          <w:szCs w:val="32"/>
          <w:lang w:val="en-US" w:eastAsia="zh-CN"/>
        </w:rPr>
        <w:t>应当会同卫生健康、文化旅游部门推动建立健全中医药康养领域知识产权保护与运用机制，加强对中医药康养经典名方、民间验方</w:t>
      </w:r>
      <w:r>
        <w:rPr>
          <w:rFonts w:hint="eastAsia" w:ascii="方正楷体_GB2312" w:hAnsi="方正楷体_GB2312" w:eastAsia="方正楷体_GB2312" w:cs="方正楷体_GB2312"/>
          <w:b w:val="0"/>
          <w:bCs w:val="0"/>
          <w:color w:val="auto"/>
          <w:sz w:val="32"/>
          <w:szCs w:val="32"/>
          <w:u w:val="none"/>
          <w:lang w:val="en-US" w:eastAsia="zh-CN"/>
        </w:rPr>
        <w:t>、秘方</w:t>
      </w:r>
      <w:r>
        <w:rPr>
          <w:rFonts w:hint="eastAsia" w:ascii="方正楷体_GB2312" w:hAnsi="方正楷体_GB2312" w:eastAsia="方正楷体_GB2312" w:cs="方正楷体_GB2312"/>
          <w:color w:val="auto"/>
          <w:sz w:val="32"/>
          <w:szCs w:val="32"/>
          <w:lang w:val="en-US" w:eastAsia="zh-CN"/>
        </w:rPr>
        <w:t>、传统疗法、特色技法的保护、传承与产业化开发。</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 xml:space="preserve">第八条〔人才培养与引进〕 </w:t>
      </w:r>
      <w:r>
        <w:rPr>
          <w:rFonts w:hint="eastAsia" w:ascii="方正楷体_GB2312" w:hAnsi="方正楷体_GB2312" w:eastAsia="方正楷体_GB2312" w:cs="方正楷体_GB2312"/>
          <w:color w:val="auto"/>
          <w:sz w:val="32"/>
          <w:szCs w:val="32"/>
          <w:lang w:val="en-US" w:eastAsia="zh-CN"/>
        </w:rPr>
        <w:t>市、县（市、区）人民政府应当支持医疗机构、科研机构、企业、高等院校等建设人才培养平台，开展中医药康养与文旅融合发展技能培训，培养应用型、复合型、创新型、技能型中医药康养与文旅融合人才队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color w:val="auto"/>
          <w:sz w:val="32"/>
          <w:szCs w:val="32"/>
          <w:lang w:val="en-US" w:eastAsia="zh-CN"/>
        </w:rPr>
        <w:t>市、县（市、区）人民政府人力资源与社会保障部门应当依托本市人才引进工程，开辟人才引进绿色通道，完善高端紧缺的专业技术人才引进服务保障措施。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b w:val="0"/>
          <w:bCs w:val="0"/>
          <w:color w:val="auto"/>
          <w:sz w:val="32"/>
          <w:szCs w:val="32"/>
          <w:u w:val="none"/>
          <w:lang w:val="en-US" w:eastAsia="zh-CN"/>
        </w:rPr>
        <w:t>鼓励中医药康养旅游经营者依照相关规定，</w:t>
      </w:r>
      <w:r>
        <w:rPr>
          <w:rFonts w:hint="eastAsia" w:ascii="方正楷体_GB2312" w:hAnsi="方正楷体_GB2312" w:eastAsia="方正楷体_GB2312" w:cs="方正楷体_GB2312"/>
          <w:color w:val="auto"/>
          <w:sz w:val="32"/>
          <w:szCs w:val="32"/>
          <w:lang w:val="en-US" w:eastAsia="zh-CN"/>
        </w:rPr>
        <w:t>聘请中医医术确有专长人员在康养基地、旅游景区依法开展注册范围内的中医药诊疗和康养旅游服务。</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 xml:space="preserve">第九条〔服务标准体系建设〕 </w:t>
      </w:r>
      <w:r>
        <w:rPr>
          <w:rFonts w:hint="eastAsia" w:ascii="方正楷体_GB2312" w:hAnsi="方正楷体_GB2312" w:eastAsia="方正楷体_GB2312" w:cs="方正楷体_GB2312"/>
          <w:color w:val="auto"/>
          <w:sz w:val="32"/>
          <w:szCs w:val="32"/>
          <w:lang w:val="en-US" w:eastAsia="zh-CN"/>
        </w:rPr>
        <w:t>市卫生健康部门应当会同文化旅游、市场监督等部门，制定中医药康养文旅服务规范，明确服务流程、质量要求和评价体系，推动市场秩序规范、服务质量提升。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color w:val="auto"/>
          <w:sz w:val="32"/>
          <w:szCs w:val="32"/>
          <w:lang w:val="en-US" w:eastAsia="zh-CN"/>
        </w:rPr>
        <w:t>支持相关市场主体参与制定本市中医药康养文旅服务规范；鼓励中医药康养、旅游领域的龙头企业、行业协会等参与</w:t>
      </w:r>
      <w:r>
        <w:rPr>
          <w:rFonts w:hint="eastAsia" w:ascii="方正楷体_GB2312" w:hAnsi="方正楷体_GB2312" w:eastAsia="方正楷体_GB2312" w:cs="方正楷体_GB2312"/>
          <w:b w:val="0"/>
          <w:bCs w:val="0"/>
          <w:color w:val="auto"/>
          <w:sz w:val="32"/>
          <w:szCs w:val="32"/>
          <w:u w:val="none"/>
          <w:lang w:val="en-US" w:eastAsia="zh-CN"/>
        </w:rPr>
        <w:t>服务</w:t>
      </w:r>
      <w:r>
        <w:rPr>
          <w:rFonts w:hint="eastAsia" w:ascii="方正楷体_GB2312" w:hAnsi="方正楷体_GB2312" w:eastAsia="方正楷体_GB2312" w:cs="方正楷体_GB2312"/>
          <w:color w:val="auto"/>
          <w:sz w:val="32"/>
          <w:szCs w:val="32"/>
          <w:lang w:val="en-US" w:eastAsia="zh-CN"/>
        </w:rPr>
        <w:t>规范的制定。</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 xml:space="preserve">第十条〔智慧健康平台建设〕 </w:t>
      </w:r>
      <w:r>
        <w:rPr>
          <w:rFonts w:hint="eastAsia" w:ascii="方正楷体_GB2312" w:hAnsi="方正楷体_GB2312" w:eastAsia="方正楷体_GB2312" w:cs="方正楷体_GB2312"/>
          <w:color w:val="auto"/>
          <w:sz w:val="32"/>
          <w:szCs w:val="32"/>
          <w:lang w:val="en-US" w:eastAsia="zh-CN"/>
        </w:rPr>
        <w:t>市、县（市、区）人民政府应当建立中医药康养与文旅融合发展大数据平台，运用人工智能、大数据等现代科技，为相关市场主体和消费者提供信息查询、预约体验、健康咨询、消费警示、政策解读、投诉救援等便捷服务，实现医疗、康养、旅游等信息互联互通和数据共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color w:val="auto"/>
          <w:sz w:val="32"/>
          <w:szCs w:val="32"/>
          <w:lang w:val="en-US" w:eastAsia="zh-CN"/>
        </w:rPr>
        <w:t>其他县（市、区）人民政府可以根据融合发展实际需要，建立融合发展大数据平台，或者接入市、南岳区平台实现数据共享。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color w:val="auto"/>
          <w:sz w:val="32"/>
          <w:szCs w:val="32"/>
          <w:lang w:val="en-US" w:eastAsia="zh-CN"/>
        </w:rPr>
        <w:t>鼓励中医药康养旅游经营者开发综合性中医药康养旅游智慧服务平台，培育集消费者参观、农耕体验、科普教育、购物体验等多位一体的新型中医药康养旅游业态。</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第十一条〔政策扶持和奖励〕</w:t>
      </w:r>
      <w:r>
        <w:rPr>
          <w:rFonts w:hint="eastAsia" w:ascii="方正楷体_GB2312" w:hAnsi="方正楷体_GB2312" w:eastAsia="方正楷体_GB2312" w:cs="方正楷体_GB2312"/>
          <w:color w:val="auto"/>
          <w:sz w:val="32"/>
          <w:szCs w:val="32"/>
          <w:lang w:val="en-US" w:eastAsia="zh-CN"/>
        </w:rPr>
        <w:t>市、县（市、区）人民政府应当制定奖励或者补助政策，吸引社会资本投资中医药康养产业，推动中医药康养与文旅相融合。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color w:val="auto"/>
          <w:sz w:val="32"/>
          <w:szCs w:val="32"/>
          <w:lang w:val="en-US" w:eastAsia="zh-CN"/>
        </w:rPr>
        <w:t>市、县（市、区）人民政府应当将中医药康养与文旅融合产业示范项目纳入重点项目用地计划指标，并在中医药康养与文旅融合项目立项、融资借贷、医保保障等方面给予支持。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color w:val="auto"/>
          <w:sz w:val="32"/>
          <w:szCs w:val="32"/>
          <w:lang w:val="en-US" w:eastAsia="zh-CN"/>
        </w:rPr>
        <w:t>支持利用农村集体经济组织经营性建设用地、农村闲置宅基地发展中医药康养旅游项目。鼓励成立乡村中医药康养旅游合作社，开展户外拓展、山地运动、森林康养、温泉度假、生态教育等乡村中医药康养旅游经营服务活动。</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 xml:space="preserve">第十二条〔宣传推广〕 </w:t>
      </w:r>
      <w:r>
        <w:rPr>
          <w:rFonts w:hint="eastAsia" w:ascii="方正楷体_GB2312" w:hAnsi="方正楷体_GB2312" w:eastAsia="方正楷体_GB2312" w:cs="方正楷体_GB2312"/>
          <w:color w:val="auto"/>
          <w:sz w:val="32"/>
          <w:szCs w:val="32"/>
          <w:lang w:val="en-US" w:eastAsia="zh-CN"/>
        </w:rPr>
        <w:t>市、县（市、区）人民政府及其有关部门应当加强对中医药康养与文旅融合发展宣传，加强对“衡阳会议”精神的</w:t>
      </w:r>
      <w:r>
        <w:rPr>
          <w:rFonts w:hint="eastAsia" w:ascii="方正楷体_GB2312" w:hAnsi="方正楷体_GB2312" w:eastAsia="方正楷体_GB2312" w:cs="方正楷体_GB2312"/>
          <w:b w:val="0"/>
          <w:bCs w:val="0"/>
          <w:color w:val="auto"/>
          <w:sz w:val="32"/>
          <w:szCs w:val="32"/>
          <w:u w:val="none"/>
          <w:lang w:val="en-US" w:eastAsia="zh-CN"/>
        </w:rPr>
        <w:t>价值</w:t>
      </w:r>
      <w:r>
        <w:rPr>
          <w:rFonts w:hint="eastAsia" w:ascii="方正楷体_GB2312" w:hAnsi="方正楷体_GB2312" w:eastAsia="方正楷体_GB2312" w:cs="方正楷体_GB2312"/>
          <w:color w:val="auto"/>
          <w:sz w:val="32"/>
          <w:szCs w:val="32"/>
          <w:lang w:val="en-US" w:eastAsia="zh-CN"/>
        </w:rPr>
        <w:t>阐释。鼓励和支持广播、电视、报刊、互联网等媒体宣传中医药康养文化，推广中医药康养与文旅融合发展产业。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color w:val="auto"/>
          <w:sz w:val="32"/>
          <w:szCs w:val="32"/>
          <w:lang w:val="en-US" w:eastAsia="zh-CN"/>
        </w:rPr>
        <w:t>鼓励单位和个人在传统节气开展中医药康养与文旅融合发展宣传活动。</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 xml:space="preserve">第十三条〔禁止性规定〕 </w:t>
      </w:r>
      <w:r>
        <w:rPr>
          <w:rFonts w:hint="eastAsia" w:ascii="方正楷体_GB2312" w:hAnsi="方正楷体_GB2312" w:eastAsia="方正楷体_GB2312" w:cs="方正楷体_GB2312"/>
          <w:color w:val="auto"/>
          <w:sz w:val="32"/>
          <w:szCs w:val="32"/>
          <w:lang w:val="en-US" w:eastAsia="zh-CN"/>
        </w:rPr>
        <w:t>未取得中医药诊疗执业注册许可的康养旅游经营者及其个人，不得开展中医药诊疗活动，不得进行带有中医药诊疗性质的宣传。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color w:val="auto"/>
          <w:sz w:val="32"/>
          <w:szCs w:val="32"/>
          <w:lang w:val="en-US" w:eastAsia="zh-CN"/>
        </w:rPr>
        <w:t>中医药康养旅游经营者不得以虚假广告欺骗、误导、诱导消费者；不得设置或者变相设置最低收费。</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方正楷体_GB2312" w:hAnsi="方正楷体_GB2312" w:eastAsia="方正楷体_GB2312" w:cs="方正楷体_GB2312"/>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第十四条〔施行日期〕</w:t>
      </w:r>
      <w:r>
        <w:rPr>
          <w:rFonts w:hint="eastAsia" w:ascii="方正楷体_GB2312" w:hAnsi="方正楷体_GB2312" w:eastAsia="方正楷体_GB2312" w:cs="方正楷体_GB2312"/>
          <w:color w:val="auto"/>
          <w:sz w:val="32"/>
          <w:szCs w:val="32"/>
          <w:lang w:val="en-US" w:eastAsia="zh-CN"/>
        </w:rPr>
        <w:t xml:space="preserve"> 本规定自     年    月   日起施行。</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Microsoft YaHei UI">
    <w:altName w:val="Droid Sans Fallback"/>
    <w:panose1 w:val="020B0503020204020204"/>
    <w:charset w:val="86"/>
    <w:family w:val="swiss"/>
    <w:pitch w:val="default"/>
    <w:sig w:usb0="00000000" w:usb1="00000000" w:usb2="00000016" w:usb3="00000000" w:csb0="0004001F" w:csb1="00000000"/>
  </w:font>
  <w:font w:name="方正楷体_GB2312">
    <w:altName w:val="楷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00364F"/>
    <w:rsid w:val="00EA233A"/>
    <w:rsid w:val="015E6DD6"/>
    <w:rsid w:val="02D73549"/>
    <w:rsid w:val="02DA7D7D"/>
    <w:rsid w:val="053E79FB"/>
    <w:rsid w:val="05453FE3"/>
    <w:rsid w:val="08401AB6"/>
    <w:rsid w:val="08A763C8"/>
    <w:rsid w:val="0B837613"/>
    <w:rsid w:val="0B927856"/>
    <w:rsid w:val="0CA1581F"/>
    <w:rsid w:val="0FDB38E3"/>
    <w:rsid w:val="10452DA1"/>
    <w:rsid w:val="11365128"/>
    <w:rsid w:val="122A109C"/>
    <w:rsid w:val="147321EF"/>
    <w:rsid w:val="15E72E94"/>
    <w:rsid w:val="16781ABE"/>
    <w:rsid w:val="192459ED"/>
    <w:rsid w:val="192D0557"/>
    <w:rsid w:val="19330A88"/>
    <w:rsid w:val="1B155C3A"/>
    <w:rsid w:val="1C0C4D02"/>
    <w:rsid w:val="1CBF4223"/>
    <w:rsid w:val="1EBF357F"/>
    <w:rsid w:val="21902C93"/>
    <w:rsid w:val="23294AEC"/>
    <w:rsid w:val="23624E4D"/>
    <w:rsid w:val="23A31A58"/>
    <w:rsid w:val="24F350DC"/>
    <w:rsid w:val="2A3739BD"/>
    <w:rsid w:val="2B563FA5"/>
    <w:rsid w:val="2BA22524"/>
    <w:rsid w:val="2BF61E90"/>
    <w:rsid w:val="2C914472"/>
    <w:rsid w:val="2EA77582"/>
    <w:rsid w:val="2F2F6AC9"/>
    <w:rsid w:val="32317A33"/>
    <w:rsid w:val="32904240"/>
    <w:rsid w:val="34321327"/>
    <w:rsid w:val="343A1261"/>
    <w:rsid w:val="346000DD"/>
    <w:rsid w:val="399D53B7"/>
    <w:rsid w:val="3B8D176F"/>
    <w:rsid w:val="3CA22536"/>
    <w:rsid w:val="3DD559C4"/>
    <w:rsid w:val="3EF07057"/>
    <w:rsid w:val="3F634A8A"/>
    <w:rsid w:val="41E87380"/>
    <w:rsid w:val="42743D84"/>
    <w:rsid w:val="45451750"/>
    <w:rsid w:val="45EE0BA3"/>
    <w:rsid w:val="461E38D1"/>
    <w:rsid w:val="46B248B8"/>
    <w:rsid w:val="47D7488F"/>
    <w:rsid w:val="48542E04"/>
    <w:rsid w:val="4D42161B"/>
    <w:rsid w:val="4D7367E0"/>
    <w:rsid w:val="4DFD2D6E"/>
    <w:rsid w:val="505803C4"/>
    <w:rsid w:val="51EB0856"/>
    <w:rsid w:val="537E175F"/>
    <w:rsid w:val="541C54DC"/>
    <w:rsid w:val="572C3772"/>
    <w:rsid w:val="5A00364F"/>
    <w:rsid w:val="5A12389E"/>
    <w:rsid w:val="654B4171"/>
    <w:rsid w:val="68070B84"/>
    <w:rsid w:val="68E72104"/>
    <w:rsid w:val="691B590A"/>
    <w:rsid w:val="6E7F102C"/>
    <w:rsid w:val="71AC3EEB"/>
    <w:rsid w:val="71D948DA"/>
    <w:rsid w:val="74584D4D"/>
    <w:rsid w:val="74D9622F"/>
    <w:rsid w:val="74F02349"/>
    <w:rsid w:val="75EE1F74"/>
    <w:rsid w:val="77AE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keepNext/>
      <w:keepLines/>
      <w:pBdr>
        <w:bottom w:val="single" w:color="FFFFFF" w:sz="8" w:space="0"/>
      </w:pBdr>
      <w:spacing w:after="200" w:line="300" w:lineRule="auto"/>
      <w:jc w:val="both"/>
      <w:textAlignment w:val="baseline"/>
    </w:pPr>
    <w:rPr>
      <w:rFonts w:ascii="Calibri Light" w:hAnsi="Calibri Light" w:eastAsia="Microsoft YaHei UI"/>
      <w:color w:val="5B9BD5"/>
      <w:kern w:val="0"/>
      <w:sz w:val="36"/>
      <w:szCs w:val="36"/>
      <w:lang w:val="en-US" w:eastAsia="ja-JP"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Text"/>
    <w:basedOn w:val="1"/>
    <w:qFormat/>
    <w:uiPriority w:val="0"/>
    <w:pPr>
      <w:spacing w:after="12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2758</Words>
  <Characters>2758</Characters>
  <Lines>0</Lines>
  <Paragraphs>0</Paragraphs>
  <TotalTime>160</TotalTime>
  <ScaleCrop>false</ScaleCrop>
  <LinksUpToDate>false</LinksUpToDate>
  <CharactersWithSpaces>2781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2026-05-20T09:05:00Z</dcterms:created>
  <dc:creator>∽</dc:creator>
  <cp:lastModifiedBy>kylin</cp:lastModifiedBy>
  <cp:lastPrinted>2026-06-02T16:34:43Z</cp:lastPrinted>
  <dcterms:modified xsi:type="dcterms:W3CDTF">2026-06-02T16:36:19Z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996D76A640994CFC885799EF25838A22_13</vt:lpwstr>
  </property>
  <property fmtid="{D5CDD505-2E9C-101B-9397-08002B2CF9AE}" pid="4" name="KSOTemplateDocerSaveRecord">
    <vt:lpwstr>eyJoZGlkIjoiZWI0MzZjMDM4NmIxYTNkZjkxMjRmOGRjNGIzZjVjYTAiLCJ1c2VySWQiOiIyMzAyNzM1MDMifQ==</vt:lpwstr>
  </property>
</Properties>
</file>